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0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53"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(Mark One)</w:t>
      </w:r>
    </w:p>
    <w:p>
      <w:pPr>
        <w:spacing w:after="0" w:line="21" w:lineRule="exact"/>
        <w:rPr>
          <w:sz w:val="24"/>
          <w:szCs w:val="24"/>
          <w:color w:val="auto"/>
        </w:rPr>
      </w:pPr>
    </w:p>
    <w:p>
      <w:pPr>
        <w:ind w:left="4640" w:right="2040" w:hanging="2609"/>
        <w:spacing w:after="0" w:line="250" w:lineRule="auto"/>
        <w:tabs>
          <w:tab w:leader="none" w:pos="296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jc w:val="center"/>
        <w:ind w:left="640"/>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51" w:lineRule="exact"/>
        <w:rPr>
          <w:sz w:val="24"/>
          <w:szCs w:val="24"/>
          <w:color w:val="auto"/>
        </w:rPr>
      </w:pPr>
    </w:p>
    <w:p>
      <w:pPr>
        <w:jc w:val="center"/>
        <w:ind w:left="6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2980" w:hanging="959"/>
        <w:spacing w:after="0"/>
        <w:tabs>
          <w:tab w:leader="none" w:pos="29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ind w:left="3720"/>
        <w:spacing w:after="0"/>
        <w:rPr>
          <w:sz w:val="20"/>
          <w:szCs w:val="20"/>
          <w:color w:val="auto"/>
        </w:rPr>
      </w:pPr>
      <w:r>
        <w:rPr>
          <w:rFonts w:ascii="Arial" w:cs="Arial" w:eastAsia="Arial" w:hAnsi="Arial"/>
          <w:sz w:val="16"/>
          <w:szCs w:val="16"/>
          <w:b w:val="1"/>
          <w:bCs w:val="1"/>
          <w:color w:val="auto"/>
        </w:rPr>
        <w:t>For the transition period from _________ to _________</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Commission File Number: 001-40159</w:t>
      </w:r>
    </w:p>
    <w:p>
      <w:pPr>
        <w:spacing w:after="0" w:line="1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4445</wp:posOffset>
            </wp:positionV>
            <wp:extent cx="169735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InnovAge Holding Corp.</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9" w:lineRule="exact"/>
        <w:rPr>
          <w:sz w:val="24"/>
          <w:szCs w:val="24"/>
          <w:color w:val="auto"/>
        </w:rPr>
      </w:pPr>
    </w:p>
    <w:tbl>
      <w:tblPr>
        <w:tblLayout w:type="fixed"/>
        <w:tblInd w:w="1580" w:type="dxa"/>
        <w:tblCellMar>
          <w:top w:w="0" w:type="dxa"/>
          <w:left w:w="0" w:type="dxa"/>
          <w:bottom w:w="0" w:type="dxa"/>
          <w:right w:w="0" w:type="dxa"/>
        </w:tblCellMar>
      </w:tblPr>
      <w:tr>
        <w:trPr>
          <w:trHeight w:val="186"/>
        </w:trPr>
        <w:tc>
          <w:tcPr>
            <w:tcW w:w="6000" w:type="dxa"/>
            <w:vAlign w:val="bottom"/>
          </w:tcPr>
          <w:p>
            <w:pPr>
              <w:jc w:val="center"/>
              <w:ind w:right="3466"/>
              <w:spacing w:after="0"/>
              <w:rPr>
                <w:sz w:val="20"/>
                <w:szCs w:val="20"/>
                <w:color w:val="auto"/>
              </w:rPr>
            </w:pPr>
            <w:r>
              <w:rPr>
                <w:rFonts w:ascii="Arial" w:cs="Arial" w:eastAsia="Arial" w:hAnsi="Arial"/>
                <w:sz w:val="14"/>
                <w:szCs w:val="14"/>
                <w:b w:val="1"/>
                <w:bCs w:val="1"/>
                <w:color w:val="auto"/>
                <w:w w:val="94"/>
              </w:rPr>
              <w:t>Delaware</w:t>
            </w:r>
          </w:p>
        </w:tc>
        <w:tc>
          <w:tcPr>
            <w:tcW w:w="1560" w:type="dxa"/>
            <w:vAlign w:val="bottom"/>
          </w:tcPr>
          <w:p>
            <w:pPr>
              <w:jc w:val="right"/>
              <w:ind w:right="288"/>
              <w:spacing w:after="0"/>
              <w:rPr>
                <w:sz w:val="20"/>
                <w:szCs w:val="20"/>
                <w:color w:val="auto"/>
              </w:rPr>
            </w:pPr>
            <w:r>
              <w:rPr>
                <w:rFonts w:ascii="Arial" w:cs="Arial" w:eastAsia="Arial" w:hAnsi="Arial"/>
                <w:sz w:val="14"/>
                <w:szCs w:val="14"/>
                <w:b w:val="1"/>
                <w:bCs w:val="1"/>
                <w:color w:val="auto"/>
              </w:rPr>
              <w:t>81-0710819</w:t>
            </w:r>
          </w:p>
        </w:tc>
      </w:tr>
      <w:tr>
        <w:trPr>
          <w:trHeight w:val="165"/>
        </w:trPr>
        <w:tc>
          <w:tcPr>
            <w:tcW w:w="6000" w:type="dxa"/>
            <w:vAlign w:val="bottom"/>
          </w:tcPr>
          <w:p>
            <w:pPr>
              <w:jc w:val="center"/>
              <w:ind w:right="3466"/>
              <w:spacing w:after="0"/>
              <w:rPr>
                <w:sz w:val="20"/>
                <w:szCs w:val="20"/>
                <w:color w:val="auto"/>
              </w:rPr>
            </w:pPr>
            <w:r>
              <w:rPr>
                <w:rFonts w:ascii="Arial" w:cs="Arial" w:eastAsia="Arial" w:hAnsi="Arial"/>
                <w:sz w:val="14"/>
                <w:szCs w:val="14"/>
                <w:b w:val="1"/>
                <w:bCs w:val="1"/>
                <w:color w:val="auto"/>
                <w:w w:val="93"/>
              </w:rPr>
              <w:t>(State or Other Jurisdiction of</w:t>
            </w:r>
          </w:p>
        </w:tc>
        <w:tc>
          <w:tcPr>
            <w:tcW w:w="156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000" w:type="dxa"/>
            <w:vAlign w:val="bottom"/>
          </w:tcPr>
          <w:p>
            <w:pPr>
              <w:jc w:val="center"/>
              <w:ind w:right="3466"/>
              <w:spacing w:after="0"/>
              <w:rPr>
                <w:sz w:val="20"/>
                <w:szCs w:val="20"/>
                <w:color w:val="auto"/>
              </w:rPr>
            </w:pPr>
            <w:r>
              <w:rPr>
                <w:rFonts w:ascii="Arial" w:cs="Arial" w:eastAsia="Arial" w:hAnsi="Arial"/>
                <w:sz w:val="14"/>
                <w:szCs w:val="14"/>
                <w:b w:val="1"/>
                <w:bCs w:val="1"/>
                <w:color w:val="auto"/>
                <w:w w:val="95"/>
              </w:rPr>
              <w:t>Incorporation or Organization)</w:t>
            </w:r>
          </w:p>
        </w:tc>
        <w:tc>
          <w:tcPr>
            <w:tcW w:w="156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Identification Number)</w:t>
            </w:r>
          </w:p>
        </w:tc>
      </w:tr>
      <w:tr>
        <w:trPr>
          <w:trHeight w:val="205"/>
        </w:trPr>
        <w:tc>
          <w:tcPr>
            <w:tcW w:w="6000" w:type="dxa"/>
            <w:vAlign w:val="bottom"/>
          </w:tcPr>
          <w:p>
            <w:pPr>
              <w:jc w:val="center"/>
              <w:ind w:right="3466"/>
              <w:spacing w:after="0"/>
              <w:rPr>
                <w:sz w:val="20"/>
                <w:szCs w:val="20"/>
                <w:color w:val="auto"/>
              </w:rPr>
            </w:pPr>
            <w:r>
              <w:rPr>
                <w:rFonts w:ascii="Arial" w:cs="Arial" w:eastAsia="Arial" w:hAnsi="Arial"/>
                <w:sz w:val="14"/>
                <w:szCs w:val="14"/>
                <w:b w:val="1"/>
                <w:bCs w:val="1"/>
                <w:color w:val="auto"/>
                <w:w w:val="95"/>
              </w:rPr>
              <w:t>8950 E. Lowry Boulevard</w:t>
            </w:r>
          </w:p>
        </w:tc>
        <w:tc>
          <w:tcPr>
            <w:tcW w:w="1560" w:type="dxa"/>
            <w:vAlign w:val="bottom"/>
          </w:tcPr>
          <w:p>
            <w:pPr>
              <w:jc w:val="right"/>
              <w:ind w:right="448"/>
              <w:spacing w:after="0"/>
              <w:rPr>
                <w:sz w:val="20"/>
                <w:szCs w:val="20"/>
                <w:color w:val="auto"/>
              </w:rPr>
            </w:pPr>
            <w:r>
              <w:rPr>
                <w:rFonts w:ascii="Arial" w:cs="Arial" w:eastAsia="Arial" w:hAnsi="Arial"/>
                <w:sz w:val="14"/>
                <w:szCs w:val="14"/>
                <w:b w:val="1"/>
                <w:bCs w:val="1"/>
                <w:color w:val="auto"/>
              </w:rPr>
              <w:t>80230</w:t>
            </w:r>
          </w:p>
        </w:tc>
      </w:tr>
      <w:tr>
        <w:trPr>
          <w:trHeight w:val="148"/>
        </w:trPr>
        <w:tc>
          <w:tcPr>
            <w:tcW w:w="6000" w:type="dxa"/>
            <w:vAlign w:val="bottom"/>
          </w:tcPr>
          <w:p>
            <w:pPr>
              <w:jc w:val="center"/>
              <w:ind w:right="3446"/>
              <w:spacing w:after="0" w:line="149" w:lineRule="exact"/>
              <w:rPr>
                <w:sz w:val="20"/>
                <w:szCs w:val="20"/>
                <w:color w:val="auto"/>
              </w:rPr>
            </w:pPr>
            <w:r>
              <w:rPr>
                <w:rFonts w:ascii="Arial" w:cs="Arial" w:eastAsia="Arial" w:hAnsi="Arial"/>
                <w:sz w:val="14"/>
                <w:szCs w:val="14"/>
                <w:b w:val="1"/>
                <w:bCs w:val="1"/>
                <w:color w:val="auto"/>
                <w:w w:val="94"/>
              </w:rPr>
              <w:t>Denver, CO</w:t>
            </w:r>
          </w:p>
        </w:tc>
        <w:tc>
          <w:tcPr>
            <w:tcW w:w="156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(Zip Code)</w:t>
            </w:r>
          </w:p>
        </w:tc>
      </w:tr>
      <w:tr>
        <w:trPr>
          <w:trHeight w:val="186"/>
        </w:trPr>
        <w:tc>
          <w:tcPr>
            <w:tcW w:w="6000" w:type="dxa"/>
            <w:vAlign w:val="bottom"/>
          </w:tcPr>
          <w:p>
            <w:pPr>
              <w:jc w:val="center"/>
              <w:ind w:right="3466"/>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60" w:type="dxa"/>
            <w:vAlign w:val="bottom"/>
          </w:tcPr>
          <w:p>
            <w:pPr>
              <w:spacing w:after="0"/>
              <w:rPr>
                <w:sz w:val="16"/>
                <w:szCs w:val="16"/>
                <w:color w:val="auto"/>
              </w:rPr>
            </w:pPr>
          </w:p>
        </w:tc>
      </w:tr>
      <w:tr>
        <w:trPr>
          <w:trHeight w:val="336"/>
        </w:trPr>
        <w:tc>
          <w:tcPr>
            <w:tcW w:w="6000" w:type="dxa"/>
            <w:vAlign w:val="bottom"/>
          </w:tcPr>
          <w:p>
            <w:pPr>
              <w:jc w:val="right"/>
              <w:ind w:right="1366"/>
              <w:spacing w:after="0"/>
              <w:rPr>
                <w:sz w:val="20"/>
                <w:szCs w:val="20"/>
                <w:color w:val="auto"/>
              </w:rPr>
            </w:pPr>
            <w:r>
              <w:rPr>
                <w:rFonts w:ascii="Arial" w:cs="Arial" w:eastAsia="Arial" w:hAnsi="Arial"/>
                <w:sz w:val="16"/>
                <w:szCs w:val="16"/>
                <w:b w:val="1"/>
                <w:bCs w:val="1"/>
                <w:color w:val="auto"/>
              </w:rPr>
              <w:t>(844) 803-8745</w:t>
            </w:r>
          </w:p>
        </w:tc>
        <w:tc>
          <w:tcPr>
            <w:tcW w:w="1560" w:type="dxa"/>
            <w:vAlign w:val="bottom"/>
          </w:tcPr>
          <w:p>
            <w:pPr>
              <w:spacing w:after="0"/>
              <w:rPr>
                <w:sz w:val="24"/>
                <w:szCs w:val="24"/>
                <w:color w:val="auto"/>
              </w:rPr>
            </w:pPr>
          </w:p>
        </w:tc>
      </w:tr>
      <w:tr>
        <w:trPr>
          <w:trHeight w:val="210"/>
        </w:trPr>
        <w:tc>
          <w:tcPr>
            <w:tcW w:w="6000" w:type="dxa"/>
            <w:vAlign w:val="bottom"/>
          </w:tcPr>
          <w:p>
            <w:pPr>
              <w:jc w:val="center"/>
              <w:ind w:left="2026"/>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560" w:type="dxa"/>
            <w:vAlign w:val="bottom"/>
          </w:tcPr>
          <w:p>
            <w:pPr>
              <w:spacing w:after="0"/>
              <w:rPr>
                <w:sz w:val="18"/>
                <w:szCs w:val="18"/>
                <w:color w:val="auto"/>
              </w:rPr>
            </w:pPr>
          </w:p>
        </w:tc>
      </w:tr>
    </w:tbl>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76"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58"/>
        </w:trPr>
        <w:tc>
          <w:tcPr>
            <w:tcW w:w="37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Common Stock, $0.001 par value</w:t>
            </w:r>
          </w:p>
        </w:tc>
        <w:tc>
          <w:tcPr>
            <w:tcW w:w="34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rPr>
              <w:t>INNV</w:t>
            </w:r>
          </w:p>
        </w:tc>
        <w:tc>
          <w:tcPr>
            <w:tcW w:w="41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3"/>
              </w:rPr>
              <w:t>The Nasdaq Stock Market LLC (Nasdaq Global Select</w:t>
            </w: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Market)</w:t>
            </w:r>
          </w:p>
        </w:tc>
      </w:tr>
    </w:tbl>
    <w:p>
      <w:pPr>
        <w:spacing w:after="0" w:line="193" w:lineRule="exact"/>
        <w:rPr>
          <w:sz w:val="24"/>
          <w:szCs w:val="24"/>
          <w:color w:val="auto"/>
        </w:rPr>
      </w:pPr>
    </w:p>
    <w:p>
      <w:pPr>
        <w:jc w:val="both"/>
        <w:ind w:right="20"/>
        <w:spacing w:after="0" w:line="26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0" w:lineRule="exact"/>
        <w:rPr>
          <w:sz w:val="24"/>
          <w:szCs w:val="24"/>
          <w:color w:val="auto"/>
        </w:rPr>
      </w:pPr>
    </w:p>
    <w:p>
      <w:pPr>
        <w:jc w:val="both"/>
        <w:ind w:right="20"/>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54" w:lineRule="exact"/>
        <w:rPr>
          <w:sz w:val="24"/>
          <w:szCs w:val="24"/>
          <w:color w:val="auto"/>
        </w:rPr>
      </w:pPr>
    </w:p>
    <w:p>
      <w:pPr>
        <w:jc w:val="both"/>
        <w:ind w:right="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33" w:right="319" w:bottom="1440" w:gutter="0" w:footer="0" w:header="0"/>
        </w:sectPr>
      </w:pPr>
    </w:p>
    <w:p>
      <w:pPr>
        <w:spacing w:after="0" w:line="110"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4">
            <w:col w:w="2580" w:space="720"/>
            <w:col w:w="80" w:space="380"/>
            <w:col w:w="2560" w:space="720"/>
            <w:col w:w="4220"/>
          </w:cols>
          <w:pgMar w:left="320" w:top="233"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6">
            <w:col w:w="2580" w:space="720"/>
            <w:col w:w="80" w:space="380"/>
            <w:col w:w="2560" w:space="720"/>
            <w:col w:w="80" w:space="380"/>
            <w:col w:w="2580" w:space="720"/>
            <w:col w:w="460"/>
          </w:cols>
          <w:pgMar w:left="320" w:top="233" w:right="319" w:bottom="1440" w:gutter="0" w:footer="0" w:header="0"/>
          <w:type w:val="continuous"/>
        </w:sectPr>
      </w:pPr>
    </w:p>
    <w:p>
      <w:pPr>
        <w:spacing w:after="0" w:line="21"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As of November 6, 2023, there were 135,884,840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360" w:type="dxa"/>
            <w:vAlign w:val="bottom"/>
            <w:gridSpan w:val="7"/>
            <w:vMerge w:val="restart"/>
          </w:tcPr>
          <w:p>
            <w:pPr>
              <w:spacing w:after="0"/>
              <w:rPr>
                <w:sz w:val="20"/>
                <w:szCs w:val="20"/>
                <w:color w:val="auto"/>
              </w:rPr>
            </w:pPr>
            <w:r>
              <w:rPr>
                <w:rFonts w:ascii="Arial" w:cs="Arial" w:eastAsia="Arial" w:hAnsi="Arial"/>
                <w:sz w:val="18"/>
                <w:szCs w:val="18"/>
                <w:b w:val="1"/>
                <w:bCs w:val="1"/>
                <w:color w:val="0000FF"/>
              </w:rPr>
              <w:t>Part I</w:t>
            </w:r>
          </w:p>
        </w:tc>
        <w:tc>
          <w:tcPr>
            <w:tcW w:w="8960" w:type="dxa"/>
            <w:vAlign w:val="bottom"/>
            <w:gridSpan w:val="18"/>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60" w:type="dxa"/>
            <w:vAlign w:val="bottom"/>
            <w:gridSpan w:val="7"/>
            <w:vMerge w:val="continue"/>
          </w:tcPr>
          <w:p>
            <w:pPr>
              <w:spacing w:after="0"/>
              <w:rPr>
                <w:sz w:val="24"/>
                <w:szCs w:val="24"/>
                <w:color w:val="auto"/>
              </w:rPr>
            </w:pPr>
          </w:p>
        </w:tc>
        <w:tc>
          <w:tcPr>
            <w:tcW w:w="8960" w:type="dxa"/>
            <w:vAlign w:val="bottom"/>
            <w:gridSpan w:val="18"/>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Item 1.</w:t>
            </w:r>
          </w:p>
        </w:tc>
        <w:tc>
          <w:tcPr>
            <w:tcW w:w="840" w:type="dxa"/>
            <w:vAlign w:val="bottom"/>
            <w:gridSpan w:val="5"/>
          </w:tcPr>
          <w:p>
            <w:pPr>
              <w:spacing w:after="0"/>
              <w:rPr>
                <w:sz w:val="24"/>
                <w:szCs w:val="24"/>
                <w:color w:val="auto"/>
              </w:rPr>
            </w:pPr>
          </w:p>
        </w:tc>
        <w:tc>
          <w:tcPr>
            <w:tcW w:w="24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Financial Statements (Unaudited)</w:t>
            </w:r>
          </w:p>
        </w:tc>
        <w:tc>
          <w:tcPr>
            <w:tcW w:w="65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Balance Sheets as of September 30, 2023 (Unaudited) and June 30, 2023</w:t>
            </w:r>
          </w:p>
        </w:tc>
        <w:tc>
          <w:tcPr>
            <w:tcW w:w="188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Operations for the three months ended September 30, 2023 and 2022 (Unaudited)</w:t>
            </w:r>
          </w:p>
        </w:tc>
        <w:tc>
          <w:tcPr>
            <w:tcW w:w="2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w w:val="93"/>
              </w:rPr>
              <w:t>Condensed Consolidated Statements of Stockholders’ Equity for the three months ended September 30, 2023 and 2022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(Unaudited)</w:t>
            </w:r>
          </w:p>
        </w:tc>
        <w:tc>
          <w:tcPr>
            <w:tcW w:w="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Cash Flows for the three months ended September 30, 2023 and 2022 (Unaudited)</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 as of September 30, 2023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4"/>
              </w:rPr>
              <w:t>Item 2.</w:t>
            </w:r>
          </w:p>
        </w:tc>
        <w:tc>
          <w:tcPr>
            <w:tcW w:w="820" w:type="dxa"/>
            <w:vAlign w:val="bottom"/>
            <w:gridSpan w:val="4"/>
          </w:tcPr>
          <w:p>
            <w:pPr>
              <w:spacing w:after="0"/>
              <w:rPr>
                <w:sz w:val="24"/>
                <w:szCs w:val="24"/>
                <w:color w:val="auto"/>
              </w:rPr>
            </w:pPr>
          </w:p>
        </w:tc>
        <w:tc>
          <w:tcPr>
            <w:tcW w:w="64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20" w:type="dxa"/>
            <w:vAlign w:val="bottom"/>
            <w:tcBorders>
              <w:top w:val="single" w:sz="8" w:color="0000FF"/>
            </w:tcBorders>
          </w:tcPr>
          <w:p>
            <w:pPr>
              <w:spacing w:after="0"/>
              <w:rPr>
                <w:sz w:val="24"/>
                <w:szCs w:val="24"/>
                <w:color w:val="auto"/>
              </w:rPr>
            </w:pPr>
          </w:p>
        </w:tc>
        <w:tc>
          <w:tcPr>
            <w:tcW w:w="21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4"/>
              </w:rPr>
              <w:t>Item 3.</w:t>
            </w:r>
          </w:p>
        </w:tc>
        <w:tc>
          <w:tcPr>
            <w:tcW w:w="820" w:type="dxa"/>
            <w:vAlign w:val="bottom"/>
            <w:gridSpan w:val="4"/>
          </w:tcPr>
          <w:p>
            <w:pPr>
              <w:spacing w:after="0"/>
              <w:rPr>
                <w:sz w:val="24"/>
                <w:szCs w:val="24"/>
                <w:color w:val="auto"/>
              </w:rPr>
            </w:pPr>
          </w:p>
        </w:tc>
        <w:tc>
          <w:tcPr>
            <w:tcW w:w="43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840" w:type="dxa"/>
            <w:vAlign w:val="bottom"/>
            <w:gridSpan w:val="5"/>
          </w:tcPr>
          <w:p>
            <w:pPr>
              <w:spacing w:after="0"/>
              <w:rPr>
                <w:sz w:val="24"/>
                <w:szCs w:val="24"/>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8"/>
                <w:szCs w:val="18"/>
                <w:b w:val="1"/>
                <w:bCs w:val="1"/>
                <w:color w:val="0000FF"/>
              </w:rPr>
              <w:t>Part II</w:t>
            </w:r>
          </w:p>
        </w:tc>
        <w:tc>
          <w:tcPr>
            <w:tcW w:w="820" w:type="dxa"/>
            <w:vAlign w:val="bottom"/>
            <w:gridSpan w:val="4"/>
          </w:tcPr>
          <w:p>
            <w:pPr>
              <w:spacing w:after="0"/>
              <w:rPr>
                <w:sz w:val="24"/>
                <w:szCs w:val="24"/>
                <w:color w:val="auto"/>
              </w:rPr>
            </w:pPr>
          </w:p>
        </w:tc>
        <w:tc>
          <w:tcPr>
            <w:tcW w:w="8960" w:type="dxa"/>
            <w:vAlign w:val="bottom"/>
            <w:gridSpan w:val="18"/>
          </w:tcPr>
          <w:p>
            <w:pPr>
              <w:spacing w:after="0"/>
              <w:rPr>
                <w:sz w:val="20"/>
                <w:szCs w:val="20"/>
                <w:color w:val="auto"/>
              </w:rPr>
            </w:pPr>
            <w:r>
              <w:rPr>
                <w:rFonts w:ascii="Arial" w:cs="Arial" w:eastAsia="Arial" w:hAnsi="Arial"/>
                <w:sz w:val="18"/>
                <w:szCs w:val="18"/>
                <w:b w:val="1"/>
                <w:bCs w:val="1"/>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4"/>
              </w:rPr>
              <w:t>Item 1.</w:t>
            </w:r>
          </w:p>
        </w:tc>
        <w:tc>
          <w:tcPr>
            <w:tcW w:w="100" w:type="dxa"/>
            <w:vAlign w:val="bottom"/>
          </w:tcPr>
          <w:p>
            <w:pPr>
              <w:spacing w:after="0"/>
              <w:rPr>
                <w:sz w:val="24"/>
                <w:szCs w:val="24"/>
                <w:color w:val="auto"/>
              </w:rPr>
            </w:pPr>
          </w:p>
        </w:tc>
        <w:tc>
          <w:tcPr>
            <w:tcW w:w="720" w:type="dxa"/>
            <w:vAlign w:val="bottom"/>
            <w:gridSpan w:val="3"/>
          </w:tcPr>
          <w:p>
            <w:pPr>
              <w:spacing w:after="0"/>
              <w:rPr>
                <w:sz w:val="24"/>
                <w:szCs w:val="24"/>
                <w:color w:val="auto"/>
              </w:rPr>
            </w:pPr>
          </w:p>
        </w:tc>
        <w:tc>
          <w:tcPr>
            <w:tcW w:w="14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95"/>
              </w:rPr>
              <w:t>Legal Proceedings</w:t>
            </w:r>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Arial" w:cs="Arial" w:eastAsia="Arial" w:hAnsi="Arial"/>
                <w:sz w:val="18"/>
                <w:szCs w:val="18"/>
                <w:color w:val="0000FF"/>
              </w:rPr>
              <w:t>Item 1A.</w:t>
            </w:r>
          </w:p>
        </w:tc>
        <w:tc>
          <w:tcPr>
            <w:tcW w:w="896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2.</w:t>
            </w:r>
          </w:p>
        </w:tc>
        <w:tc>
          <w:tcPr>
            <w:tcW w:w="12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Item 3.</w:t>
            </w:r>
          </w:p>
        </w:tc>
        <w:tc>
          <w:tcPr>
            <w:tcW w:w="840" w:type="dxa"/>
            <w:vAlign w:val="bottom"/>
            <w:gridSpan w:val="5"/>
          </w:tcPr>
          <w:p>
            <w:pPr>
              <w:spacing w:after="0"/>
              <w:rPr>
                <w:sz w:val="24"/>
                <w:szCs w:val="24"/>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FF"/>
            </w:tcBorders>
            <w:gridSpan w:val="2"/>
          </w:tcPr>
          <w:p>
            <w:pPr>
              <w:spacing w:after="0"/>
              <w:rPr>
                <w:sz w:val="24"/>
                <w:szCs w:val="24"/>
                <w:color w:val="auto"/>
              </w:rPr>
            </w:pPr>
          </w:p>
        </w:tc>
        <w:tc>
          <w:tcPr>
            <w:tcW w:w="46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90"/>
              </w:rPr>
              <w:t>Item 4.</w:t>
            </w:r>
          </w:p>
        </w:tc>
        <w:tc>
          <w:tcPr>
            <w:tcW w:w="840" w:type="dxa"/>
            <w:vAlign w:val="bottom"/>
            <w:gridSpan w:val="5"/>
          </w:tcPr>
          <w:p>
            <w:pPr>
              <w:spacing w:after="0"/>
              <w:rPr>
                <w:sz w:val="24"/>
                <w:szCs w:val="24"/>
                <w:color w:val="auto"/>
              </w:rPr>
            </w:pPr>
          </w:p>
        </w:tc>
        <w:tc>
          <w:tcPr>
            <w:tcW w:w="896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0"/>
              </w:rPr>
              <w:t>Item 5.</w:t>
            </w:r>
          </w:p>
        </w:tc>
        <w:tc>
          <w:tcPr>
            <w:tcW w:w="840" w:type="dxa"/>
            <w:vAlign w:val="bottom"/>
            <w:gridSpan w:val="5"/>
          </w:tcPr>
          <w:p>
            <w:pPr>
              <w:spacing w:after="0"/>
              <w:rPr>
                <w:sz w:val="24"/>
                <w:szCs w:val="24"/>
                <w:color w:val="auto"/>
              </w:rPr>
            </w:pP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Other Information</w:t>
            </w:r>
          </w:p>
        </w:tc>
        <w:tc>
          <w:tcPr>
            <w:tcW w:w="72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Item 6.</w:t>
            </w:r>
          </w:p>
        </w:tc>
        <w:tc>
          <w:tcPr>
            <w:tcW w:w="840" w:type="dxa"/>
            <w:vAlign w:val="bottom"/>
            <w:gridSpan w:val="5"/>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720" w:type="dxa"/>
            <w:vAlign w:val="bottom"/>
            <w:tcBorders>
              <w:top w:val="single" w:sz="8" w:color="0000FF"/>
            </w:tcBorders>
            <w:gridSpan w:val="3"/>
          </w:tcPr>
          <w:p>
            <w:pPr>
              <w:spacing w:after="0"/>
              <w:rPr>
                <w:sz w:val="24"/>
                <w:szCs w:val="24"/>
                <w:color w:val="auto"/>
              </w:rPr>
            </w:pPr>
          </w:p>
        </w:tc>
        <w:tc>
          <w:tcPr>
            <w:tcW w:w="76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5"/>
              </w:rPr>
              <w:t>Exhibit Index</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10"/>
          </w:tcPr>
          <w:p>
            <w:pPr>
              <w:ind w:left="4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Cautionary Note on Forward-Looking Statements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including with respect to current audits and legal proceedings and actions, relationships and discussions with regulatory agencies, our expectations with respect to correcting deficiencies raised in audits and other processes, and our expectations to increase the number of participants we serve, to grow enrollment and capacity within existing centers, to build de novo centers, and other similar statements. The forward-looking statements contained in this Quarterly Report on Form 10-Q are generally located in the material set forth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projections,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viability of our growth strategy;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successfully complete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participants and retain existing participants and grow our revenue throughout our existing centers;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periodic inspections, reviews, audits and investigations under the federal and state government programs, including our ability to sufficiently cure any deficiencies identified by the respective federal and state government programs;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the cost of providing services will exceed our compensation under the Program of All Inclusive Care for the Elderly (“PACE”);</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increased costs and expenditures in the future and our inability to execute or realize the benefits of our clinical value initiatives;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from ongoing macroeconomic and COVID-19 related challenges, including labor shortages and 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revenues and operations upon a limited number of government payors;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submissions to government payors may contain inaccurate or unsupportable information, including regarding risk adjustment scores of participants;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renegotiation, non-renewal or termination of capitation agreements with government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difficulty to predict our future results, which could cause such results to fall below any guidance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state and federal efforts to reduce healthcare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a pandemic, epidemic or outbreak of an infectious disease, such as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senior management team and other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failures by our suppliers or limitations on our ability to access new technology or medical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concentration of our presence in Colorado;</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operations effectively, execute our business plan, maintain effective levels of service and participant satisfaction and adequately address competitive challenges;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healthcare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 presence in new geographic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competition for physicians and other clinical personnel and related increases in our labor costs;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of security breaches, loss of data or other disruptions causing the compromise of sensitive information or preventing us from accessing critical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invest in, implement improvements to and properly maintain the uninterrupted operation and data integrity of our information technology and other business systems;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estimate incurred but not reported medical expense or the risk scores of our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use of “open-source”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business of the termination of our leases, increases in rent or inability to renew or extend leases;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weather and other factors beyond our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our relatively limited operating history as a for-profit company on investors' ability to evaluate our current business and future prospects;</w:t>
      </w:r>
    </w:p>
    <w:p>
      <w:pPr>
        <w:jc w:val="both"/>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the California Consumer Privacy Act (“CCPA”) and other privacy laws and regulations in the healthcare industry;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status as a “controlled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other enhanced requirements of being a public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enhance our reputation and brand recognition;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business of disruptions in our disaster recovery systems or business continuity planning;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negative publicity regarding the managed healthcare industry;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disclosed in the section entitled “Risk Factors” in our Annual Report for the year ended June 30, 2023 filed with the Securities and Exchange Commission (the “SEC”) on September 12, 2023, and our subsequent filings with the SEC.</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All written and oral forward-looking statements attributable to us, or persons acting on our behalf, are expressly qualified in their entirety by these cautionary statements as well as other cautionary statements that are made from time to time in our other public communications and filings with the SEC. You should evaluate all forward-looking statements made in this Quarterly Report on Form 10-Q in the context of these risks and uncertainties.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140"/>
              <w:spacing w:after="0"/>
              <w:rPr>
                <w:sz w:val="20"/>
                <w:szCs w:val="20"/>
                <w:color w:val="auto"/>
              </w:rPr>
            </w:pPr>
            <w:r>
              <w:rPr>
                <w:rFonts w:ascii="Arial" w:cs="Arial" w:eastAsia="Arial" w:hAnsi="Arial"/>
                <w:sz w:val="14"/>
                <w:szCs w:val="14"/>
                <w:b w:val="1"/>
                <w:bCs w:val="1"/>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88,398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127,249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46,833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46,213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Accounts receivable, net of allowance ($4,492 – September 30, 2023 and $4,161 – June 30, 2023)</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44,185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24,344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Prepaid expenses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16,412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17,145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Income tax receivable</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196,105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215,229</w:t>
            </w:r>
          </w:p>
        </w:tc>
        <w:tc>
          <w:tcPr>
            <w:tcW w:w="0" w:type="dxa"/>
            <w:vAlign w:val="bottom"/>
          </w:tcPr>
          <w:p>
            <w:pPr>
              <w:spacing w:after="0"/>
              <w:rPr>
                <w:sz w:val="1"/>
                <w:szCs w:val="1"/>
                <w:color w:val="auto"/>
              </w:rPr>
            </w:pPr>
          </w:p>
        </w:tc>
      </w:tr>
      <w:tr>
        <w:trPr>
          <w:trHeight w:val="171"/>
        </w:trPr>
        <w:tc>
          <w:tcPr>
            <w:tcW w:w="8180" w:type="dxa"/>
            <w:vAlign w:val="bottom"/>
          </w:tcPr>
          <w:p>
            <w:pPr>
              <w:ind w:left="140"/>
              <w:spacing w:after="0"/>
              <w:rPr>
                <w:sz w:val="20"/>
                <w:szCs w:val="20"/>
                <w:color w:val="auto"/>
              </w:rPr>
            </w:pPr>
            <w:r>
              <w:rPr>
                <w:rFonts w:ascii="Arial" w:cs="Arial" w:eastAsia="Arial" w:hAnsi="Arial"/>
                <w:sz w:val="14"/>
                <w:szCs w:val="14"/>
                <w:b w:val="1"/>
                <w:bCs w:val="1"/>
                <w:color w:val="auto"/>
              </w:rPr>
              <w:t>Noncurrent Assets</w:t>
            </w: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190,060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192,188</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Operating lease assets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21,210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5,493</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Deposits and other</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3,823</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Goodwill</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124,217</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Other intangible assets, net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5,198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noncurrent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349,489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352,129</w:t>
            </w:r>
          </w:p>
        </w:tc>
        <w:tc>
          <w:tcPr>
            <w:tcW w:w="0" w:type="dxa"/>
            <w:vAlign w:val="bottom"/>
          </w:tcPr>
          <w:p>
            <w:pPr>
              <w:spacing w:after="0"/>
              <w:rPr>
                <w:sz w:val="1"/>
                <w:szCs w:val="1"/>
                <w:color w:val="auto"/>
              </w:rPr>
            </w:pPr>
          </w:p>
        </w:tc>
      </w:tr>
      <w:tr>
        <w:trPr>
          <w:trHeight w:val="196"/>
        </w:trPr>
        <w:tc>
          <w:tcPr>
            <w:tcW w:w="8180" w:type="dxa"/>
            <w:vAlign w:val="bottom"/>
          </w:tcPr>
          <w:p>
            <w:pPr>
              <w:ind w:left="46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545,594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567,358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140"/>
              <w:spacing w:after="0"/>
              <w:rPr>
                <w:sz w:val="20"/>
                <w:szCs w:val="20"/>
                <w:color w:val="auto"/>
              </w:rPr>
            </w:pPr>
            <w:r>
              <w:rPr>
                <w:rFonts w:ascii="Arial" w:cs="Arial" w:eastAsia="Arial" w:hAnsi="Arial"/>
                <w:sz w:val="14"/>
                <w:szCs w:val="14"/>
                <w:b w:val="1"/>
                <w:bCs w:val="1"/>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46,923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54,935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Reported and estimated claims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42,322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42,999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Due to Medicaid and Medicare</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9,142</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Income tax payable</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Current portion of long-term debt</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Current portion of finance lease obligations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4,722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Current portion of operating lease obligations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26,090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28,115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138,813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148,450</w:t>
            </w:r>
          </w:p>
        </w:tc>
        <w:tc>
          <w:tcPr>
            <w:tcW w:w="0" w:type="dxa"/>
            <w:vAlign w:val="bottom"/>
          </w:tcPr>
          <w:p>
            <w:pPr>
              <w:spacing w:after="0"/>
              <w:rPr>
                <w:sz w:val="1"/>
                <w:szCs w:val="1"/>
                <w:color w:val="auto"/>
              </w:rPr>
            </w:pPr>
          </w:p>
        </w:tc>
      </w:tr>
      <w:tr>
        <w:trPr>
          <w:trHeight w:val="194"/>
        </w:trPr>
        <w:tc>
          <w:tcPr>
            <w:tcW w:w="8180" w:type="dxa"/>
            <w:vAlign w:val="bottom"/>
          </w:tcPr>
          <w:p>
            <w:pPr>
              <w:ind w:left="140"/>
              <w:spacing w:after="0"/>
              <w:rPr>
                <w:sz w:val="20"/>
                <w:szCs w:val="20"/>
                <w:color w:val="auto"/>
              </w:rPr>
            </w:pPr>
            <w:r>
              <w:rPr>
                <w:rFonts w:ascii="Arial" w:cs="Arial" w:eastAsia="Arial" w:hAnsi="Arial"/>
                <w:sz w:val="14"/>
                <w:szCs w:val="14"/>
                <w:b w:val="1"/>
                <w:bCs w:val="1"/>
                <w:color w:val="auto"/>
              </w:rPr>
              <w:t>Noncurrent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tax liability, net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6,462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6,236</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Finance lease obligations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12,048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13,114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Operating lease obligations</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18,828</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Other noncurrent liabilities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Long-term debt, net of debt issuance costs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64,003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64,844</w:t>
            </w:r>
          </w:p>
        </w:tc>
        <w:tc>
          <w:tcPr>
            <w:tcW w:w="0" w:type="dxa"/>
            <w:vAlign w:val="bottom"/>
          </w:tcPr>
          <w:p>
            <w:pPr>
              <w:spacing w:after="0"/>
              <w:rPr>
                <w:sz w:val="1"/>
                <w:szCs w:val="1"/>
                <w:color w:val="auto"/>
              </w:rPr>
            </w:pPr>
          </w:p>
        </w:tc>
      </w:tr>
      <w:tr>
        <w:trPr>
          <w:trHeight w:val="176"/>
        </w:trPr>
        <w:tc>
          <w:tcPr>
            <w:tcW w:w="8180" w:type="dxa"/>
            <w:vAlign w:val="bottom"/>
          </w:tcPr>
          <w:p>
            <w:pPr>
              <w:ind w:left="46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240,547</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252,558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 (See Note 9)</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Redeemable Noncontrolling Interests (See Note 4)</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12,708</w:t>
            </w:r>
          </w:p>
        </w:tc>
        <w:tc>
          <w:tcPr>
            <w:tcW w:w="0" w:type="dxa"/>
            <w:vAlign w:val="bottom"/>
          </w:tcPr>
          <w:p>
            <w:pPr>
              <w:spacing w:after="0"/>
              <w:rPr>
                <w:sz w:val="1"/>
                <w:szCs w:val="1"/>
                <w:color w:val="auto"/>
              </w:rPr>
            </w:pP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8180" w:type="dxa"/>
            <w:vAlign w:val="bottom"/>
          </w:tcPr>
          <w:p>
            <w:pPr>
              <w:ind w:left="240"/>
              <w:spacing w:after="0" w:line="143" w:lineRule="exact"/>
              <w:rPr>
                <w:sz w:val="20"/>
                <w:szCs w:val="20"/>
                <w:color w:val="auto"/>
              </w:rPr>
            </w:pPr>
            <w:r>
              <w:rPr>
                <w:rFonts w:ascii="Arial" w:cs="Arial" w:eastAsia="Arial" w:hAnsi="Arial"/>
                <w:sz w:val="14"/>
                <w:szCs w:val="14"/>
                <w:color w:val="auto"/>
                <w:w w:val="94"/>
              </w:rPr>
              <w:t>Common stock, $0.001 par value; 500,000,000 authorized as of September 30, 2023 and June 30, 2023; 135,884,840 and 135,639,845</w:t>
            </w:r>
          </w:p>
        </w:tc>
        <w:tc>
          <w:tcPr>
            <w:tcW w:w="2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8"/>
        </w:trPr>
        <w:tc>
          <w:tcPr>
            <w:tcW w:w="8180" w:type="dxa"/>
            <w:vAlign w:val="bottom"/>
          </w:tcPr>
          <w:p>
            <w:pPr>
              <w:ind w:left="240"/>
              <w:spacing w:after="0"/>
              <w:rPr>
                <w:sz w:val="20"/>
                <w:szCs w:val="20"/>
                <w:color w:val="auto"/>
              </w:rPr>
            </w:pPr>
            <w:r>
              <w:rPr>
                <w:rFonts w:ascii="Arial" w:cs="Arial" w:eastAsia="Arial" w:hAnsi="Arial"/>
                <w:sz w:val="14"/>
                <w:szCs w:val="14"/>
                <w:color w:val="auto"/>
              </w:rPr>
              <w:t>issued shares as of September 30, 2023 and June 30, 2023, respectively</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333,316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332,107</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Retained deficit</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(46,248)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(35,944)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InnovAge Holding Corp.</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287,204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296,299</w:t>
            </w:r>
          </w:p>
        </w:tc>
        <w:tc>
          <w:tcPr>
            <w:tcW w:w="0" w:type="dxa"/>
            <w:vAlign w:val="bottom"/>
          </w:tcPr>
          <w:p>
            <w:pPr>
              <w:spacing w:after="0"/>
              <w:rPr>
                <w:sz w:val="1"/>
                <w:szCs w:val="1"/>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Noncontrolling interests</w:t>
            </w: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5,793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292,909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302,092</w:t>
            </w:r>
          </w:p>
        </w:tc>
        <w:tc>
          <w:tcPr>
            <w:tcW w:w="0" w:type="dxa"/>
            <w:vAlign w:val="bottom"/>
          </w:tcPr>
          <w:p>
            <w:pPr>
              <w:spacing w:after="0"/>
              <w:rPr>
                <w:sz w:val="1"/>
                <w:szCs w:val="1"/>
                <w:color w:val="auto"/>
              </w:rPr>
            </w:pPr>
          </w:p>
        </w:tc>
      </w:tr>
      <w:tr>
        <w:trPr>
          <w:trHeight w:val="196"/>
        </w:trPr>
        <w:tc>
          <w:tcPr>
            <w:tcW w:w="8180" w:type="dxa"/>
            <w:vAlign w:val="bottom"/>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545,594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567,358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-1336675</wp:posOffset>
            </wp:positionV>
            <wp:extent cx="2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7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8"/>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91"/>
              <w:spacing w:after="0"/>
              <w:rPr>
                <w:sz w:val="20"/>
                <w:szCs w:val="20"/>
                <w:color w:val="auto"/>
              </w:rPr>
            </w:pPr>
            <w:r>
              <w:rPr>
                <w:rFonts w:ascii="Arial" w:cs="Arial" w:eastAsia="Arial" w:hAnsi="Arial"/>
                <w:sz w:val="14"/>
                <w:szCs w:val="14"/>
                <w:b w:val="1"/>
                <w:bCs w:val="1"/>
                <w:color w:val="auto"/>
              </w:rPr>
              <w:t>2022</w:t>
            </w:r>
          </w:p>
        </w:tc>
      </w:tr>
      <w:tr>
        <w:trPr>
          <w:trHeight w:val="238"/>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Capitation revenue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182,173</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170,931</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service revenue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revenues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171,218</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External provider costs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99,358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96,237</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care, excluding depreciation and amortization</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53,557</w:t>
            </w: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4,413</w:t>
            </w: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general and administrative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30,181</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expenses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187,821</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(16,603)</w:t>
            </w:r>
          </w:p>
        </w:tc>
      </w:tr>
      <w:tr>
        <w:trPr>
          <w:trHeight w:val="250"/>
        </w:trPr>
        <w:tc>
          <w:tcPr>
            <w:tcW w:w="7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(17,169)</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Provision (Benefit) for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(13,699)</w:t>
            </w:r>
          </w:p>
        </w:tc>
      </w:tr>
      <w:tr>
        <w:trPr>
          <w:trHeight w:val="223"/>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net loss attributable to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InnovAge Holding Corp.</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(13,073)</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7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 - basic</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135,790,401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135,566,117</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number of common shares outstanding - diluted</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135,790,401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135,566,117</w:t>
            </w:r>
          </w:p>
        </w:tc>
      </w:tr>
      <w:tr>
        <w:trPr>
          <w:trHeight w:val="250"/>
        </w:trPr>
        <w:tc>
          <w:tcPr>
            <w:tcW w:w="7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 - basic</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Net loss per share - diluted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11"/>
          </w:tcPr>
          <w:p>
            <w:pPr>
              <w:ind w:left="480"/>
              <w:spacing w:after="0"/>
              <w:rPr>
                <w:sz w:val="20"/>
                <w:szCs w:val="20"/>
                <w:color w:val="auto"/>
              </w:rPr>
            </w:pPr>
            <w:r>
              <w:rPr>
                <w:rFonts w:ascii="Arial" w:cs="Arial" w:eastAsia="Arial" w:hAnsi="Arial"/>
                <w:sz w:val="14"/>
                <w:szCs w:val="14"/>
                <w:b w:val="1"/>
                <w:bCs w:val="1"/>
                <w:color w:val="auto"/>
              </w:rPr>
              <w:t>For the Three Months Ended September 30, 2022</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Redeemable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Noncontrolling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214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Capital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Permanent</w:t>
            </w:r>
          </w:p>
        </w:tc>
        <w:tc>
          <w:tcPr>
            <w:tcW w:w="1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Interests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740" w:type="dxa"/>
            <w:vAlign w:val="bottom"/>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9"/>
                <w:szCs w:val="9"/>
                <w:color w:val="auto"/>
              </w:rPr>
            </w:pPr>
          </w:p>
        </w:tc>
        <w:tc>
          <w:tcPr>
            <w:tcW w:w="92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1080" w:type="dxa"/>
            <w:vAlign w:val="bottom"/>
            <w:gridSpan w:val="2"/>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w w:val="96"/>
              </w:rPr>
              <w:t>(Temporary</w:t>
            </w:r>
          </w:p>
        </w:tc>
        <w:tc>
          <w:tcPr>
            <w:tcW w:w="9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26"/>
        </w:trPr>
        <w:tc>
          <w:tcPr>
            <w:tcW w:w="2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Equity)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227"/>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135,532,811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338,466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vMerge w:val="restart"/>
          </w:tcPr>
          <w:p>
            <w:pPr>
              <w:ind w:left="20"/>
              <w:spacing w:after="0"/>
              <w:rPr>
                <w:sz w:val="20"/>
                <w:szCs w:val="20"/>
                <w:color w:val="auto"/>
              </w:rPr>
            </w:pPr>
            <w:r>
              <w:rPr>
                <w:rFonts w:ascii="Arial" w:cs="Arial" w:eastAsia="Arial" w:hAnsi="Arial"/>
                <w:sz w:val="14"/>
                <w:szCs w:val="14"/>
                <w:color w:val="auto"/>
              </w:rPr>
              <w:t>Stock-based compensation</w:t>
            </w: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40" w:type="dxa"/>
            <w:vAlign w:val="bottom"/>
            <w:tcBorders>
              <w:top w:val="single" w:sz="8" w:color="CCEEFF"/>
            </w:tcBorders>
            <w:vMerge w:val="continue"/>
          </w:tcPr>
          <w:p>
            <w:pPr>
              <w:spacing w:after="0"/>
              <w:rPr>
                <w:sz w:val="13"/>
                <w:szCs w:val="13"/>
                <w:color w:val="auto"/>
              </w:rPr>
            </w:pPr>
          </w:p>
        </w:tc>
        <w:tc>
          <w:tcPr>
            <w:tcW w:w="10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37,267</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1,209</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1,209</w:t>
            </w:r>
          </w:p>
        </w:tc>
        <w:tc>
          <w:tcPr>
            <w:tcW w:w="80" w:type="dxa"/>
            <w:vAlign w:val="bottom"/>
          </w:tcPr>
          <w:p>
            <w:pPr>
              <w:spacing w:after="0"/>
              <w:rPr>
                <w:sz w:val="13"/>
                <w:szCs w:val="13"/>
                <w:color w:val="auto"/>
              </w:rPr>
            </w:pPr>
          </w:p>
        </w:tc>
        <w:tc>
          <w:tcPr>
            <w:tcW w:w="10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(13,073)</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(13,155)</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(13,699)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June 30, 2023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Tax withholding related to net share</w:t>
      </w:r>
    </w:p>
    <w:p>
      <w:pPr>
        <w:ind w:left="20"/>
        <w:spacing w:after="0" w:line="227" w:lineRule="auto"/>
        <w:rPr>
          <w:sz w:val="20"/>
          <w:szCs w:val="20"/>
          <w:color w:val="auto"/>
        </w:rPr>
      </w:pPr>
      <w:r>
        <w:rPr>
          <w:rFonts w:ascii="Arial" w:cs="Arial" w:eastAsia="Arial" w:hAnsi="Arial"/>
          <w:sz w:val="14"/>
          <w:szCs w:val="14"/>
          <w:color w:val="auto"/>
        </w:rPr>
        <w:t>settlements of stock-based compensation awards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jc w:val="right"/>
              <w:spacing w:after="0"/>
              <w:rPr>
                <w:sz w:val="20"/>
                <w:szCs w:val="20"/>
                <w:color w:val="auto"/>
              </w:rPr>
            </w:pPr>
            <w:r>
              <w:rPr>
                <w:rFonts w:ascii="Arial" w:cs="Arial" w:eastAsia="Arial" w:hAnsi="Arial"/>
                <w:sz w:val="14"/>
                <w:szCs w:val="14"/>
                <w:color w:val="auto"/>
              </w:rPr>
              <w:t>135,570,078</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328,708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(8,344)</w:t>
            </w:r>
          </w:p>
        </w:tc>
        <w:tc>
          <w:tcPr>
            <w:tcW w:w="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6,020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326,520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14,734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gridSpan w:val="11"/>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gridSpan w:val="11"/>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ind w:left="480"/>
              <w:spacing w:after="0"/>
              <w:rPr>
                <w:sz w:val="20"/>
                <w:szCs w:val="20"/>
                <w:color w:val="auto"/>
              </w:rPr>
            </w:pPr>
            <w:r>
              <w:rPr>
                <w:rFonts w:ascii="Arial" w:cs="Arial" w:eastAsia="Arial" w:hAnsi="Arial"/>
                <w:sz w:val="14"/>
                <w:szCs w:val="14"/>
                <w:b w:val="1"/>
                <w:bCs w:val="1"/>
                <w:color w:val="auto"/>
              </w:rPr>
              <w:t>For the Three Months Ended September 30, 2023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Redeemable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Noncontrolling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Capital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Permanent</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Interests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1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9"/>
                <w:szCs w:val="9"/>
                <w:color w:val="auto"/>
              </w:rPr>
            </w:pPr>
          </w:p>
        </w:tc>
        <w:tc>
          <w:tcPr>
            <w:tcW w:w="92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Earnings</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Arial" w:cs="Arial" w:eastAsia="Arial" w:hAnsi="Arial"/>
                <w:sz w:val="14"/>
                <w:szCs w:val="14"/>
                <w:b w:val="1"/>
                <w:bCs w:val="1"/>
                <w:color w:val="auto"/>
                <w:w w:val="91"/>
              </w:rPr>
              <w:t>Stockholders'</w:t>
            </w: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29" w:lineRule="exact"/>
              <w:rPr>
                <w:sz w:val="20"/>
                <w:szCs w:val="20"/>
                <w:color w:val="auto"/>
              </w:rPr>
            </w:pPr>
            <w:r>
              <w:rPr>
                <w:rFonts w:ascii="Arial" w:cs="Arial" w:eastAsia="Arial" w:hAnsi="Arial"/>
                <w:sz w:val="14"/>
                <w:szCs w:val="14"/>
                <w:b w:val="1"/>
                <w:bCs w:val="1"/>
                <w:color w:val="auto"/>
                <w:w w:val="96"/>
              </w:rPr>
              <w:t>(Temporary</w:t>
            </w:r>
          </w:p>
        </w:tc>
        <w:tc>
          <w:tcPr>
            <w:tcW w:w="9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w w:val="92"/>
              </w:rPr>
              <w:t>Net Income</w:t>
            </w:r>
          </w:p>
        </w:tc>
        <w:tc>
          <w:tcPr>
            <w:tcW w:w="0" w:type="dxa"/>
            <w:vAlign w:val="bottom"/>
          </w:tcPr>
          <w:p>
            <w:pPr>
              <w:spacing w:after="0"/>
              <w:rPr>
                <w:sz w:val="1"/>
                <w:szCs w:val="1"/>
                <w:color w:val="auto"/>
              </w:rPr>
            </w:pPr>
          </w:p>
        </w:tc>
      </w:tr>
      <w:tr>
        <w:trPr>
          <w:trHeight w:val="26"/>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Equity)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(Loss)</w:t>
            </w:r>
          </w:p>
        </w:tc>
        <w:tc>
          <w:tcPr>
            <w:tcW w:w="0" w:type="dxa"/>
            <w:vAlign w:val="bottom"/>
          </w:tcPr>
          <w:p>
            <w:pPr>
              <w:spacing w:after="0"/>
              <w:rPr>
                <w:sz w:val="1"/>
                <w:szCs w:val="1"/>
                <w:color w:val="auto"/>
              </w:rPr>
            </w:pPr>
          </w:p>
        </w:tc>
      </w:tr>
      <w:tr>
        <w:trPr>
          <w:trHeight w:val="182"/>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135,639,845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332,107</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(35,944)</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5,793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302,092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12,708</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347,849</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1"/>
        </w:trPr>
        <w:tc>
          <w:tcPr>
            <w:tcW w:w="1000" w:type="dxa"/>
            <w:vAlign w:val="bottom"/>
          </w:tcPr>
          <w:p>
            <w:pPr>
              <w:jc w:val="right"/>
              <w:spacing w:after="0"/>
              <w:rPr>
                <w:sz w:val="20"/>
                <w:szCs w:val="20"/>
                <w:color w:val="auto"/>
              </w:rPr>
            </w:pPr>
            <w:r>
              <w:rPr>
                <w:rFonts w:ascii="Arial" w:cs="Arial" w:eastAsia="Arial" w:hAnsi="Arial"/>
                <w:sz w:val="14"/>
                <w:szCs w:val="14"/>
                <w:color w:val="auto"/>
              </w:rPr>
              <w:t>(102,854)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(10,392)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(10,962)</w:t>
            </w:r>
          </w:p>
        </w:tc>
        <w:tc>
          <w:tcPr>
            <w:tcW w:w="0" w:type="dxa"/>
            <w:vAlign w:val="bottom"/>
          </w:tcPr>
          <w:p>
            <w:pPr>
              <w:spacing w:after="0"/>
              <w:rPr>
                <w:sz w:val="1"/>
                <w:szCs w:val="1"/>
                <w:color w:val="auto"/>
              </w:rPr>
            </w:pPr>
          </w:p>
        </w:tc>
      </w:tr>
      <w:tr>
        <w:trPr>
          <w:trHeight w:val="25"/>
        </w:trPr>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0" w:type="dxa"/>
            <w:vAlign w:val="bottom"/>
          </w:tcPr>
          <w:p>
            <w:pPr>
              <w:jc w:val="right"/>
              <w:spacing w:after="0"/>
              <w:rPr>
                <w:sz w:val="20"/>
                <w:szCs w:val="20"/>
                <w:color w:val="auto"/>
              </w:rPr>
            </w:pPr>
            <w:r>
              <w:rPr>
                <w:rFonts w:ascii="Arial" w:cs="Arial" w:eastAsia="Arial" w:hAnsi="Arial"/>
                <w:sz w:val="14"/>
                <w:szCs w:val="14"/>
                <w:color w:val="auto"/>
              </w:rPr>
              <w:t>135,884,840</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333,316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(46,248)</w:t>
            </w:r>
          </w:p>
        </w:tc>
        <w:tc>
          <w:tcPr>
            <w:tcW w:w="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5,705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292,909</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12,138</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-1713865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-908050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-607695</wp:posOffset>
            </wp:positionV>
            <wp:extent cx="71323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-170815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360"/>
            <w:col w:w="8500"/>
          </w:cols>
          <w:pgMar w:left="320" w:top="125" w:right="33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w w:val="98"/>
              </w:rPr>
              <w:t>For the Three Months Ended September 30,</w:t>
            </w:r>
          </w:p>
        </w:tc>
      </w:tr>
      <w:tr>
        <w:trPr>
          <w:trHeight w:val="26"/>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7"/>
        </w:trPr>
        <w:tc>
          <w:tcPr>
            <w:tcW w:w="8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6"/>
                <w:szCs w:val="16"/>
                <w:b w:val="1"/>
                <w:bCs w:val="1"/>
                <w:color w:val="auto"/>
              </w:rPr>
              <w:t>2022</w:t>
            </w:r>
          </w:p>
        </w:tc>
      </w:tr>
      <w:tr>
        <w:trPr>
          <w:trHeight w:val="185"/>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67"/>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(10,962)</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(13,699)</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Gain on disposal of assets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Provision for uncollectible accounts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3,433</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Operating lease rentals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Amortization of deferred financing costs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1,209</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(3,470)</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(20,918)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(3,180)</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Prepaid expenses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1,678</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Income tax receivable</w:t>
            </w:r>
          </w:p>
        </w:tc>
        <w:tc>
          <w:tcPr>
            <w:tcW w:w="9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1,750</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Deposits and other</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payable and accrued expenses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1,155</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Reported and estimated claims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(2,480)</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Due to Medicaid and Medicare</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r>
      <w:tr>
        <w:trPr>
          <w:trHeight w:val="182"/>
        </w:trPr>
        <w:tc>
          <w:tcPr>
            <w:tcW w:w="8180" w:type="dxa"/>
            <w:vAlign w:val="bottom"/>
          </w:tcPr>
          <w:p>
            <w:pPr>
              <w:ind w:left="240"/>
              <w:spacing w:after="0"/>
              <w:rPr>
                <w:sz w:val="20"/>
                <w:szCs w:val="20"/>
                <w:color w:val="auto"/>
              </w:rPr>
            </w:pPr>
            <w:r>
              <w:rPr>
                <w:rFonts w:ascii="Arial" w:cs="Arial" w:eastAsia="Arial" w:hAnsi="Arial"/>
                <w:sz w:val="14"/>
                <w:szCs w:val="14"/>
                <w:color w:val="auto"/>
              </w:rPr>
              <w:t>Operating lease liabilities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Deferred revenue</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23,361</w:t>
            </w:r>
          </w:p>
        </w:tc>
      </w:tr>
      <w:tr>
        <w:trPr>
          <w:trHeight w:val="176"/>
        </w:trPr>
        <w:tc>
          <w:tcPr>
            <w:tcW w:w="8180" w:type="dxa"/>
            <w:vAlign w:val="bottom"/>
          </w:tcPr>
          <w:p>
            <w:pPr>
              <w:ind w:left="460"/>
              <w:spacing w:after="0"/>
              <w:rPr>
                <w:sz w:val="20"/>
                <w:szCs w:val="20"/>
                <w:color w:val="auto"/>
              </w:rPr>
            </w:pPr>
            <w:r>
              <w:rPr>
                <w:rFonts w:ascii="Arial" w:cs="Arial" w:eastAsia="Arial" w:hAnsi="Arial"/>
                <w:sz w:val="14"/>
                <w:szCs w:val="14"/>
                <w:color w:val="auto"/>
              </w:rPr>
              <w:t>Net cash (used) provided by operating activities</w:t>
            </w:r>
          </w:p>
        </w:tc>
        <w:tc>
          <w:tcPr>
            <w:tcW w:w="9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(32,985)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13,127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Purchases of property and equipment</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(7,666)</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 of short-term investments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8180" w:type="dxa"/>
            <w:vAlign w:val="bottom"/>
          </w:tcPr>
          <w:p>
            <w:pPr>
              <w:ind w:left="46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top w:val="single" w:sz="8" w:color="auto"/>
            </w:tcBorders>
          </w:tcPr>
          <w:p>
            <w:pPr>
              <w:jc w:val="right"/>
              <w:ind w:right="767"/>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(7,666)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Payments for finance lease obligations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Principal payments on long-term debt</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(948)</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Taxes paid related to net share settlements of stock-based compensation awards</w:t>
            </w: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cash used in financing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(1,668)</w:t>
            </w:r>
          </w:p>
        </w:tc>
      </w:tr>
      <w:tr>
        <w:trPr>
          <w:trHeight w:val="250"/>
        </w:trPr>
        <w:tc>
          <w:tcPr>
            <w:tcW w:w="81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INCREASE (DECREASE) IN CASH, CASH EQUIVALENTS &amp; RESTRICTED CASH</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(38,852)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&amp; RESTRICTED CASH, BEGINNING OF PERIOD</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127,265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184,446</w:t>
            </w: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&amp; RESTRICTED CASH, END OF PERIOD</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188,239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Flows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Interest paid</w:t>
            </w:r>
          </w:p>
        </w:tc>
        <w:tc>
          <w:tcPr>
            <w:tcW w:w="920" w:type="dxa"/>
            <w:vAlign w:val="bottom"/>
          </w:tcPr>
          <w:p>
            <w:pPr>
              <w:jc w:val="right"/>
              <w:ind w:right="767"/>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paid</w:t>
            </w:r>
          </w:p>
        </w:tc>
        <w:tc>
          <w:tcPr>
            <w:tcW w:w="920" w:type="dxa"/>
            <w:vAlign w:val="bottom"/>
            <w:tcBorders>
              <w:bottom w:val="single" w:sz="8" w:color="CCEEFF"/>
            </w:tcBorders>
            <w:shd w:val="clear" w:color="auto" w:fill="CCEEFF"/>
          </w:tcPr>
          <w:p>
            <w:pPr>
              <w:jc w:val="right"/>
              <w:ind w:right="767"/>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2"/>
        </w:trPr>
        <w:tc>
          <w:tcPr>
            <w:tcW w:w="8180" w:type="dxa"/>
            <w:vAlign w:val="bottom"/>
          </w:tcPr>
          <w:p>
            <w:pPr>
              <w:ind w:left="140"/>
              <w:spacing w:after="0"/>
              <w:rPr>
                <w:sz w:val="20"/>
                <w:szCs w:val="20"/>
                <w:color w:val="auto"/>
              </w:rPr>
            </w:pPr>
            <w:r>
              <w:rPr>
                <w:rFonts w:ascii="Arial" w:cs="Arial" w:eastAsia="Arial" w:hAnsi="Arial"/>
                <w:sz w:val="14"/>
                <w:szCs w:val="14"/>
                <w:color w:val="auto"/>
              </w:rPr>
              <w:t>Property and equipment included in accounts payable</w:t>
            </w:r>
          </w:p>
        </w:tc>
        <w:tc>
          <w:tcPr>
            <w:tcW w:w="920" w:type="dxa"/>
            <w:vAlign w:val="bottom"/>
          </w:tcPr>
          <w:p>
            <w:pPr>
              <w:jc w:val="right"/>
              <w:ind w:right="767"/>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2,446</w:t>
            </w:r>
          </w:p>
        </w:tc>
      </w:tr>
      <w:tr>
        <w:trPr>
          <w:trHeight w:val="20"/>
        </w:trPr>
        <w:tc>
          <w:tcPr>
            <w:tcW w:w="8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Property and equipment purchased under finance leases</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8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INNOVAGE HOLDING CORP. AND SUBSIDIARIES</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InnovAge Holding Corp. and its subsidiaries (the "Company"), are headquartered in Denver, Colorado. The Company fulfills a broad range of medical and ancillary services for seniors in need of care and support to safely live independently in their communities, including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September 30, 2023, the Company served approximately 6,580 PACE participants, making it the largest PACE provider in the United States of America (the “U.S.”) based upon participants served, and operates 17 PACE centers across Colorado, California, New Mexico, Pennsylvania and Virginia.</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Affairs (“VA”), and private pay sources. Additionally, under the Medicare Prescription Drug Plan, the Centers for Medicare and Medicaid Services (“CMS”) share part of the risk for providing prescription medication to the Company’s participants.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common stock is traded on the Nasdaq Stock Market LLC (“NASDAQ”) under the ticker symbol “INNV”.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described its significant accounting policies in Note 2, “Summary of Significant Accounting Policies” of the Notes to Consolidated Financial Statements in its Annual Report on Form 10-K for the year ended June 30, 2023 (“2023 10-K”). With the exception of Recently Adopted Accounting Pronouncements described below, there were no significant changes to those accounting policies during the three months ended September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 and Principles of Consolidation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2023. In the opinion of management, all adjustments (consisting of all normal and recurring adjustments) considered necessary for a fair presentation have been included. The condensed consolidated financial statements include the accounts of the Company, its wholly owned subsidiaries, variable interest entities (“VIEs”) for which it is the primary beneficiary and entities for which it has a controlling interest. All intercompany accounts and transactions have been eliminated in consolidation.</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does not have any components of comprehensive income and comprehensive income is equal to net loss reported in the statements of operations for all periods presented.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were comprised of the following as of September 30, 2023 and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12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4"/>
                <w:szCs w:val="14"/>
                <w:color w:val="auto"/>
              </w:rPr>
            </w:pPr>
          </w:p>
        </w:tc>
        <w:tc>
          <w:tcPr>
            <w:tcW w:w="12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92"/>
        </w:trPr>
        <w:tc>
          <w:tcPr>
            <w:tcW w:w="6600" w:type="dxa"/>
            <w:vAlign w:val="bottom"/>
            <w:vMerge w:val="continue"/>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Useful Lives</w:t>
            </w: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right="39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- 40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124,262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 years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Equipment and vehicles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- 7 years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57,754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264,795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262,865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(70,677)</w:t>
            </w:r>
          </w:p>
        </w:tc>
        <w:tc>
          <w:tcPr>
            <w:tcW w:w="0" w:type="dxa"/>
            <w:vAlign w:val="bottom"/>
          </w:tcPr>
          <w:p>
            <w:pPr>
              <w:spacing w:after="0"/>
              <w:rPr>
                <w:sz w:val="1"/>
                <w:szCs w:val="1"/>
                <w:color w:val="auto"/>
              </w:rPr>
            </w:pPr>
          </w:p>
        </w:tc>
      </w:tr>
      <w:tr>
        <w:trPr>
          <w:trHeight w:val="223"/>
        </w:trPr>
        <w:tc>
          <w:tcPr>
            <w:tcW w:w="66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192,188</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of $4.1 million and $3.1 million was recorded during the three months ended September 30, 2023 and 2022,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April 2019, the FASB issued ASU 2019-04, </w:t>
      </w:r>
      <w:r>
        <w:rPr>
          <w:rFonts w:ascii="Arial" w:cs="Arial" w:eastAsia="Arial" w:hAnsi="Arial"/>
          <w:sz w:val="17"/>
          <w:szCs w:val="17"/>
          <w:i w:val="1"/>
          <w:iCs w:val="1"/>
          <w:color w:val="auto"/>
        </w:rPr>
        <w:t>Codification Improvements to Topic 326, Financial Instruments—Credit Losses, Topic 815,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and Topic 825, Financial Instruments (</w:t>
      </w:r>
      <w:r>
        <w:rPr>
          <w:rFonts w:ascii="Arial" w:cs="Arial" w:eastAsia="Arial" w:hAnsi="Arial"/>
          <w:sz w:val="17"/>
          <w:szCs w:val="17"/>
          <w:color w:val="auto"/>
        </w:rPr>
        <w:t>“ASU 2019-04”</w:t>
      </w:r>
      <w:r>
        <w:rPr>
          <w:rFonts w:ascii="Arial" w:cs="Arial" w:eastAsia="Arial" w:hAnsi="Arial"/>
          <w:sz w:val="17"/>
          <w:szCs w:val="17"/>
          <w:i w:val="1"/>
          <w:iCs w:val="1"/>
          <w:color w:val="auto"/>
        </w:rPr>
        <w:t>)</w:t>
      </w:r>
      <w:r>
        <w:rPr>
          <w:rFonts w:ascii="Arial" w:cs="Arial" w:eastAsia="Arial" w:hAnsi="Arial"/>
          <w:sz w:val="17"/>
          <w:szCs w:val="17"/>
          <w:color w:val="auto"/>
        </w:rPr>
        <w:t>, which requires entities to use a current expected credit loss (“CECL”) model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The CECL model is expected to result in more timely recognition of credit losses. The Company adopted the standard on July 1, 2023. Our adoption of the standard did not have a material impact to the condensed consolidated financial statements. The Company makes estimates of expected credit losses based on a combination of factors, including historical losses adjusted for current market conditions, delinquency trends, aging behaviors of receivables and credit and liquidity indicators, and future market and economic conditions and regularly reviews the adequacy of the allowance for credit losses.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do not expect that any other recently issued accounting guidance will have a significant effect on our condensed consolidated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Capitation Revenue and Accounts Receivable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condensed consolidated balance sheets. These costs are amortized over a three-year period which corresponds to the average time a participant is enrolled in the PACE program. As of September 30, 2023 and June 30, 2023, contract assets included within deposits and other were $1.4 million and $1.0 million, respectively.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disaggregates capitation revenue from the following sources for the three months ended: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Pr>
          <w:p>
            <w:pPr>
              <w:spacing w:after="0"/>
              <w:rPr>
                <w:sz w:val="16"/>
                <w:szCs w:val="16"/>
                <w:color w:val="auto"/>
              </w:rPr>
            </w:pPr>
          </w:p>
        </w:tc>
      </w:tr>
      <w:tr>
        <w:trPr>
          <w:trHeight w:val="203"/>
        </w:trPr>
        <w:tc>
          <w:tcPr>
            <w:tcW w:w="8960" w:type="dxa"/>
            <w:vAlign w:val="bottom"/>
            <w:gridSpan w:val="2"/>
          </w:tcPr>
          <w:p>
            <w:pPr>
              <w:ind w:left="8600"/>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6"/>
        </w:trPr>
        <w:tc>
          <w:tcPr>
            <w:tcW w:w="7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Medicare</w:t>
            </w:r>
          </w:p>
        </w:tc>
        <w:tc>
          <w:tcPr>
            <w:tcW w:w="5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pay and 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7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determined the transaction price for these contracts is the amount we expect to be entitled to, which is the most likely amount. For certain capitation payments, the Company is subject to retroactive premium risk adjustments based on various factors. The Company estimates the amount of the adjustment and records it monthly on a straight-line basis. These adjustments are not expected to be material.</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13% of capitation revenues for the three months ended September 30, 2023 and 2022.</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accounts receivable as of September 30, 2023 and June 30, 2023 is primarily from capitation revenue arrangements. The concentration of net receivables from participants and third-party payers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72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456"/>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600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0"/>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43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Medicare</w:t>
            </w: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pay and other</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3540" w:type="dxa"/>
            <w:vAlign w:val="bottom"/>
          </w:tcPr>
          <w:p>
            <w:pPr>
              <w:ind w:left="140"/>
              <w:spacing w:after="0"/>
              <w:rPr>
                <w:sz w:val="20"/>
                <w:szCs w:val="20"/>
                <w:color w:val="auto"/>
              </w:rPr>
            </w:pPr>
            <w:r>
              <w:rPr>
                <w:rFonts w:ascii="Arial" w:cs="Arial" w:eastAsia="Arial" w:hAnsi="Arial"/>
                <w:sz w:val="18"/>
                <w:szCs w:val="18"/>
                <w:color w:val="auto"/>
              </w:rPr>
              <w:t>Total</w:t>
            </w:r>
          </w:p>
        </w:tc>
        <w:tc>
          <w:tcPr>
            <w:tcW w:w="438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380" w:type="dxa"/>
            <w:vAlign w:val="bottom"/>
            <w:vMerge w:val="restart"/>
          </w:tcPr>
          <w:p>
            <w:pPr>
              <w:jc w:val="right"/>
              <w:ind w:right="2115"/>
              <w:spacing w:after="0"/>
              <w:rPr>
                <w:sz w:val="20"/>
                <w:szCs w:val="20"/>
                <w:color w:val="auto"/>
              </w:rPr>
            </w:pPr>
            <w:r>
              <w:rPr>
                <w:rFonts w:ascii="Arial" w:cs="Arial" w:eastAsia="Arial" w:hAnsi="Arial"/>
                <w:sz w:val="18"/>
                <w:szCs w:val="18"/>
                <w:color w:val="auto"/>
              </w:rPr>
              <w:t>11</w:t>
            </w: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54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$4.5 million as of September 30, 2023, compared to $4.2 million as of June 30, 2023. Accounts are written off as bad debts when they are deemed uncollectible based upon individual credit evaluations and specific circumstances underlying the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 Revenue and Accounts Receivable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service revenue is comprised of rents earned related to Senior Housing and other fee for service revenue. Other service revenue was 0.2% of total revenue for the three months ended September 30, 2023 and 2022. Accounts receivable related to other service revenue was not significant as of both September 30, 2023 and June 30, 2023.</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 Method and Equity Method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holds equity method and cost method investments as of:</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18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Method Investments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maintains two investments that are accounted for using the cost method.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three months ended September 30, 2023 and 2022, there were no observable price changes or impairments recorded.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Jetdoc</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The balance of the Company’s investment in Jetdoc is $2.0 million which represents the maximum exposure to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DispatchHealth</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is $2.6 million which represents the maximum exposure to loss.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Pinewood Lodge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operations include a Senior Housing unit that primarily includes the accounts of Continental Community Housing (“CCH”), the general partner of Pinewood Lodge, LLP (“PWD”), which was organized to develop,</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construct, own, maintain, and operate certain apartment complexes intended for rental to low-income elderly individuals aged 62 or older.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 insignificant. As of September 30, 2023, the balance of the Company’s investment in PWD was $0.8 million which represents the maximum exposure to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Housing</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 housing facility. The Company has provided a subordinated loan to SH1 and has provided a guarantee for a convertible term loan held by SH1.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InnovAge Sacramento</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InnovAge Sacramento.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September 30, 2023, none of the conditions specified in the JV Agreement had been met. At the time the Company became a publicly traded company these put rights held by the noncontrolling interests of the joint venture were required to be presented as temporary equity. Redeemable noncontrolling interest of $12.1 million and $12.7 million were recorded at carrying value as of September 30, 2023 and June 30, 2023,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 levels of inputs that may be used to measure fair value are:</w:t>
      </w:r>
    </w:p>
    <w:p>
      <w:pPr>
        <w:spacing w:after="0" w:line="221" w:lineRule="exact"/>
        <w:rPr>
          <w:sz w:val="20"/>
          <w:szCs w:val="20"/>
          <w:color w:val="auto"/>
        </w:rPr>
      </w:pPr>
    </w:p>
    <w:p>
      <w:pPr>
        <w:ind w:left="1620" w:right="20" w:hanging="809"/>
        <w:spacing w:after="0" w:line="277" w:lineRule="auto"/>
        <w:tabs>
          <w:tab w:leader="none" w:pos="160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entity has the ability to access at the measurement date</w:t>
      </w:r>
    </w:p>
    <w:p>
      <w:pPr>
        <w:spacing w:after="0" w:line="170" w:lineRule="exact"/>
        <w:rPr>
          <w:sz w:val="20"/>
          <w:szCs w:val="20"/>
          <w:color w:val="auto"/>
        </w:rPr>
      </w:pPr>
    </w:p>
    <w:p>
      <w:pPr>
        <w:ind w:left="1620" w:right="20" w:hanging="809"/>
        <w:spacing w:after="0" w:line="277" w:lineRule="auto"/>
        <w:tabs>
          <w:tab w:leader="none" w:pos="160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assets or liabilities</w:t>
      </w:r>
    </w:p>
    <w:p>
      <w:pPr>
        <w:spacing w:after="0" w:line="170"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to the valuation techniques that are significant to the fair value measurements of the assets or liabilities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shows the Company’s cash, cash equivalents and marketable securities by significant investment category as of September 30, 2023 and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6"/>
              </w:rPr>
              <w:t>Short-</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w w:val="92"/>
              </w:rPr>
              <w:t>term</w:t>
            </w:r>
          </w:p>
        </w:tc>
        <w:tc>
          <w:tcPr>
            <w:tcW w:w="0" w:type="dxa"/>
            <w:vAlign w:val="bottom"/>
          </w:tcPr>
          <w:p>
            <w:pPr>
              <w:spacing w:after="0"/>
              <w:rPr>
                <w:sz w:val="1"/>
                <w:szCs w:val="1"/>
                <w:color w:val="auto"/>
              </w:rPr>
            </w:pPr>
          </w:p>
        </w:tc>
      </w:tr>
      <w:tr>
        <w:trPr>
          <w:trHeight w:val="197"/>
        </w:trPr>
        <w:tc>
          <w:tcPr>
            <w:tcW w:w="5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46,833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400" w:type="dxa"/>
            <w:vAlign w:val="bottom"/>
            <w:tcBorders>
              <w:bottom w:val="single" w:sz="8" w:color="auto"/>
            </w:tcBorders>
            <w:gridSpan w:val="5"/>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2"/>
              </w:rPr>
              <w:t>June 30, 2023</w:t>
            </w: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6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1"/>
              </w:rPr>
              <w:t>Cash and</w:t>
            </w:r>
          </w:p>
        </w:tc>
        <w:tc>
          <w:tcPr>
            <w:tcW w:w="180" w:type="dxa"/>
            <w:vAlign w:val="bottom"/>
          </w:tcPr>
          <w:p>
            <w:pPr>
              <w:spacing w:after="0"/>
              <w:rPr>
                <w:sz w:val="12"/>
                <w:szCs w:val="12"/>
                <w:color w:val="auto"/>
              </w:rPr>
            </w:pPr>
          </w:p>
        </w:tc>
        <w:tc>
          <w:tcPr>
            <w:tcW w:w="1060" w:type="dxa"/>
            <w:vAlign w:val="bottom"/>
          </w:tcPr>
          <w:p>
            <w:pPr>
              <w:jc w:val="center"/>
              <w:ind w:right="98"/>
              <w:spacing w:after="0" w:line="139" w:lineRule="exact"/>
              <w:rPr>
                <w:sz w:val="20"/>
                <w:szCs w:val="20"/>
                <w:color w:val="auto"/>
              </w:rPr>
            </w:pPr>
            <w:r>
              <w:rPr>
                <w:rFonts w:ascii="Arial" w:cs="Arial" w:eastAsia="Arial" w:hAnsi="Arial"/>
                <w:sz w:val="14"/>
                <w:szCs w:val="14"/>
                <w:b w:val="1"/>
                <w:bCs w:val="1"/>
                <w:color w:val="auto"/>
                <w:w w:val="96"/>
              </w:rPr>
              <w:t>Short-</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4" w:lineRule="exact"/>
              <w:rPr>
                <w:sz w:val="20"/>
                <w:szCs w:val="20"/>
                <w:color w:val="auto"/>
              </w:rPr>
            </w:pPr>
            <w:r>
              <w:rPr>
                <w:rFonts w:ascii="Arial" w:cs="Arial" w:eastAsia="Arial" w:hAnsi="Arial"/>
                <w:sz w:val="14"/>
                <w:szCs w:val="14"/>
                <w:b w:val="1"/>
                <w:bCs w:val="1"/>
                <w:color w:val="auto"/>
                <w:w w:val="92"/>
              </w:rPr>
              <w:t>term</w:t>
            </w:r>
          </w:p>
        </w:tc>
        <w:tc>
          <w:tcPr>
            <w:tcW w:w="0" w:type="dxa"/>
            <w:vAlign w:val="bottom"/>
          </w:tcPr>
          <w:p>
            <w:pPr>
              <w:spacing w:after="0"/>
              <w:rPr>
                <w:sz w:val="1"/>
                <w:szCs w:val="1"/>
                <w:color w:val="auto"/>
              </w:rPr>
            </w:pPr>
          </w:p>
        </w:tc>
      </w:tr>
      <w:tr>
        <w:trPr>
          <w:trHeight w:val="197"/>
        </w:trPr>
        <w:tc>
          <w:tcPr>
            <w:tcW w:w="5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22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46,213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Measurements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September 30, 2023 and June 30, 2023, the Company’s redeemable noncontrolling interest was recorded at carrying value of $12.1 million and $12.7 million, respectively.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in and out of Level 3 during the three months ended September 30, 2023 or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represents the excess of cost over the fair value of net assets acquired. Goodwill amounted to $124.2 million at each of September 30, 2023 and June 30, 2023. Goodwill is not amortized.</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Pursuant to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three reporting units. There were no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indicators of impairment identified and no goodwill impairments recorded during the three months ended September 30, 2023 and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4"/>
                <w:szCs w:val="14"/>
                <w:color w:val="auto"/>
              </w:rPr>
            </w:pPr>
          </w:p>
        </w:tc>
        <w:tc>
          <w:tcPr>
            <w:tcW w:w="118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8"/>
              </w:rPr>
              <w:t>6,600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8"/>
              </w:rPr>
              <w:t>6,600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35"/>
              <w:spacing w:after="0"/>
              <w:rPr>
                <w:sz w:val="20"/>
                <w:szCs w:val="20"/>
                <w:color w:val="auto"/>
              </w:rPr>
            </w:pPr>
            <w:r>
              <w:rPr>
                <w:rFonts w:ascii="Arial" w:cs="Arial" w:eastAsia="Arial" w:hAnsi="Arial"/>
                <w:sz w:val="18"/>
                <w:szCs w:val="18"/>
                <w:color w:val="auto"/>
                <w:w w:val="88"/>
              </w:rPr>
              <w:t>2,000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5"/>
              <w:spacing w:after="0"/>
              <w:rPr>
                <w:sz w:val="20"/>
                <w:szCs w:val="20"/>
                <w:color w:val="auto"/>
              </w:rPr>
            </w:pPr>
            <w:r>
              <w:rPr>
                <w:rFonts w:ascii="Arial" w:cs="Arial" w:eastAsia="Arial" w:hAnsi="Arial"/>
                <w:sz w:val="18"/>
                <w:szCs w:val="18"/>
                <w:color w:val="auto"/>
                <w:w w:val="88"/>
              </w:rPr>
              <w:t>2,000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intangible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left="635"/>
              <w:spacing w:after="0"/>
              <w:rPr>
                <w:sz w:val="20"/>
                <w:szCs w:val="20"/>
                <w:color w:val="auto"/>
              </w:rPr>
            </w:pPr>
            <w:r>
              <w:rPr>
                <w:rFonts w:ascii="Arial" w:cs="Arial" w:eastAsia="Arial" w:hAnsi="Arial"/>
                <w:sz w:val="18"/>
                <w:szCs w:val="18"/>
                <w:color w:val="auto"/>
                <w:w w:val="88"/>
              </w:rPr>
              <w:t>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8"/>
              </w:rPr>
              <w:t>8,600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amortization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615"/>
              <w:spacing w:after="0"/>
              <w:rPr>
                <w:sz w:val="20"/>
                <w:szCs w:val="20"/>
                <w:color w:val="auto"/>
              </w:rPr>
            </w:pPr>
            <w:r>
              <w:rPr>
                <w:rFonts w:ascii="Arial" w:cs="Arial" w:eastAsia="Arial" w:hAnsi="Arial"/>
                <w:sz w:val="18"/>
                <w:szCs w:val="18"/>
                <w:color w:val="auto"/>
                <w:w w:val="94"/>
              </w:rPr>
              <w:t>(3,567)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15"/>
              <w:spacing w:after="0"/>
              <w:rPr>
                <w:sz w:val="20"/>
                <w:szCs w:val="20"/>
                <w:color w:val="auto"/>
              </w:rPr>
            </w:pPr>
            <w:r>
              <w:rPr>
                <w:rFonts w:ascii="Arial" w:cs="Arial" w:eastAsia="Arial" w:hAnsi="Arial"/>
                <w:sz w:val="18"/>
                <w:szCs w:val="18"/>
                <w:color w:val="auto"/>
                <w:w w:val="94"/>
              </w:rPr>
              <w:t>(3,402)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as of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635"/>
              <w:spacing w:after="0"/>
              <w:rPr>
                <w:sz w:val="20"/>
                <w:szCs w:val="20"/>
                <w:color w:val="auto"/>
              </w:rPr>
            </w:pPr>
            <w:r>
              <w:rPr>
                <w:rFonts w:ascii="Arial" w:cs="Arial" w:eastAsia="Arial" w:hAnsi="Arial"/>
                <w:sz w:val="18"/>
                <w:szCs w:val="18"/>
                <w:color w:val="auto"/>
                <w:w w:val="88"/>
              </w:rPr>
              <w:t>5,033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535"/>
              <w:spacing w:after="0"/>
              <w:rPr>
                <w:sz w:val="20"/>
                <w:szCs w:val="20"/>
                <w:color w:val="auto"/>
              </w:rPr>
            </w:pPr>
            <w:r>
              <w:rPr>
                <w:rFonts w:ascii="Arial" w:cs="Arial" w:eastAsia="Arial" w:hAnsi="Arial"/>
                <w:sz w:val="18"/>
                <w:szCs w:val="18"/>
                <w:color w:val="auto"/>
                <w:w w:val="88"/>
              </w:rPr>
              <w:t>5,198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Intangible assets consist primarily of customer relationships acquired through business acquisitions. The Company recorded amortization expense of $0.2 million for each of the three months ended September 30, 2023 and 2022.</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three months ended September 30, 2023 and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 as Lessee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2023 through 2032. We determine if an arrangement is a lease upon commencement of the contract. If an arrangement is determined to be a long-term lease (greater than 12 months), we recognize an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elected to apply the short-term lease exception for contracts that have a lease term of twelve months or less and do not include an option to purchase the underlying asset. Therefore, we do not recognize a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our ROU assets and their classification in our Balance Sheet at September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Component of Lease Balances</w:t>
            </w:r>
          </w:p>
        </w:tc>
        <w:tc>
          <w:tcPr>
            <w:tcW w:w="5020" w:type="dxa"/>
            <w:vAlign w:val="bottom"/>
          </w:tcPr>
          <w:p>
            <w:pPr>
              <w:ind w:left="900"/>
              <w:spacing w:after="0"/>
              <w:rPr>
                <w:sz w:val="20"/>
                <w:szCs w:val="20"/>
                <w:color w:val="auto"/>
              </w:rPr>
            </w:pPr>
            <w:r>
              <w:rPr>
                <w:rFonts w:ascii="Arial" w:cs="Arial" w:eastAsia="Arial" w:hAnsi="Arial"/>
                <w:sz w:val="18"/>
                <w:szCs w:val="18"/>
                <w:b w:val="1"/>
                <w:bCs w:val="1"/>
                <w:color w:val="auto"/>
              </w:rPr>
              <w:t>Balance Sheet Line Items</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4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w w:val="94"/>
              </w:rPr>
              <w:t>June 30, 2023</w:t>
            </w:r>
          </w:p>
        </w:tc>
        <w:tc>
          <w:tcPr>
            <w:tcW w:w="0" w:type="dxa"/>
            <w:vAlign w:val="bottom"/>
          </w:tcPr>
          <w:p>
            <w:pPr>
              <w:spacing w:after="0"/>
              <w:rPr>
                <w:sz w:val="1"/>
                <w:szCs w:val="1"/>
                <w:color w:val="auto"/>
              </w:rPr>
            </w:pPr>
          </w:p>
        </w:tc>
      </w:tr>
      <w:tr>
        <w:trPr>
          <w:trHeight w:val="115"/>
        </w:trPr>
        <w:tc>
          <w:tcPr>
            <w:tcW w:w="32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49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240" w:type="dxa"/>
            <w:vAlign w:val="bottom"/>
          </w:tcPr>
          <w:p>
            <w:pPr>
              <w:spacing w:after="0"/>
              <w:rPr>
                <w:sz w:val="7"/>
                <w:szCs w:val="7"/>
                <w:color w:val="auto"/>
              </w:rPr>
            </w:pPr>
          </w:p>
        </w:tc>
        <w:tc>
          <w:tcPr>
            <w:tcW w:w="50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5020" w:type="dxa"/>
            <w:vAlign w:val="bottom"/>
          </w:tcPr>
          <w:p>
            <w:pPr>
              <w:ind w:left="900"/>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20,454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21,210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5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16,378</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Arial" w:cs="Arial" w:eastAsia="Arial" w:hAnsi="Arial"/>
                <w:sz w:val="18"/>
                <w:szCs w:val="18"/>
                <w:b w:val="1"/>
                <w:bCs w:val="1"/>
                <w:color w:val="auto"/>
              </w:rPr>
              <w:t>Total leased assets</w:t>
            </w:r>
          </w:p>
        </w:tc>
        <w:tc>
          <w:tcPr>
            <w:tcW w:w="5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37,588</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5020" w:type="dxa"/>
            <w:vAlign w:val="bottom"/>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2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components of our lease cost and the classification of such costs in our Statements of Operations for the three months ended September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4"/>
          </w:tcPr>
          <w:p>
            <w:pPr>
              <w:jc w:val="right"/>
              <w:ind w:right="175"/>
              <w:spacing w:after="0"/>
              <w:rPr>
                <w:sz w:val="20"/>
                <w:szCs w:val="20"/>
                <w:color w:val="auto"/>
              </w:rPr>
            </w:pPr>
            <w:r>
              <w:rPr>
                <w:rFonts w:ascii="Arial" w:cs="Arial" w:eastAsia="Arial" w:hAnsi="Arial"/>
                <w:sz w:val="16"/>
                <w:szCs w:val="16"/>
                <w:b w:val="1"/>
                <w:bCs w:val="1"/>
                <w:color w:val="auto"/>
                <w:w w:val="94"/>
              </w:rPr>
              <w:t>Three Months Ended September 30,</w:t>
            </w:r>
          </w:p>
        </w:tc>
      </w:tr>
      <w:tr>
        <w:trPr>
          <w:trHeight w:val="235"/>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Component of Lease Cost</w:t>
            </w:r>
          </w:p>
        </w:tc>
        <w:tc>
          <w:tcPr>
            <w:tcW w:w="5140" w:type="dxa"/>
            <w:vAlign w:val="bottom"/>
          </w:tcPr>
          <w:p>
            <w:pPr>
              <w:ind w:left="1040"/>
              <w:spacing w:after="0"/>
              <w:rPr>
                <w:sz w:val="20"/>
                <w:szCs w:val="20"/>
                <w:color w:val="auto"/>
              </w:rPr>
            </w:pPr>
            <w:r>
              <w:rPr>
                <w:rFonts w:ascii="Arial" w:cs="Arial" w:eastAsia="Arial" w:hAnsi="Arial"/>
                <w:sz w:val="18"/>
                <w:szCs w:val="18"/>
                <w:b w:val="1"/>
                <w:bCs w:val="1"/>
                <w:color w:val="auto"/>
              </w:rPr>
              <w:t>Statements of Operations Line Items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r>
      <w:tr>
        <w:trPr>
          <w:trHeight w:val="193"/>
        </w:trPr>
        <w:tc>
          <w:tcPr>
            <w:tcW w:w="3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060" w:type="dxa"/>
            <w:vAlign w:val="bottom"/>
            <w:shd w:val="clear" w:color="auto" w:fill="CCEEFF"/>
          </w:tcPr>
          <w:p>
            <w:pPr>
              <w:spacing w:after="0"/>
              <w:rPr>
                <w:sz w:val="15"/>
                <w:szCs w:val="15"/>
                <w:color w:val="auto"/>
              </w:rPr>
            </w:pPr>
          </w:p>
        </w:tc>
        <w:tc>
          <w:tcPr>
            <w:tcW w:w="5140" w:type="dxa"/>
            <w:vAlign w:val="bottom"/>
            <w:shd w:val="clear" w:color="auto" w:fill="CCEEFF"/>
          </w:tcPr>
          <w:p>
            <w:pPr>
              <w:ind w:left="1040"/>
              <w:spacing w:after="0" w:line="178" w:lineRule="exact"/>
              <w:rPr>
                <w:sz w:val="20"/>
                <w:szCs w:val="20"/>
                <w:color w:val="auto"/>
              </w:rPr>
            </w:pPr>
            <w:r>
              <w:rPr>
                <w:rFonts w:ascii="Arial" w:cs="Arial" w:eastAsia="Arial" w:hAnsi="Arial"/>
                <w:sz w:val="18"/>
                <w:szCs w:val="18"/>
                <w:color w:val="auto"/>
                <w:w w:val="97"/>
              </w:rPr>
              <w:t>Cost of care excluding depreciation and amortization</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51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and Corporate, general and administrative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bl>
    <w:p>
      <w:pPr>
        <w:ind w:left="20"/>
        <w:spacing w:after="0"/>
        <w:rPr>
          <w:sz w:val="20"/>
          <w:szCs w:val="20"/>
          <w:color w:val="auto"/>
        </w:rPr>
      </w:pPr>
      <w:r>
        <w:rPr>
          <w:rFonts w:ascii="Arial" w:cs="Arial" w:eastAsia="Arial" w:hAnsi="Arial"/>
          <w:sz w:val="18"/>
          <w:szCs w:val="18"/>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 w:lineRule="exact"/>
        <w:rPr>
          <w:sz w:val="20"/>
          <w:szCs w:val="20"/>
          <w:color w:val="auto"/>
        </w:rPr>
      </w:pPr>
    </w:p>
    <w:p>
      <w:pPr>
        <w:ind w:left="140" w:right="1140"/>
        <w:spacing w:after="0" w:line="358" w:lineRule="auto"/>
        <w:rPr>
          <w:sz w:val="20"/>
          <w:szCs w:val="20"/>
          <w:color w:val="auto"/>
        </w:rPr>
      </w:pPr>
      <w:r>
        <w:rPr>
          <w:rFonts w:ascii="Arial" w:cs="Arial" w:eastAsia="Arial" w:hAnsi="Arial"/>
          <w:sz w:val="16"/>
          <w:szCs w:val="16"/>
          <w:color w:val="auto"/>
        </w:rPr>
        <w:t>Amortization of leased assets Interest on lease liabilities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212" w:lineRule="exact"/>
        <w:rPr>
          <w:sz w:val="20"/>
          <w:szCs w:val="20"/>
          <w:color w:val="auto"/>
        </w:rPr>
      </w:pPr>
    </w:p>
    <w:p>
      <w:pPr>
        <w:jc w:val="right"/>
        <w:ind w:right="1840"/>
        <w:spacing w:after="0"/>
        <w:rPr>
          <w:sz w:val="20"/>
          <w:szCs w:val="20"/>
          <w:color w:val="auto"/>
        </w:rPr>
      </w:pPr>
      <w:r>
        <w:rPr>
          <w:rFonts w:ascii="Arial" w:cs="Arial" w:eastAsia="Arial" w:hAnsi="Arial"/>
          <w:sz w:val="15"/>
          <w:szCs w:val="15"/>
          <w:color w:val="auto"/>
        </w:rPr>
        <w:t>Short-term lease cost</w:t>
      </w:r>
    </w:p>
    <w:p>
      <w:pPr>
        <w:spacing w:after="0" w:line="94" w:lineRule="exact"/>
        <w:rPr>
          <w:sz w:val="20"/>
          <w:szCs w:val="20"/>
          <w:color w:val="auto"/>
        </w:rPr>
      </w:pPr>
    </w:p>
    <w:p>
      <w:pPr>
        <w:jc w:val="right"/>
        <w:ind w:right="1800"/>
        <w:spacing w:after="0"/>
        <w:rPr>
          <w:sz w:val="20"/>
          <w:szCs w:val="20"/>
          <w:color w:val="auto"/>
        </w:rPr>
      </w:pPr>
      <w:r>
        <w:rPr>
          <w:rFonts w:ascii="Arial" w:cs="Arial" w:eastAsia="Arial" w:hAnsi="Arial"/>
          <w:sz w:val="16"/>
          <w:szCs w:val="16"/>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176"/>
        </w:trPr>
        <w:tc>
          <w:tcPr>
            <w:tcW w:w="4660" w:type="dxa"/>
            <w:vAlign w:val="bottom"/>
            <w:gridSpan w:val="2"/>
          </w:tcPr>
          <w:p>
            <w:pPr>
              <w:spacing w:after="0" w:line="176" w:lineRule="exact"/>
              <w:rPr>
                <w:sz w:val="20"/>
                <w:szCs w:val="20"/>
                <w:color w:val="auto"/>
              </w:rPr>
            </w:pPr>
            <w:r>
              <w:rPr>
                <w:rFonts w:ascii="Arial" w:cs="Arial" w:eastAsia="Arial" w:hAnsi="Arial"/>
                <w:sz w:val="18"/>
                <w:szCs w:val="18"/>
                <w:color w:val="auto"/>
              </w:rPr>
              <w:t>Cost of care excluding depreciation and amortization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2"/>
        </w:trPr>
        <w:tc>
          <w:tcPr>
            <w:tcW w:w="4660" w:type="dxa"/>
            <w:vAlign w:val="bottom"/>
            <w:gridSpan w:val="2"/>
          </w:tcPr>
          <w:p>
            <w:pPr>
              <w:spacing w:after="0"/>
              <w:rPr>
                <w:sz w:val="20"/>
                <w:szCs w:val="20"/>
                <w:color w:val="auto"/>
              </w:rPr>
            </w:pPr>
            <w:r>
              <w:rPr>
                <w:rFonts w:ascii="Arial" w:cs="Arial" w:eastAsia="Arial" w:hAnsi="Arial"/>
                <w:sz w:val="18"/>
                <w:szCs w:val="18"/>
                <w:color w:val="auto"/>
              </w:rPr>
              <w:t>and Corporate, general and administrative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4660" w:type="dxa"/>
            <w:vAlign w:val="bottom"/>
            <w:gridSpan w:val="2"/>
          </w:tcPr>
          <w:p>
            <w:pPr>
              <w:spacing w:after="0" w:line="176" w:lineRule="exact"/>
              <w:rPr>
                <w:sz w:val="20"/>
                <w:szCs w:val="20"/>
                <w:color w:val="auto"/>
              </w:rPr>
            </w:pPr>
            <w:r>
              <w:rPr>
                <w:rFonts w:ascii="Arial" w:cs="Arial" w:eastAsia="Arial" w:hAnsi="Arial"/>
                <w:sz w:val="18"/>
                <w:szCs w:val="18"/>
                <w:color w:val="auto"/>
              </w:rPr>
              <w:t>Cost of care excluding depreciation and amortization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8"/>
                <w:szCs w:val="18"/>
                <w:color w:val="auto"/>
              </w:rPr>
              <w:t>and Corporate, general and administrative</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w:t>
            </w: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-719455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-187960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720"/>
            <w:col w:w="7140"/>
          </w:cols>
          <w:pgMar w:left="320" w:top="125" w:right="339" w:bottom="1440" w:gutter="0" w:footer="0" w:header="0"/>
          <w:type w:val="continuous"/>
        </w:sectPr>
      </w:pPr>
    </w:p>
    <w:p>
      <w:pPr>
        <w:spacing w:after="0" w:line="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includes the weighted-average lease terms and discount rates for operating and finance leases as of September 30,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remaining lease term:</w:t>
            </w:r>
          </w:p>
        </w:tc>
        <w:tc>
          <w:tcPr>
            <w:tcW w:w="1580" w:type="dxa"/>
            <w:vAlign w:val="bottom"/>
            <w:gridSpan w:val="3"/>
          </w:tcPr>
          <w:p>
            <w:pPr>
              <w:ind w:left="24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155"/>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2022</w:t>
            </w:r>
          </w:p>
        </w:tc>
      </w:tr>
      <w:tr>
        <w:trPr>
          <w:trHeight w:val="223"/>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86"/>
              </w:rPr>
              <w:t>7.7 years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years</w:t>
            </w: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1580" w:type="dxa"/>
            <w:vAlign w:val="bottom"/>
            <w:gridSpan w:val="3"/>
          </w:tcPr>
          <w:p>
            <w:pPr>
              <w:ind w:left="820"/>
              <w:spacing w:after="0"/>
              <w:rPr>
                <w:sz w:val="20"/>
                <w:szCs w:val="20"/>
                <w:color w:val="auto"/>
              </w:rPr>
            </w:pPr>
            <w:r>
              <w:rPr>
                <w:rFonts w:ascii="Arial" w:cs="Arial" w:eastAsia="Arial" w:hAnsi="Arial"/>
                <w:sz w:val="18"/>
                <w:szCs w:val="18"/>
                <w:color w:val="auto"/>
                <w:w w:val="99"/>
              </w:rPr>
              <w:t>3.7 years</w:t>
            </w:r>
          </w:p>
        </w:tc>
        <w:tc>
          <w:tcPr>
            <w:tcW w:w="1480" w:type="dxa"/>
            <w:vAlign w:val="bottom"/>
          </w:tcPr>
          <w:p>
            <w:pPr>
              <w:jc w:val="right"/>
              <w:spacing w:after="0"/>
              <w:rPr>
                <w:sz w:val="20"/>
                <w:szCs w:val="20"/>
                <w:color w:val="auto"/>
              </w:rPr>
            </w:pPr>
            <w:r>
              <w:rPr>
                <w:rFonts w:ascii="Arial" w:cs="Arial" w:eastAsia="Arial" w:hAnsi="Arial"/>
                <w:sz w:val="18"/>
                <w:szCs w:val="18"/>
                <w:color w:val="auto"/>
              </w:rPr>
              <w:t>3.8 years</w:t>
            </w:r>
          </w:p>
        </w:tc>
      </w:tr>
      <w:tr>
        <w:trPr>
          <w:trHeight w:val="499"/>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235"/>
              <w:spacing w:after="0"/>
              <w:rPr>
                <w:sz w:val="20"/>
                <w:szCs w:val="20"/>
                <w:color w:val="auto"/>
              </w:rPr>
            </w:pPr>
            <w:r>
              <w:rPr>
                <w:rFonts w:ascii="Arial" w:cs="Arial" w:eastAsia="Arial" w:hAnsi="Arial"/>
                <w:sz w:val="16"/>
                <w:szCs w:val="16"/>
                <w:b w:val="1"/>
                <w:bCs w:val="1"/>
                <w:color w:val="auto"/>
              </w:rPr>
              <w:t>September 30,</w:t>
            </w:r>
          </w:p>
        </w:tc>
      </w:tr>
      <w:tr>
        <w:trPr>
          <w:trHeight w:val="203"/>
        </w:trPr>
        <w:tc>
          <w:tcPr>
            <w:tcW w:w="79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right"/>
              <w:ind w:right="555"/>
              <w:spacing w:after="0"/>
              <w:rPr>
                <w:sz w:val="20"/>
                <w:szCs w:val="20"/>
                <w:color w:val="auto"/>
              </w:rPr>
            </w:pPr>
            <w:r>
              <w:rPr>
                <w:rFonts w:ascii="Arial" w:cs="Arial" w:eastAsia="Arial" w:hAnsi="Arial"/>
                <w:sz w:val="16"/>
                <w:szCs w:val="16"/>
                <w:b w:val="1"/>
                <w:bCs w:val="1"/>
                <w:color w:val="auto"/>
              </w:rPr>
              <w:t>2022</w:t>
            </w:r>
          </w:p>
        </w:tc>
      </w:tr>
      <w:tr>
        <w:trPr>
          <w:trHeight w:val="223"/>
        </w:trPr>
        <w:tc>
          <w:tcPr>
            <w:tcW w:w="7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9"/>
              </w:rPr>
              <w:t>6.62 %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6.61 %</w:t>
            </w: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Finance leases</w:t>
            </w:r>
          </w:p>
        </w:tc>
        <w:tc>
          <w:tcPr>
            <w:tcW w:w="1340" w:type="dxa"/>
            <w:vAlign w:val="bottom"/>
          </w:tcPr>
          <w:p>
            <w:pPr>
              <w:ind w:left="820"/>
              <w:spacing w:after="0"/>
              <w:rPr>
                <w:sz w:val="20"/>
                <w:szCs w:val="20"/>
                <w:color w:val="auto"/>
              </w:rPr>
            </w:pPr>
            <w:r>
              <w:rPr>
                <w:rFonts w:ascii="Arial" w:cs="Arial" w:eastAsia="Arial" w:hAnsi="Arial"/>
                <w:sz w:val="18"/>
                <w:szCs w:val="18"/>
                <w:color w:val="auto"/>
                <w:w w:val="89"/>
              </w:rPr>
              <w:t>7.87 %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8.76 %</w:t>
            </w:r>
          </w:p>
        </w:tc>
      </w:tr>
    </w:tbl>
    <w:p>
      <w:pPr>
        <w:spacing w:after="0" w:line="2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includes the future maturities of lease payments for operating leases and finance leases for periods subsequent to September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Operating</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Finance</w:t>
            </w:r>
          </w:p>
        </w:tc>
        <w:tc>
          <w:tcPr>
            <w:tcW w:w="340" w:type="dxa"/>
            <w:vAlign w:val="bottom"/>
          </w:tcPr>
          <w:p>
            <w:pPr>
              <w:spacing w:after="0"/>
              <w:rPr>
                <w:sz w:val="14"/>
                <w:szCs w:val="14"/>
                <w:color w:val="auto"/>
              </w:rPr>
            </w:pPr>
          </w:p>
        </w:tc>
        <w:tc>
          <w:tcPr>
            <w:tcW w:w="114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Lease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Lease</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remaining in 2024</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2025</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2027</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7,538</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45,865</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liability accretion / imputed interest</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(7,548)</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38,317</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lease liabilities</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long-term lease 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at September 30, 2023 and June 30, 2023: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Arial" w:cs="Arial" w:eastAsia="Arial" w:hAnsi="Arial"/>
                <w:sz w:val="16"/>
                <w:szCs w:val="16"/>
                <w:b w:val="1"/>
                <w:bCs w:val="1"/>
                <w:color w:val="auto"/>
                <w:w w:val="93"/>
              </w:rPr>
              <w:t>June 30,</w:t>
            </w:r>
          </w:p>
        </w:tc>
      </w:tr>
      <w:tr>
        <w:trPr>
          <w:trHeight w:val="213"/>
        </w:trPr>
        <w:tc>
          <w:tcPr>
            <w:tcW w:w="8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i w:val="1"/>
                <w:iCs w:val="1"/>
                <w:color w:val="auto"/>
              </w:rPr>
              <w:t>in thousands</w:t>
            </w:r>
          </w:p>
        </w:tc>
        <w:tc>
          <w:tcPr>
            <w:tcW w:w="1080" w:type="dxa"/>
            <w:vAlign w:val="bottom"/>
          </w:tcPr>
          <w:p>
            <w:pPr>
              <w:spacing w:after="0"/>
              <w:rPr>
                <w:sz w:val="17"/>
                <w:szCs w:val="17"/>
                <w:color w:val="auto"/>
              </w:rPr>
            </w:pPr>
          </w:p>
        </w:tc>
      </w:tr>
      <w:tr>
        <w:trPr>
          <w:trHeight w:val="235"/>
        </w:trPr>
        <w:tc>
          <w:tcPr>
            <w:tcW w:w="8180" w:type="dxa"/>
            <w:vAlign w:val="bottom"/>
          </w:tcPr>
          <w:p>
            <w:pPr>
              <w:ind w:left="20"/>
              <w:spacing w:after="0"/>
              <w:rPr>
                <w:sz w:val="20"/>
                <w:szCs w:val="20"/>
                <w:color w:val="auto"/>
              </w:rPr>
            </w:pPr>
            <w:r>
              <w:rPr>
                <w:rFonts w:ascii="Arial" w:cs="Arial" w:eastAsia="Arial" w:hAnsi="Arial"/>
                <w:sz w:val="18"/>
                <w:szCs w:val="18"/>
                <w:color w:val="auto"/>
              </w:rPr>
              <w:t>Senior secured borrowings: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Term Loan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Convertible term loan</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69,784</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Noncurrent maturities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64,844</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Credit Agreement</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8, 2021, the Company entered into a credit agreement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The remaining capacity under the Revolving Credit Facility as of September 30, 2023 was $97.2 million, subject to (i) any issued amounts under our letters of credit, which as of September 30, 2023 was $2.8 million, and (ii) applicable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 Proceeds of the Term Loan Facility, together with proceeds from the Company’s initial public offering (“IPO”), were used to repay long term debt amounts then outstanding.</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Outstanding principal amounts under the 2021 Credit Agreement accrue interest at a variable interest rate. As of September 30, 2023, the interest rate on the Term Loan Facility was 7.30%. Under the terms of the 2021 Credit Agreement, the Revolving Credit Facility fee accrues at 0.25% of the average daily unused amount and is paid quarterly. As of September 30, 2023, we had no borrowings outstanding, $2.8 million of letters of credit issued, and $97.2 million of remaining capacity under the Revolving Credit Facility.</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September 30, 2023, the Company was in compliance with the covenants of the 2021 Credit Agreement.</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deferred financing costs of $2.0 million are amortized over the term of the underlying debt and unamortized amounts have been offset against long-term debt in the condensed consolidated balance sheets. Total amortization of deferred financing costs was $0.1 million and $0.3 million for the three months ended September 30, 2023 and September 30,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Term Loan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29, 2015, SH1 entered into a convertible term loan. Monthly principal and interest payments of $0.02 million commenced on September 1, 2015.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Liability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if accruals are appropriate. The Company expenses legal costs as such costs are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Civil Investigative Demands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requesting supplemental information on the same matters. The Company continues to fully cooperate with the DOJ and produce the requested information and documentation. We are currently unable to predict the outcome of this investigation.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Lawsuits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w:t>
      </w:r>
    </w:p>
    <w:p>
      <w:pPr>
        <w:spacing w:after="0" w:line="1" w:lineRule="exact"/>
        <w:rPr>
          <w:sz w:val="20"/>
          <w:szCs w:val="20"/>
          <w:color w:val="auto"/>
        </w:rPr>
      </w:pPr>
    </w:p>
    <w:p>
      <w:pPr>
        <w:jc w:val="both"/>
        <w:ind w:firstLine="8"/>
        <w:spacing w:after="0" w:line="273" w:lineRule="auto"/>
        <w:tabs>
          <w:tab w:leader="none" w:pos="284" w:val="left"/>
        </w:tabs>
        <w:numPr>
          <w:ilvl w:val="0"/>
          <w:numId w:val="5"/>
        </w:numPr>
        <w:rPr>
          <w:rFonts w:ascii="Arial" w:cs="Arial" w:eastAsia="Arial" w:hAnsi="Arial"/>
          <w:sz w:val="17"/>
          <w:szCs w:val="17"/>
          <w:color w:val="auto"/>
        </w:rPr>
      </w:pPr>
      <w:r>
        <w:rPr>
          <w:rFonts w:ascii="Arial" w:cs="Arial" w:eastAsia="Arial" w:hAnsi="Arial"/>
          <w:sz w:val="17"/>
          <w:szCs w:val="17"/>
          <w:color w:val="auto"/>
        </w:rPr>
        <w:t>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w:t>
      </w:r>
    </w:p>
    <w:p>
      <w:pPr>
        <w:spacing w:after="0" w:line="1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We are currently unable to predict the outcome of this matter.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 the Securities Action or upon fifteen days’ notice by any party to the litigation. We are currently unable to predict the outcome of this matters.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third fiscal quarter of 2023, the Company agreed to settle a wage and hour class action lawsuit in the State of California for a cash payment of $1.2 million. Subsequently, the Company was notified of certain additional individual claims and has agreed to include such claims within the class. As a result, in October 2023, the Company agreed to increase the settlement amount to a total of $1.3 million. The agreement is subject to court approval, which we expect to occur in the second half of 2024.</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our aggregate stock-based compensation expense is set forth below. Stock-based compensation expense is included in corporate, general and administrative expenses on our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tcBorders>
              <w:bottom w:val="single" w:sz="8" w:color="auto"/>
            </w:tcBorders>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r>
      <w:tr>
        <w:trPr>
          <w:trHeight w:val="206"/>
        </w:trPr>
        <w:tc>
          <w:tcPr>
            <w:tcW w:w="7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00" w:type="dxa"/>
            <w:vAlign w:val="bottom"/>
            <w:gridSpan w:val="3"/>
          </w:tcPr>
          <w:p>
            <w:pPr>
              <w:jc w:val="right"/>
              <w:ind w:right="753"/>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Pr>
          <w:p>
            <w:pPr>
              <w:spacing w:after="0"/>
              <w:rPr>
                <w:sz w:val="17"/>
                <w:szCs w:val="17"/>
                <w:color w:val="auto"/>
              </w:rPr>
            </w:pPr>
          </w:p>
        </w:tc>
      </w:tr>
      <w:tr>
        <w:trPr>
          <w:trHeight w:val="276"/>
        </w:trPr>
        <w:tc>
          <w:tcPr>
            <w:tcW w:w="7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Profits interests units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9"/>
                <w:szCs w:val="19"/>
                <w:color w:val="auto"/>
              </w:rPr>
            </w:pPr>
          </w:p>
        </w:tc>
        <w:tc>
          <w:tcPr>
            <w:tcW w:w="1220" w:type="dxa"/>
            <w:vAlign w:val="bottom"/>
            <w:tcBorders>
              <w:bottom w:val="single" w:sz="8" w:color="auto"/>
            </w:tcBorders>
          </w:tcPr>
          <w:p>
            <w:pPr>
              <w:jc w:val="right"/>
              <w:ind w:right="101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1,300</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Profits Interests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can be granted to employees, directors, consultants, advisers, and other service providers (including partners) of the LP or any of its affiliates, including the Company. A maximum number of 16,162,177 Class B Units are authorized for grant under the 2020 Equity Incentive Plan, and both performance-based and time-based units have been issued under the plan. As of September 30, 2023, a total of 14,972,836 profits interests units had been granted under the 2020 Equity Incentive Plan.</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used the Monte Carlo option model to determine the fair value of the profits interests units at the time of the grant. A total of 1,963,700 Class B Units were awarded during the three months ended September 30, 2023 to the Company's Chief Executive Officer and Chief Financial Officer. The assumptions under the Monte Carlo model related to the profits interests units, presented on a weighted-average basis, are provided below:</w:t>
      </w:r>
    </w:p>
    <w:p>
      <w:pPr>
        <w:spacing w:after="0" w:line="185"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240" w:type="dxa"/>
            <w:vAlign w:val="bottom"/>
            <w:shd w:val="clear" w:color="auto" w:fill="CCEEFF"/>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203"/>
        </w:trPr>
        <w:tc>
          <w:tcPr>
            <w:tcW w:w="4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Expected volatility</w:t>
            </w:r>
          </w:p>
        </w:tc>
        <w:tc>
          <w:tcPr>
            <w:tcW w:w="4740" w:type="dxa"/>
            <w:vAlign w:val="bottom"/>
            <w:shd w:val="clear" w:color="auto" w:fill="CCEEFF"/>
          </w:tcPr>
          <w:p>
            <w:pPr>
              <w:spacing w:after="0"/>
              <w:rPr>
                <w:sz w:val="17"/>
                <w:szCs w:val="17"/>
                <w:color w:val="auto"/>
              </w:rPr>
            </w:pPr>
          </w:p>
        </w:tc>
        <w:tc>
          <w:tcPr>
            <w:tcW w:w="2260" w:type="dxa"/>
            <w:vAlign w:val="bottom"/>
            <w:gridSpan w:val="3"/>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74.0-76.0 %</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Expected life (years) - time vesting units</w:t>
            </w:r>
          </w:p>
        </w:tc>
        <w:tc>
          <w:tcPr>
            <w:tcW w:w="4740" w:type="dxa"/>
            <w:vAlign w:val="bottom"/>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3.0 - 3.1</w:t>
            </w:r>
          </w:p>
        </w:tc>
        <w:tc>
          <w:tcPr>
            <w:tcW w:w="32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w:t>
            </w:r>
          </w:p>
        </w:tc>
        <w:tc>
          <w:tcPr>
            <w:tcW w:w="47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- 4.57 %</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- 2.17</w:t>
            </w:r>
          </w:p>
        </w:tc>
        <w:tc>
          <w:tcPr>
            <w:tcW w:w="320" w:type="dxa"/>
            <w:vAlign w:val="bottom"/>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Fair value of underlying stock</w:t>
            </w:r>
          </w:p>
        </w:tc>
        <w:tc>
          <w:tcPr>
            <w:tcW w:w="47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5.53</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- 7.27</w:t>
            </w:r>
          </w:p>
        </w:tc>
        <w:tc>
          <w:tcPr>
            <w:tcW w:w="320" w:type="dxa"/>
            <w:vAlign w:val="bottom"/>
          </w:tcPr>
          <w:p>
            <w:pPr>
              <w:spacing w:after="0"/>
              <w:rPr>
                <w:sz w:val="20"/>
                <w:szCs w:val="20"/>
                <w:color w:val="auto"/>
              </w:rPr>
            </w:pPr>
          </w:p>
        </w:tc>
      </w:tr>
      <w:tr>
        <w:trPr>
          <w:trHeight w:val="890"/>
        </w:trPr>
        <w:tc>
          <w:tcPr>
            <w:tcW w:w="4240" w:type="dxa"/>
            <w:vAlign w:val="bottom"/>
          </w:tcPr>
          <w:p>
            <w:pPr>
              <w:spacing w:after="0"/>
              <w:rPr>
                <w:sz w:val="24"/>
                <w:szCs w:val="24"/>
                <w:color w:val="auto"/>
              </w:rPr>
            </w:pPr>
          </w:p>
        </w:tc>
        <w:tc>
          <w:tcPr>
            <w:tcW w:w="4740" w:type="dxa"/>
            <w:vAlign w:val="bottom"/>
          </w:tcPr>
          <w:p>
            <w:pPr>
              <w:jc w:val="right"/>
              <w:ind w:right="3170"/>
              <w:spacing w:after="0"/>
              <w:rPr>
                <w:sz w:val="20"/>
                <w:szCs w:val="20"/>
                <w:color w:val="auto"/>
              </w:rPr>
            </w:pPr>
            <w:r>
              <w:rPr>
                <w:rFonts w:ascii="Arial" w:cs="Arial" w:eastAsia="Arial" w:hAnsi="Arial"/>
                <w:sz w:val="18"/>
                <w:szCs w:val="18"/>
                <w:color w:val="auto"/>
              </w:rPr>
              <w:t>19</w:t>
            </w: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profits interests activity for the three months ended September 30, 2023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Time-based unit awards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213"/>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5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1,264,337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981,850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(680,645)</w:t>
            </w:r>
          </w:p>
        </w:tc>
        <w:tc>
          <w:tcPr>
            <w:tcW w:w="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1,184,863</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Performance-based unit awards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Weighted average</w:t>
            </w:r>
          </w:p>
        </w:tc>
        <w:tc>
          <w:tcPr>
            <w:tcW w:w="0" w:type="dxa"/>
            <w:vAlign w:val="bottom"/>
          </w:tcPr>
          <w:p>
            <w:pPr>
              <w:spacing w:after="0"/>
              <w:rPr>
                <w:sz w:val="1"/>
                <w:szCs w:val="1"/>
                <w:color w:val="auto"/>
              </w:rPr>
            </w:pPr>
          </w:p>
        </w:tc>
      </w:tr>
      <w:tr>
        <w:trPr>
          <w:trHeight w:val="213"/>
        </w:trPr>
        <w:tc>
          <w:tcPr>
            <w:tcW w:w="8180" w:type="dxa"/>
            <w:vAlign w:val="bottom"/>
            <w:gridSpan w:val="2"/>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8"/>
              </w:rPr>
              <w:t>units</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grant date fair value</w:t>
            </w:r>
          </w:p>
        </w:tc>
        <w:tc>
          <w:tcPr>
            <w:tcW w:w="0" w:type="dxa"/>
            <w:vAlign w:val="bottom"/>
          </w:tcPr>
          <w:p>
            <w:pPr>
              <w:spacing w:after="0"/>
              <w:rPr>
                <w:sz w:val="1"/>
                <w:szCs w:val="1"/>
                <w:color w:val="auto"/>
              </w:rPr>
            </w:pPr>
          </w:p>
        </w:tc>
      </w:tr>
      <w:tr>
        <w:trPr>
          <w:trHeight w:val="25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2,118,558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981,850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(1,853,737)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1,246,671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total unrecognized compensation cost related to profits interests units outstanding as of September 30, 2023 was $4.6 million, comprised (i) $2.1 million related to time-based unit awards expected to be recognized over a weighted-average period of 2.8 years and (ii) $2.5 million related to performance-based unit awards, which will be recorded when it is probable that the performance-based criteria will be met.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 Certain awards under this plan vest upon achieving specific share price performance criteria and are determined to have performance-based vesting conditions. The Company has also issued time-based stock options under this plan to its employees which generally vest at various intervals over a three-year period.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time-based vesting restricted stock units activity for the three months ended September 30, 2023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Restricted stock units - time based</w:t>
            </w:r>
          </w:p>
        </w:tc>
        <w:tc>
          <w:tcPr>
            <w:tcW w:w="1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Arial" w:cs="Arial" w:eastAsia="Arial" w:hAnsi="Arial"/>
                <w:sz w:val="16"/>
                <w:szCs w:val="16"/>
                <w:b w:val="1"/>
                <w:bCs w:val="1"/>
                <w:color w:val="auto"/>
              </w:rPr>
              <w:t>awards</w:t>
            </w:r>
          </w:p>
        </w:tc>
        <w:tc>
          <w:tcPr>
            <w:tcW w:w="2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25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1,873,794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284,942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(318,155)</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1,817,088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unrecognized compensation cost related to time based restricted stock units outstanding as of September 30, 2023 was $8.0 million and is expected to be recognized over a weighted-average period of 2.1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based vesting restricted stock units activity for the three months ended September 30, 2023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Restricted stock units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25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unrecognized compensation cost related to performance based vesting restricted stock units outstanding as of September 30, 2023 was $0.7 million and is expected to be recognized over a weighted-average period of 2.1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time-based vesting stock option activity for the three months ended September 30, 2023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62"/>
        </w:trPr>
        <w:tc>
          <w:tcPr>
            <w:tcW w:w="4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Stock options - time based</w:t>
            </w: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auto"/>
            </w:tcBorders>
            <w:vMerge w:val="continue"/>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253"/>
        </w:trPr>
        <w:tc>
          <w:tcPr>
            <w:tcW w:w="4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2023</w:t>
            </w:r>
          </w:p>
        </w:tc>
        <w:tc>
          <w:tcPr>
            <w:tcW w:w="5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716,661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Granted</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3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Outstanding balance, September 30, 2023</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716,661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Exercisable balance, September 30, 2023</w:t>
            </w:r>
          </w:p>
        </w:tc>
        <w:tc>
          <w:tcPr>
            <w:tcW w:w="5380" w:type="dxa"/>
            <w:vAlign w:val="bottom"/>
            <w:gridSpan w:val="3"/>
          </w:tcPr>
          <w:p>
            <w:pPr>
              <w:jc w:val="right"/>
              <w:spacing w:after="0"/>
              <w:rPr>
                <w:sz w:val="20"/>
                <w:szCs w:val="20"/>
                <w:color w:val="auto"/>
              </w:rPr>
            </w:pPr>
            <w:r>
              <w:rPr>
                <w:rFonts w:ascii="Arial" w:cs="Arial" w:eastAsia="Arial" w:hAnsi="Arial"/>
                <w:sz w:val="18"/>
                <w:szCs w:val="18"/>
                <w:color w:val="auto"/>
              </w:rPr>
              <w:t>296,105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904"/>
        </w:trPr>
        <w:tc>
          <w:tcPr>
            <w:tcW w:w="4280" w:type="dxa"/>
            <w:vAlign w:val="bottom"/>
          </w:tcPr>
          <w:p>
            <w:pPr>
              <w:spacing w:after="0"/>
              <w:rPr>
                <w:sz w:val="24"/>
                <w:szCs w:val="24"/>
                <w:color w:val="auto"/>
              </w:rPr>
            </w:pPr>
          </w:p>
        </w:tc>
        <w:tc>
          <w:tcPr>
            <w:tcW w:w="3800" w:type="dxa"/>
            <w:vAlign w:val="bottom"/>
          </w:tcPr>
          <w:p>
            <w:pPr>
              <w:jc w:val="right"/>
              <w:ind w:right="22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unrecognized compensation cost related to time-based vesting stock options outstanding as of September 30, 2023 was $0.3 million and is expected to be recognized over a weighted-average period of 1.8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performance-based vesting stock option activity for the three months ended September 30, 2023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 options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4"/>
              </w:rPr>
              <w:t>grant-date fair</w:t>
            </w:r>
          </w:p>
        </w:tc>
        <w:tc>
          <w:tcPr>
            <w:tcW w:w="0" w:type="dxa"/>
            <w:vAlign w:val="bottom"/>
          </w:tcPr>
          <w:p>
            <w:pPr>
              <w:spacing w:after="0"/>
              <w:rPr>
                <w:sz w:val="1"/>
                <w:szCs w:val="1"/>
                <w:color w:val="auto"/>
              </w:rPr>
            </w:pPr>
          </w:p>
        </w:tc>
      </w:tr>
      <w:tr>
        <w:trPr>
          <w:trHeight w:val="213"/>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Arial" w:cs="Arial" w:eastAsia="Arial" w:hAnsi="Arial"/>
                <w:sz w:val="16"/>
                <w:szCs w:val="16"/>
                <w:b w:val="1"/>
                <w:bCs w:val="1"/>
                <w:color w:val="auto"/>
                <w:w w:val="90"/>
              </w:rPr>
              <w:t>value per share</w:t>
            </w:r>
          </w:p>
        </w:tc>
        <w:tc>
          <w:tcPr>
            <w:tcW w:w="0" w:type="dxa"/>
            <w:vAlign w:val="bottom"/>
          </w:tcPr>
          <w:p>
            <w:pPr>
              <w:spacing w:after="0"/>
              <w:rPr>
                <w:sz w:val="1"/>
                <w:szCs w:val="1"/>
                <w:color w:val="auto"/>
              </w:rPr>
            </w:pPr>
          </w:p>
        </w:tc>
      </w:tr>
      <w:tr>
        <w:trPr>
          <w:trHeight w:val="253"/>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balance, September 30,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unrecognized compensation cost related to performance-based vesting stock options outstanding as of September 30, 2023 was $1.2 million and is expected to be recognized over a weighted-average period of 2.2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recorded an income tax expense of $0.2 million and an income tax benefit of $3.5 million for the three months ended September 30, 2023 and 2022, respectively. This represents an effective tax rate of (2.1)% and 20.6% for the three months ended September 30, 2023 and 2022, respectively.</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rate for the three months ended September 30, 2023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lobbying expenses, and the increase in the Company's valuation allowance against Net operating losses which occurred during the three-month period.</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three-month period ended September 30, 2023, the Company has determined that it is not “more likely than not” that the deferred tax assets associated with certain state net operating losses will be realized and as such continues to maintain a valuation allowance against these state deferred tax assets. The Company has also determined it is not "more likely than not" that the deferred tax assets associated with certain federal net operating losses will be realized and as such has included a valuation allowance against these federal deferred tax assets. The Company has provided $14.8 million at September 30, 2023 and $8.3 million at June 30, 2023, as a valuation allowance against its deferred tax assets for federal and state net operating losses where there is not sufficient positive evidence to substantiate that these deferred tax assets will be realized at a more-likely-than-not level of assurance.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earnings per share. When net income from continuing operations exists, performance-based units, are omitted from the calculation of diluted EPS until it is determined that the performance criteria has been met at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end of the reporting period. For the three months ended September 30, 2023, 348,090 potentially diluted securities were excluded from the weighted-average shares used to calculate the diluted net loss per common share as they would have an anti-dilutive effect.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26"/>
        </w:trPr>
        <w:tc>
          <w:tcPr>
            <w:tcW w:w="8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values</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InnovAge Holding Corp.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135,790,401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135,566,117</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EPS (basic)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shares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135,790,401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135,566,117</w:t>
            </w:r>
          </w:p>
        </w:tc>
        <w:tc>
          <w:tcPr>
            <w:tcW w:w="0" w:type="dxa"/>
            <w:vAlign w:val="bottom"/>
          </w:tcPr>
          <w:p>
            <w:pPr>
              <w:spacing w:after="0"/>
              <w:rPr>
                <w:sz w:val="1"/>
                <w:szCs w:val="1"/>
                <w:color w:val="auto"/>
              </w:rPr>
            </w:pP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EPS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Reporting</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applies ASC Topic 280, "</w:t>
      </w:r>
      <w:r>
        <w:rPr>
          <w:rFonts w:ascii="Arial" w:cs="Arial" w:eastAsia="Arial" w:hAnsi="Arial"/>
          <w:sz w:val="16"/>
          <w:szCs w:val="16"/>
          <w:i w:val="1"/>
          <w:iCs w:val="1"/>
          <w:color w:val="auto"/>
        </w:rPr>
        <w:t>Segment Reporting</w:t>
      </w:r>
      <w:r>
        <w:rPr>
          <w:rFonts w:ascii="Arial" w:cs="Arial" w:eastAsia="Arial" w:hAnsi="Arial"/>
          <w:sz w:val="16"/>
          <w:szCs w:val="16"/>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three operating segments, two of which are related to the Company’s PACE offering. The PACE-related operating segments are based on two geographic divisions, which are West and East. Due to the similar economic characteristics, nature of services, and customers, we have aggregated our West and East operating segments into one reportable segment for PACE. The Company’s remaining operating segment primarily relates to Senior Housing, which is an immaterial operating segment, and shown below as "Other" along with certain corporate unallocated expenses.</w:t>
      </w:r>
    </w:p>
    <w:p>
      <w:pPr>
        <w:spacing w:after="0" w:line="16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management uses Center-level Contribution Margin as the measure for assessing performance of its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operating results regularly provided to the CODM by reportable segment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2023</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2022</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PACE</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line="196" w:lineRule="exact"/>
              <w:rPr>
                <w:sz w:val="20"/>
                <w:szCs w:val="20"/>
                <w:color w:val="auto"/>
              </w:rPr>
            </w:pPr>
            <w:r>
              <w:rPr>
                <w:rFonts w:ascii="Arial" w:cs="Arial" w:eastAsia="Arial" w:hAnsi="Arial"/>
                <w:sz w:val="14"/>
                <w:szCs w:val="14"/>
                <w:b w:val="1"/>
                <w:bCs w:val="1"/>
                <w:color w:val="auto"/>
              </w:rPr>
              <w:t>All other</w:t>
            </w:r>
            <w:r>
              <w:rPr>
                <w:rFonts w:ascii="Arial" w:cs="Arial" w:eastAsia="Arial" w:hAnsi="Arial"/>
                <w:sz w:val="18"/>
                <w:szCs w:val="18"/>
                <w:b w:val="1"/>
                <w:bCs w:val="1"/>
                <w:color w:val="auto"/>
                <w:vertAlign w:val="superscript"/>
              </w:rPr>
              <w:t>(1)</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PACE</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196" w:lineRule="exact"/>
              <w:rPr>
                <w:sz w:val="20"/>
                <w:szCs w:val="20"/>
                <w:color w:val="auto"/>
              </w:rPr>
            </w:pPr>
            <w:r>
              <w:rPr>
                <w:rFonts w:ascii="Arial" w:cs="Arial" w:eastAsia="Arial" w:hAnsi="Arial"/>
                <w:sz w:val="14"/>
                <w:szCs w:val="14"/>
                <w:b w:val="1"/>
                <w:bCs w:val="1"/>
                <w:color w:val="auto"/>
              </w:rPr>
              <w:t>All other</w:t>
            </w:r>
            <w:r>
              <w:rPr>
                <w:rFonts w:ascii="Arial" w:cs="Arial" w:eastAsia="Arial" w:hAnsi="Arial"/>
                <w:sz w:val="18"/>
                <w:szCs w:val="18"/>
                <w:b w:val="1"/>
                <w:bCs w:val="1"/>
                <w:color w:val="auto"/>
                <w:vertAlign w:val="superscript"/>
              </w:rPr>
              <w:t>(1)</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Capitation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170,931</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service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171,218</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External provider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96,237</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Cost of care, excluding depreciation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53,557</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Center-Level Contribution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21,424</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Overhead costs</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34,594</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(17,169)</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0"/>
          <w:szCs w:val="20"/>
          <w:color w:val="auto"/>
        </w:rPr>
      </w:pPr>
    </w:p>
    <w:p>
      <w:pPr>
        <w:ind w:left="660" w:hanging="652"/>
        <w:spacing w:after="0" w:line="24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Center-level Contribution Margin from segments below the quantitative thresholds are primarily attributable to the Senior Housing operating segment of the Company. This segment has never met any of the quantitative thresholds for determining reportable segments.</w:t>
      </w: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Overhead consists of the Sales and marketing and Corporate, general and administrative financial statement line items.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Pursuant to the PWD Amended and Restated Agreement of Limited Partnership, the general partner, who is a subsidiary of the Company (the “General Partner”), funded operating deficits and shortfalls of PWD in the form of a loan. At each of September 30, 2023 and June 30, 2023, $0.7 million was recorded in Deposits and other. Additionally, the General Partner is paid an administration fee of $35,000 per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the date on which the condensed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2023 (“2023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InnovAge Holding Corp. (“InnovAge”) became a public company in March 2021. As of September 30, 2023, the Company served approximately 6,580 PACE participants, and operated 17 PACE centers across Colorado, California, New Mexico, Pennsylvania, and Virginia.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 Affecting the Company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fiscal year 2023, the U.S. and global economies experienced adverse macroeconomic effects in part resulting from the ongoing effects of the COVID-19 pandemic. These effects included inflation and increased wages due to labor shortages. In fiscal year 2022 and 2023, in response to high levels of inflation, we began to implement various mitigation strategies to reduce costs of operation, including consolidating services and price negotiations with providers and vendors. While inflationary pressures eased significantly during the second half of fiscal 2023, inflation has continued during the three months ended September 30, 2023 and is expected to continue through the remainder of the fiscal year. As a result, the Company has continued the mitigation strategies discussed during the three months ended September 30, 2023. The effects of inflation, after accounting for these mitigation strategies, were immaterial to our financial results for the three months ended September 30, 2023. Although we expect to continue mitigation efforts, there can be no assurance that our strategies will be sufficient.</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Operating expenses increased $5.4 million, or 2.9%, for the three months ended September 30, 2023 compared to 2022 due to, in part, to increased cost of care and related cost per participant as a result of increased salaries, wages and benefits associated with increased headcount and higher wage rates and increased fleet and contract transportation costs due to an increase in average daily attendance and external appointments. In fiscal year 2023, we launched and conducted several initiatives intended to lower certain of our costs, including limiting corporate staffing, effecting a reduction in workforce in December 2022, and optimizing working capital. We expect to experience elevated operating expenses for the remainder of fiscal 2024 for similar reasons.</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October 2023, the Company conducted a planned reduction in workforce. The plan involved the termination of approximately 34 employees, representing approximately 1.6% of the Company's workforce. In connection with the planned reduction, the Company estimates that it will incur approximately $0.3 million to $0.4 million of charges in connection with employee severance and benefits costs, which the Company expects to incur in the second quarter of fiscal year 2024.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evaluate increased costs and methods to mitigate or offset such costs.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Census and capitation revenue. </w:t>
      </w:r>
      <w:r>
        <w:rPr>
          <w:rFonts w:ascii="Arial" w:cs="Arial" w:eastAsia="Arial" w:hAnsi="Arial"/>
          <w:sz w:val="16"/>
          <w:szCs w:val="16"/>
          <w:color w:val="auto"/>
        </w:rPr>
        <w:t>On May 11, 2023 the President allowed the national emergency and public health emergency declarations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COVID-19 pandemic to expire. The declarations had been in place since early 2020, and in addition to various Congress enacted legislation allowed the federal government flexibility to waive or modify certain requirements in a range of areas, including Medicare and Medicaid. To date, we have not experienced material census attrition as a result of the expiration of the public health emergency declarations and the resumption of Medicaid’s redetermination of beneficiary eligibility. The frailty level of PACE participants coupled with the complexity of Medicaid services needed, results in a comprehensive financial qualifications review compared to the more traditional Medicaid-only population. Throughout the public health emergency, the Company continued to complete annual Medicaid redeterminations. This process enables the Company to monitor eligibility, assist with the redetermination process, address potential issues with eligibility in real time, and track future renewal dates. However, the Company has experienced and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expects that state regulatory agencies will continue to have short-term constraints relating to their ability to process new PACE enrollments as they prioritize the need to process Medicaid redeterminations along with other obligations. While the expiration of these emergency declarations have not had a material impact to our financial results, we continue to evaluate how the expiration of these emergency declarations may affect our business outlook.</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Labor market</w:t>
      </w:r>
      <w:r>
        <w:rPr>
          <w:rFonts w:ascii="Arial" w:cs="Arial" w:eastAsia="Arial" w:hAnsi="Arial"/>
          <w:sz w:val="17"/>
          <w:szCs w:val="17"/>
          <w:color w:val="auto"/>
        </w:rPr>
        <w:t>. The COVID-19 pandemic and high inflation exacerbated difficulties to hire additional healthcare professionals, causing certain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centers to be understaffed or staffed with personnel that required training. Labor pressure mostly eased during fiscal year 2023, however, the Company continues to be affected by the increased competition in the labor market and market adjustments to increase retention and improve our ability to hire. These market adjustments contributed, in part, to an increase in cost of care for three months ended September 30, 2023, further impacted by additional staffing related to compliance and remediation efforts. This increase in conjunction with higher headcount has contributed to increased cost of care for the three months ended September 30, 2023 compared to the three months ended September 30, 2022 as discussed in “Results of Operations” below. We continue to assess key roles and benchmarks to market while monitoring trends in the labor market.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on October 13, 2023, California passed into law California Senate Bill No. 525 ("SB 525"), which raises the minimum wage for many California healthcare workers, effective as of June 1, 2024. Although PACE centers are not covered by SB 525, many of our contractors and other third-party providers are impacted by SB 525, and they may renegotiate agreements with our centers to cover the increased labor costs. Additionally, competition with other healthcare providers who are required to increase wages under SB 525 could materially increase our labor costs. We will continue to evaluate the impact of this legislation on our business.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Finally, on October 27, 2023, we filed a petition with the National Labor Relations Board to conduct an election to determine if the nurses in our Pennsylvania centers wish to be represented for purposes of collective bargaining with the Company. The petition originates from a request by the nurses in our Pennsylvania centers to unionize. These employees represent 1% of our total workforce. Unionization efforts, the negotiation of collective bargaining agreements and costs for unionized employees could materially impact our costs of labor.</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on the various risks posed by macroeconomic events and regulation, please see the section entitled “Risk Factors” included in Part I, Item 1A of our 2023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historical financial performance has been, and we expect our financial performance in the future to be, driven by the following factors:</w:t>
      </w:r>
    </w:p>
    <w:p>
      <w:pPr>
        <w:spacing w:after="0" w:line="237" w:lineRule="exact"/>
        <w:rPr>
          <w:sz w:val="20"/>
          <w:szCs w:val="20"/>
          <w:color w:val="auto"/>
        </w:rPr>
      </w:pPr>
    </w:p>
    <w:p>
      <w:pPr>
        <w:jc w:val="both"/>
        <w:ind w:left="980" w:hanging="324"/>
        <w:spacing w:after="0" w:line="272"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effectively implement post-sanction remediation efforts in our centers as a result of our recent audits and maintain high quality of regulatory compliance. </w:t>
      </w:r>
      <w:r>
        <w:rPr>
          <w:rFonts w:ascii="Arial" w:cs="Arial" w:eastAsia="Arial" w:hAnsi="Arial"/>
          <w:sz w:val="17"/>
          <w:szCs w:val="17"/>
          <w:color w:val="auto"/>
        </w:rPr>
        <w:t>The Company’s priority is to continue to remediate the deficiencies raised in audit processes and to implement</w:t>
      </w:r>
      <w:r>
        <w:rPr>
          <w:rFonts w:ascii="Arial" w:cs="Arial" w:eastAsia="Arial" w:hAnsi="Arial"/>
          <w:sz w:val="17"/>
          <w:szCs w:val="17"/>
          <w:i w:val="1"/>
          <w:iCs w:val="1"/>
          <w:color w:val="auto"/>
        </w:rPr>
        <w:t xml:space="preserve"> </w:t>
      </w:r>
      <w:r>
        <w:rPr>
          <w:rFonts w:ascii="Arial" w:cs="Arial" w:eastAsia="Arial" w:hAnsi="Arial"/>
          <w:sz w:val="17"/>
          <w:szCs w:val="17"/>
          <w:color w:val="auto"/>
        </w:rPr>
        <w:t>post-sanction corrective actions, where required, as well as maintain high quality of regulatory compliance in all its centers. As part of its actions to do so, the Company has worked with the appropriate authorities to make the necessary changes within the Company to improve care coordination and care documentation among our centers, including working to fill critical personnel gaps at our centers, standardizing the process of our Interdisciplinary Care Teams (“IDTs”), strengthening our home care network and reliability, improving timelines of scheduling and coordinating care with providers outside our centers, among others.</w:t>
      </w:r>
    </w:p>
    <w:p>
      <w:pPr>
        <w:spacing w:after="0" w:line="177" w:lineRule="exact"/>
        <w:rPr>
          <w:rFonts w:ascii="Arial" w:cs="Arial" w:eastAsia="Arial" w:hAnsi="Arial"/>
          <w:sz w:val="17"/>
          <w:szCs w:val="17"/>
          <w:color w:val="auto"/>
        </w:rPr>
      </w:pPr>
    </w:p>
    <w:p>
      <w:pPr>
        <w:jc w:val="both"/>
        <w:ind w:left="980" w:hanging="324"/>
        <w:spacing w:after="0" w:line="25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Our participants. </w:t>
      </w:r>
      <w:r>
        <w:rPr>
          <w:rFonts w:ascii="Arial" w:cs="Arial" w:eastAsia="Arial" w:hAnsi="Arial"/>
          <w:sz w:val="18"/>
          <w:szCs w:val="18"/>
          <w:color w:val="auto"/>
        </w:rPr>
        <w:t>We focus on providing all-inclusive care to frail, high-cost, dual-eligible seniors. We directly contract with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2.47 based on InnovAge data as of September 30, 2023; and (ii) we manage Medicaid spend in addition to Medicare. Our 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directly from Medicare and Medicaid, which provides recurring revenue streams and significant visibility into our revenue. The Medicare portion of our capitated payment is risk-based on the underlying medical conditions and frailty of each participant. We continue to work on expanding payer capabilities so that our revenue more accurately reflects the acuity of the populations we serve.</w:t>
      </w:r>
    </w:p>
    <w:p>
      <w:pPr>
        <w:spacing w:after="0" w:line="165" w:lineRule="exact"/>
        <w:rPr>
          <w:sz w:val="20"/>
          <w:szCs w:val="20"/>
          <w:color w:val="auto"/>
        </w:rPr>
      </w:pPr>
    </w:p>
    <w:p>
      <w:pPr>
        <w:jc w:val="both"/>
        <w:ind w:left="980" w:right="20" w:hanging="324"/>
        <w:spacing w:after="0" w:line="286"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Our ability to grow enrollment and capacity within existing centers. </w:t>
      </w:r>
      <w:r>
        <w:rPr>
          <w:rFonts w:ascii="Arial" w:cs="Arial" w:eastAsia="Arial" w:hAnsi="Arial"/>
          <w:sz w:val="17"/>
          <w:szCs w:val="17"/>
          <w:color w:val="auto"/>
        </w:rPr>
        <w:t>We believe all seniors should have access to the type of all-inclusive care</w:t>
      </w:r>
      <w:r>
        <w:rPr>
          <w:rFonts w:ascii="Arial" w:cs="Arial" w:eastAsia="Arial" w:hAnsi="Arial"/>
          <w:sz w:val="17"/>
          <w:szCs w:val="17"/>
          <w:i w:val="1"/>
          <w:iCs w:val="1"/>
          <w:color w:val="auto"/>
        </w:rPr>
        <w:t xml:space="preserve"> </w:t>
      </w:r>
      <w:r>
        <w:rPr>
          <w:rFonts w:ascii="Arial" w:cs="Arial" w:eastAsia="Arial" w:hAnsi="Arial"/>
          <w:sz w:val="17"/>
          <w:szCs w:val="17"/>
          <w:color w:val="auto"/>
        </w:rPr>
        <w:t>offered by the PACE model. Several factors can affect our ability to grow enrollment and capacity within existing centers, including sanctions issued by regulators as the ones we were subject to in our Sacramento, California and Colorado centers.</w:t>
      </w:r>
    </w:p>
    <w:p>
      <w:pPr>
        <w:spacing w:after="0" w:line="165" w:lineRule="exact"/>
        <w:rPr>
          <w:rFonts w:ascii="Arial" w:cs="Arial" w:eastAsia="Arial" w:hAnsi="Arial"/>
          <w:sz w:val="17"/>
          <w:szCs w:val="17"/>
          <w:color w:val="auto"/>
        </w:rPr>
      </w:pPr>
    </w:p>
    <w:p>
      <w:pPr>
        <w:jc w:val="both"/>
        <w:ind w:left="980" w:hanging="324"/>
        <w:spacing w:after="0" w:line="255"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maintain high participant satisfaction and retention. </w:t>
      </w:r>
      <w:r>
        <w:rPr>
          <w:rFonts w:ascii="Arial" w:cs="Arial" w:eastAsia="Arial" w:hAnsi="Arial"/>
          <w:sz w:val="18"/>
          <w:szCs w:val="18"/>
          <w:color w:val="auto"/>
        </w:rPr>
        <w:t>We achieved a 86% participant satisfaction rating as of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measured as composite of participant satisfaction across ten categories, and average participant tenure was 3.2 years as of September 30, 2023, measured as tenure from enrollment to disenrollment, among our centers that have been operated by us for at least five years. Furthermore, we experience low levels of voluntary disenrollment, averaging 5.9% annually over the last three fiscal years. Approximately 71% of our historical disenrollments have been involuntary, due primarily to participant death or otherwise due to participants moving out of our service areas.</w:t>
      </w:r>
    </w:p>
    <w:p>
      <w:pPr>
        <w:spacing w:after="0" w:line="192" w:lineRule="exact"/>
        <w:rPr>
          <w:rFonts w:ascii="Arial" w:cs="Arial" w:eastAsia="Arial" w:hAnsi="Arial"/>
          <w:sz w:val="18"/>
          <w:szCs w:val="18"/>
          <w:color w:val="auto"/>
        </w:rPr>
      </w:pPr>
    </w:p>
    <w:p>
      <w:pPr>
        <w:jc w:val="both"/>
        <w:ind w:left="980" w:hanging="324"/>
        <w:spacing w:after="0" w:line="290"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Effectively managing the cost of care for our participants</w:t>
      </w:r>
      <w:r>
        <w:rPr>
          <w:rFonts w:ascii="Arial" w:cs="Arial" w:eastAsia="Arial" w:hAnsi="Arial"/>
          <w:sz w:val="16"/>
          <w:szCs w:val="16"/>
          <w:color w:val="auto"/>
        </w:rPr>
        <w:t>. We receive capitated payments to manage the totality of a participant’s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care across all settings. Our participants are among the most frail and medically complex individuals in the U.S. healthcare system, and average acuity rises with the passage of time. The risk pool of our population became more acute in fiscal year 2023 as we were not able to replenish our population mix with newer, lower-acuity participants as a result of State sanctions, and as a result, our external provider costs and cost of care, excluding depreciation and amortization, represented approximately 85% of our revenue in the three months ended September 30, 2023.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65" w:lineRule="exact"/>
        <w:rPr>
          <w:rFonts w:ascii="Arial" w:cs="Arial" w:eastAsia="Arial" w:hAnsi="Arial"/>
          <w:sz w:val="16"/>
          <w:szCs w:val="16"/>
          <w:color w:val="auto"/>
        </w:rPr>
      </w:pPr>
    </w:p>
    <w:p>
      <w:pPr>
        <w:jc w:val="both"/>
        <w:ind w:left="980" w:hanging="324"/>
        <w:spacing w:after="0" w:line="275" w:lineRule="auto"/>
        <w:tabs>
          <w:tab w:leader="none" w:pos="97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Center-level Contribution Margin</w:t>
      </w:r>
      <w:r>
        <w:rPr>
          <w:rFonts w:ascii="Arial" w:cs="Arial" w:eastAsia="Arial" w:hAnsi="Arial"/>
          <w:sz w:val="17"/>
          <w:szCs w:val="17"/>
          <w:color w:val="auto"/>
        </w:rPr>
        <w:t>. As we serve more participants in existing centers, we leverage our fixed cost base at those centers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a center to our business increases over time. The enrollment sanctions in Sacramento, California and Colorado limited our ability to grow our participant census and impact Center-level Contribution Margin in fiscal 2022 and the first half of fiscal 2023. We were fully released from those sanctions in Colorado in January 2023 and in California in May 2023. Although the Company continues post sanction monitoring, the Company is currently able to enroll new participants at its 17 centers.</w:t>
      </w:r>
    </w:p>
    <w:p>
      <w:pPr>
        <w:spacing w:after="0" w:line="176" w:lineRule="exact"/>
        <w:rPr>
          <w:rFonts w:ascii="Arial" w:cs="Arial" w:eastAsia="Arial" w:hAnsi="Arial"/>
          <w:sz w:val="17"/>
          <w:szCs w:val="17"/>
          <w:color w:val="auto"/>
        </w:rPr>
      </w:pPr>
    </w:p>
    <w:p>
      <w:pPr>
        <w:jc w:val="both"/>
        <w:ind w:left="980" w:hanging="324"/>
        <w:spacing w:after="0" w:line="296" w:lineRule="auto"/>
        <w:tabs>
          <w:tab w:leader="none" w:pos="97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expand via de novo centers within existing and new markets. </w:t>
      </w:r>
      <w:r>
        <w:rPr>
          <w:rFonts w:ascii="Arial" w:cs="Arial" w:eastAsia="Arial" w:hAnsi="Arial"/>
          <w:sz w:val="16"/>
          <w:szCs w:val="16"/>
          <w:color w:val="auto"/>
        </w:rPr>
        <w:t>Several factors can affect our ability to open de novo centers,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sanctions issued by regulators as the ones we were subject to in our Sacramento, California and Colorado centers. As a result of such sanctions, we were precluded from, or voluntarily suspended efforts to, open de novo centers in Florida, Kentucky and Indiana. Since the Company was released from sanctions, in Florida, we have recommenced our efforts to obtain the licensure required to open a PACE center in each of Tampa and Orlando. We are also pursuing the licensure required to open another PACE center in Downey, California.</w:t>
      </w:r>
    </w:p>
    <w:p>
      <w:pPr>
        <w:spacing w:after="0" w:line="161" w:lineRule="exact"/>
        <w:rPr>
          <w:rFonts w:ascii="Arial" w:cs="Arial" w:eastAsia="Arial" w:hAnsi="Arial"/>
          <w:sz w:val="16"/>
          <w:szCs w:val="16"/>
          <w:color w:val="auto"/>
        </w:rPr>
      </w:pPr>
    </w:p>
    <w:p>
      <w:pPr>
        <w:jc w:val="both"/>
        <w:ind w:left="980" w:hanging="324"/>
        <w:spacing w:after="0" w:line="255"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Execute tuck-in acquisitions. </w:t>
      </w:r>
      <w:r>
        <w:rPr>
          <w:rFonts w:ascii="Arial" w:cs="Arial" w:eastAsia="Arial" w:hAnsi="Arial"/>
          <w:sz w:val="18"/>
          <w:szCs w:val="18"/>
          <w:color w:val="auto"/>
        </w:rPr>
        <w:t>From fiscal year 2019 through fiscal year 2021, we acquired and integrated three PACE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our InnovAge Platform to one new state and four new markets through those acquisitions. Since the Company was released from sanctions, we have recommenced our efforts to pursue tuck-in acquisitions. We remain disciplined in our approach to acquisitions and in the past have executed multiple types of transactions, including turnarounds and non-profit conversions. Historically, when integrating acquired programs, we worked closely with key constituencies, including local governments, health systems and senior housing providers, to enable continuity of high-quality care for participants.</w:t>
      </w:r>
    </w:p>
    <w:p>
      <w:pPr>
        <w:spacing w:after="0" w:line="192"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Contracting with government payors</w:t>
      </w:r>
      <w:r>
        <w:rPr>
          <w:rFonts w:ascii="Arial" w:cs="Arial" w:eastAsia="Arial" w:hAnsi="Arial"/>
          <w:sz w:val="18"/>
          <w:szCs w:val="18"/>
          <w:color w:val="auto"/>
        </w:rPr>
        <w:t>. Our economic model relies on our capitated arrangements with government payors, namely Medicare</w:t>
      </w:r>
      <w:r>
        <w:rPr>
          <w:rFonts w:ascii="Arial" w:cs="Arial" w:eastAsia="Arial" w:hAnsi="Arial"/>
          <w:sz w:val="18"/>
          <w:szCs w:val="18"/>
          <w:i w:val="1"/>
          <w:iCs w:val="1"/>
          <w:color w:val="auto"/>
        </w:rPr>
        <w:t xml:space="preserve"> </w:t>
      </w:r>
      <w:r>
        <w:rPr>
          <w:rFonts w:ascii="Arial" w:cs="Arial" w:eastAsia="Arial" w:hAnsi="Arial"/>
          <w:sz w:val="18"/>
          <w:szCs w:val="18"/>
          <w:color w:val="auto"/>
        </w:rPr>
        <w:t>and Medicaid. We view the government not only as a payor but also as a key partner in our efforts to expand into new geographies and access more participants in our existing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markets. Maintaining, supporting and growing these relationships in existing markets as well as new geographies, is critical to our long-term success.</w:t>
      </w:r>
    </w:p>
    <w:p>
      <w:pPr>
        <w:spacing w:after="0" w:line="170" w:lineRule="exact"/>
        <w:rPr>
          <w:sz w:val="20"/>
          <w:szCs w:val="20"/>
          <w:color w:val="auto"/>
        </w:rPr>
      </w:pPr>
    </w:p>
    <w:p>
      <w:pPr>
        <w:jc w:val="both"/>
        <w:ind w:left="980" w:hanging="324"/>
        <w:spacing w:after="0" w:line="29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Investing to support growth</w:t>
      </w:r>
      <w:r>
        <w:rPr>
          <w:rFonts w:ascii="Arial" w:cs="Arial" w:eastAsia="Arial" w:hAnsi="Arial"/>
          <w:sz w:val="16"/>
          <w:szCs w:val="16"/>
          <w:color w:val="auto"/>
        </w:rPr>
        <w:t>. We intend to continue investing in our centers, value-based care model, and sales and marketing organization to</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long-term growth. We expect our expenses to increase in absolute dollars for the foreseeable future to support our growth and due to additional costs we are incurring in connection with current and future audits to our centers, remediation plans and current and potential legal and regulatory proceedings. We plan to invest in future growth judiciously and maintain focus on managing our results of operations. We have begun to invest in building capabilities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66" w:lineRule="exact"/>
        <w:rPr>
          <w:rFonts w:ascii="Arial" w:cs="Arial" w:eastAsia="Arial" w:hAnsi="Arial"/>
          <w:sz w:val="16"/>
          <w:szCs w:val="16"/>
          <w:color w:val="auto"/>
        </w:rPr>
      </w:pPr>
    </w:p>
    <w:p>
      <w:pPr>
        <w:jc w:val="both"/>
        <w:ind w:left="980" w:hanging="324"/>
        <w:spacing w:after="0" w:line="291"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Seasonality of our business</w:t>
      </w:r>
      <w:r>
        <w:rPr>
          <w:rFonts w:ascii="Arial" w:cs="Arial" w:eastAsia="Arial" w:hAnsi="Arial"/>
          <w:sz w:val="16"/>
          <w:szCs w:val="16"/>
          <w:color w:val="auto"/>
        </w:rPr>
        <w:t>. Our operational and financial results, including medical costs and per-participant revenue true-ups, will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some variability depending upon the time of year in which they are measured. Medical costs vary most significantly as a result of</w:t>
      </w:r>
    </w:p>
    <w:p>
      <w:pPr>
        <w:jc w:val="both"/>
        <w:ind w:left="980"/>
        <w:spacing w:after="0" w:line="268" w:lineRule="auto"/>
        <w:tabs>
          <w:tab w:leader="none" w:pos="1212"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weather, with certain illnesses, such as the influenza virus, being more prevalent during colder months of the year, which generally increases per-participant costs, specifically in 2024, we expect to see some increase in inpatient and short stay nursing home utilization as well as increased acuity of our participant mix;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Risk Adjustment Factor score as measured twice per year and is based on the evolving acuity of a participant. Based on the difference between our estimate and the final determination from CMS, we may receive incremental true up revenue or be required to repay certain amounts. Historically, these true-up payments typically occur between May and August, but the timing of these payments is determined by CMS, and we have neither visibility into nor control over the timing of such payments.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Capitation Revenue</w:t>
      </w:r>
      <w:r>
        <w:rPr>
          <w:rFonts w:ascii="Arial" w:cs="Arial" w:eastAsia="Arial" w:hAnsi="Arial"/>
          <w:sz w:val="17"/>
          <w:szCs w:val="17"/>
          <w:color w:val="auto"/>
        </w:rPr>
        <w:t>. In order to provide comprehensive services to manage the totality of a participant’s medical care across all settings, we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fixed or capitated fees per participant that are paid monthly by Medicare, Medicaid, Veterans Affairs (“VA”) and private pay sources.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Arial" w:cs="Arial" w:eastAsia="Arial" w:hAnsi="Arial"/>
          <w:sz w:val="18"/>
          <w:szCs w:val="18"/>
          <w:i w:val="1"/>
          <w:iCs w:val="1"/>
          <w:color w:val="auto"/>
        </w:rPr>
        <w:t>Critical Accounting Estimates</w:t>
      </w:r>
      <w:r>
        <w:rPr>
          <w:rFonts w:ascii="Arial" w:cs="Arial" w:eastAsia="Arial" w:hAnsi="Arial"/>
          <w:sz w:val="18"/>
          <w:szCs w:val="18"/>
          <w:color w:val="auto"/>
        </w:rPr>
        <w:t xml:space="preserve"> below and Note 2 “Summary of Significant Accounting Policies” to our consolidated financial statements included in our 2023 10-K.</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Other Service Revenue. </w:t>
      </w:r>
      <w:r>
        <w:rPr>
          <w:rFonts w:ascii="Arial" w:cs="Arial" w:eastAsia="Arial" w:hAnsi="Arial"/>
          <w:sz w:val="17"/>
          <w:szCs w:val="17"/>
          <w:color w:val="auto"/>
        </w:rPr>
        <w:t>Other service revenue primarily consists of revenues derived from fee-for-service arrangements, state food grants, rent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revenues and management fees. Prior to June 30, 2023 we generated fee-for-service revenue from providing home-care services to non-PACE patients in their homes, for which we billed the patient or their insurance plan on a fee-for-service basis. We no longer offer in-home care services to non-PACE participants. For a discussion of our revenue recognition policies, please see </w:t>
      </w:r>
      <w:r>
        <w:rPr>
          <w:rFonts w:ascii="Arial" w:cs="Arial" w:eastAsia="Arial" w:hAnsi="Arial"/>
          <w:sz w:val="17"/>
          <w:szCs w:val="17"/>
          <w:i w:val="1"/>
          <w:iCs w:val="1"/>
          <w:color w:val="auto"/>
        </w:rPr>
        <w:t>Critical Accounting Estimates</w:t>
      </w:r>
      <w:r>
        <w:rPr>
          <w:rFonts w:ascii="Arial" w:cs="Arial" w:eastAsia="Arial" w:hAnsi="Arial"/>
          <w:sz w:val="17"/>
          <w:szCs w:val="17"/>
          <w:color w:val="auto"/>
        </w:rPr>
        <w:t xml:space="preserve"> below and Note 2, “Summary of Significant Accounting Policies” to our consolidated financial statements included in our 2023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External Provider Costs. </w:t>
      </w:r>
      <w:r>
        <w:rPr>
          <w:rFonts w:ascii="Arial" w:cs="Arial" w:eastAsia="Arial" w:hAnsi="Arial"/>
          <w:sz w:val="18"/>
          <w:szCs w:val="18"/>
          <w:color w:val="auto"/>
        </w:rPr>
        <w:t>External provider costs consist primarily of the costs for medical care provided by non-InnovAge providers. We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Cost of Care, Excluding Depreciation and Amortization. </w:t>
      </w:r>
      <w:r>
        <w:rPr>
          <w:rFonts w:ascii="Arial" w:cs="Arial" w:eastAsia="Arial" w:hAnsi="Arial"/>
          <w:sz w:val="17"/>
          <w:szCs w:val="17"/>
          <w:color w:val="auto"/>
        </w:rPr>
        <w:t>Cost of care, excluding depreciation and amortization, includes the costs we incur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8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consist of employee-related expenses, including salaries, commissions, and employee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Corporate, General and Administrative. </w:t>
      </w:r>
      <w:r>
        <w:rPr>
          <w:rFonts w:ascii="Arial" w:cs="Arial" w:eastAsia="Arial" w:hAnsi="Arial"/>
          <w:sz w:val="17"/>
          <w:szCs w:val="17"/>
          <w:color w:val="auto"/>
        </w:rPr>
        <w:t>Corporate, general and administrative expenses include employee-related expenses, including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are primarily attributable to our buildings and leasehold improvements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equipment and vehicles. Depreciation and amortization are recorded using the straight-line method over the shorter of estimated useful life or lease terms, to the extent the assets are being leased.</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more information relating to the components of our results of operations, 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below and Note 2 “Summary of Significant Accounting Policies” to our consolidated financial statements included in our 2023 10-K.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our consolidated results of operations for the periods presented: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Three Months Ended September 30,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8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00"/>
              <w:spacing w:after="0"/>
              <w:rPr>
                <w:sz w:val="20"/>
                <w:szCs w:val="20"/>
                <w:color w:val="auto"/>
              </w:rPr>
            </w:pPr>
            <w:r>
              <w:rPr>
                <w:rFonts w:ascii="Arial" w:cs="Arial" w:eastAsia="Arial" w:hAnsi="Arial"/>
                <w:sz w:val="16"/>
                <w:szCs w:val="16"/>
                <w:color w:val="auto"/>
              </w:rPr>
              <w:t>Capitation revenue</w:t>
            </w: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182,173</w:t>
            </w:r>
          </w:p>
        </w:tc>
        <w:tc>
          <w:tcPr>
            <w:tcW w:w="100" w:type="dxa"/>
            <w:vAlign w:val="bottom"/>
          </w:tcPr>
          <w:p>
            <w:pPr>
              <w:spacing w:after="0"/>
              <w:rPr>
                <w:sz w:val="21"/>
                <w:szCs w:val="21"/>
                <w:color w:val="auto"/>
              </w:rPr>
            </w:pPr>
          </w:p>
        </w:tc>
        <w:tc>
          <w:tcPr>
            <w:tcW w:w="500" w:type="dxa"/>
            <w:vAlign w:val="bottom"/>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170,931</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service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03"/>
        </w:trPr>
        <w:tc>
          <w:tcPr>
            <w:tcW w:w="5100" w:type="dxa"/>
            <w:vAlign w:val="bottom"/>
          </w:tcPr>
          <w:p>
            <w:pPr>
              <w:ind w:left="260"/>
              <w:spacing w:after="0"/>
              <w:rPr>
                <w:sz w:val="20"/>
                <w:szCs w:val="20"/>
                <w:color w:val="auto"/>
              </w:rPr>
            </w:pPr>
            <w:r>
              <w:rPr>
                <w:rFonts w:ascii="Arial" w:cs="Arial" w:eastAsia="Arial" w:hAnsi="Arial"/>
                <w:sz w:val="16"/>
                <w:szCs w:val="16"/>
                <w:color w:val="auto"/>
              </w:rPr>
              <w:t>Total revenues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182,485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171,218</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100"/>
              <w:spacing w:after="0"/>
              <w:rPr>
                <w:sz w:val="20"/>
                <w:szCs w:val="20"/>
                <w:color w:val="auto"/>
              </w:rPr>
            </w:pPr>
            <w:r>
              <w:rPr>
                <w:rFonts w:ascii="Arial" w:cs="Arial" w:eastAsia="Arial" w:hAnsi="Arial"/>
                <w:sz w:val="16"/>
                <w:szCs w:val="16"/>
                <w:color w:val="auto"/>
              </w:rPr>
              <w:t>External provider costs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99,358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96,237</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Cost of care, excluding depreciation and amortization</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53,557</w:t>
            </w:r>
          </w:p>
        </w:tc>
        <w:tc>
          <w:tcPr>
            <w:tcW w:w="0" w:type="dxa"/>
            <w:vAlign w:val="bottom"/>
          </w:tcPr>
          <w:p>
            <w:pPr>
              <w:spacing w:after="0"/>
              <w:rPr>
                <w:sz w:val="1"/>
                <w:szCs w:val="1"/>
                <w:color w:val="auto"/>
              </w:rPr>
            </w:pPr>
          </w:p>
        </w:tc>
      </w:tr>
      <w:tr>
        <w:trPr>
          <w:trHeight w:val="210"/>
        </w:trPr>
        <w:tc>
          <w:tcPr>
            <w:tcW w:w="5100" w:type="dxa"/>
            <w:vAlign w:val="bottom"/>
          </w:tcPr>
          <w:p>
            <w:pPr>
              <w:ind w:left="100"/>
              <w:spacing w:after="0"/>
              <w:rPr>
                <w:sz w:val="20"/>
                <w:szCs w:val="20"/>
                <w:color w:val="auto"/>
              </w:rPr>
            </w:pPr>
            <w:r>
              <w:rPr>
                <w:rFonts w:ascii="Arial" w:cs="Arial" w:eastAsia="Arial" w:hAnsi="Arial"/>
                <w:sz w:val="16"/>
                <w:szCs w:val="16"/>
                <w:color w:val="auto"/>
              </w:rPr>
              <w:t>Sales and marketing</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4,413</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Corporate, general and administrative</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28,947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30,181</w:t>
            </w:r>
          </w:p>
        </w:tc>
        <w:tc>
          <w:tcPr>
            <w:tcW w:w="0" w:type="dxa"/>
            <w:vAlign w:val="bottom"/>
          </w:tcPr>
          <w:p>
            <w:pPr>
              <w:spacing w:after="0"/>
              <w:rPr>
                <w:sz w:val="1"/>
                <w:szCs w:val="1"/>
                <w:color w:val="auto"/>
              </w:rPr>
            </w:pPr>
          </w:p>
        </w:tc>
      </w:tr>
      <w:tr>
        <w:trPr>
          <w:trHeight w:val="210"/>
        </w:trPr>
        <w:tc>
          <w:tcPr>
            <w:tcW w:w="5100" w:type="dxa"/>
            <w:vAlign w:val="bottom"/>
          </w:tcPr>
          <w:p>
            <w:pPr>
              <w:ind w:left="1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3,433</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193,203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187,821</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(10,718)</w:t>
            </w:r>
          </w:p>
        </w:tc>
        <w:tc>
          <w:tcPr>
            <w:tcW w:w="100" w:type="dxa"/>
            <w:vAlign w:val="bottom"/>
          </w:tcPr>
          <w:p>
            <w:pPr>
              <w:spacing w:after="0"/>
              <w:rPr>
                <w:sz w:val="17"/>
                <w:szCs w:val="17"/>
                <w:color w:val="auto"/>
              </w:rPr>
            </w:pPr>
          </w:p>
        </w:tc>
        <w:tc>
          <w:tcPr>
            <w:tcW w:w="5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(16,603)</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0"/>
        </w:trPr>
        <w:tc>
          <w:tcPr>
            <w:tcW w:w="5100" w:type="dxa"/>
            <w:vAlign w:val="bottom"/>
          </w:tcPr>
          <w:p>
            <w:pPr>
              <w:ind w:left="10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(10,736)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(17,169)</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Provision (Benefit)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(3,470)</w:t>
            </w:r>
          </w:p>
        </w:tc>
        <w:tc>
          <w:tcPr>
            <w:tcW w:w="0" w:type="dxa"/>
            <w:vAlign w:val="bottom"/>
          </w:tcPr>
          <w:p>
            <w:pPr>
              <w:spacing w:after="0"/>
              <w:rPr>
                <w:sz w:val="1"/>
                <w:szCs w:val="1"/>
                <w:color w:val="auto"/>
              </w:rPr>
            </w:pPr>
          </w:p>
        </w:tc>
      </w:tr>
      <w:tr>
        <w:trPr>
          <w:trHeight w:val="203"/>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Net Loss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(10,962)</w:t>
            </w:r>
          </w:p>
        </w:tc>
        <w:tc>
          <w:tcPr>
            <w:tcW w:w="100" w:type="dxa"/>
            <w:vAlign w:val="bottom"/>
          </w:tcPr>
          <w:p>
            <w:pPr>
              <w:spacing w:after="0"/>
              <w:rPr>
                <w:sz w:val="17"/>
                <w:szCs w:val="17"/>
                <w:color w:val="auto"/>
              </w:rPr>
            </w:pPr>
          </w:p>
        </w:tc>
        <w:tc>
          <w:tcPr>
            <w:tcW w:w="5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(13,699)</w:t>
            </w:r>
          </w:p>
        </w:tc>
        <w:tc>
          <w:tcPr>
            <w:tcW w:w="0" w:type="dxa"/>
            <w:vAlign w:val="bottom"/>
          </w:tcPr>
          <w:p>
            <w:pPr>
              <w:spacing w:after="0"/>
              <w:rPr>
                <w:sz w:val="1"/>
                <w:szCs w:val="1"/>
                <w:color w:val="auto"/>
              </w:rPr>
            </w:pPr>
          </w:p>
        </w:tc>
      </w:tr>
      <w:tr>
        <w:trPr>
          <w:trHeight w:val="3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Less: net loss attributable to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InnovAge Holding Corp.</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(10,304)</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(13,073)</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5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24"/>
                <w:szCs w:val="24"/>
                <w:color w:val="auto"/>
              </w:rPr>
            </w:pPr>
          </w:p>
        </w:tc>
        <w:tc>
          <w:tcPr>
            <w:tcW w:w="1740" w:type="dxa"/>
            <w:vAlign w:val="bottom"/>
            <w:gridSpan w:val="4"/>
          </w:tcPr>
          <w:p>
            <w:pPr>
              <w:ind w:left="112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vMerge w:val="restart"/>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6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Capitation 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182,173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170,931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11,242</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service revenue</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8.7 %</w:t>
            </w:r>
          </w:p>
        </w:tc>
        <w:tc>
          <w:tcPr>
            <w:tcW w:w="0" w:type="dxa"/>
            <w:vAlign w:val="bottom"/>
          </w:tcPr>
          <w:p>
            <w:pPr>
              <w:spacing w:after="0"/>
              <w:rPr>
                <w:sz w:val="1"/>
                <w:szCs w:val="1"/>
                <w:color w:val="auto"/>
              </w:rPr>
            </w:pPr>
          </w:p>
        </w:tc>
      </w:tr>
      <w:tr>
        <w:trPr>
          <w:trHeight w:val="265"/>
        </w:trPr>
        <w:tc>
          <w:tcPr>
            <w:tcW w:w="5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182,485</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171,218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Capitation revenue. </w:t>
      </w:r>
      <w:r>
        <w:rPr>
          <w:rFonts w:ascii="Arial" w:cs="Arial" w:eastAsia="Arial" w:hAnsi="Arial"/>
          <w:sz w:val="16"/>
          <w:szCs w:val="16"/>
          <w:color w:val="auto"/>
        </w:rPr>
        <w:t>Capitation revenue was $182.2 million for the three months ended September 30, 2023 an increase of $11.2 million, or 6.6%,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$170.9 million for the three months ended September 30, 2022. This increase was driven by a 7.7% increase in capitation rates partially offset by a 1.0% decrease in member months. The increase in capitation rates was primarily driven by an annual increase in both Medicaid capitation rates as determined by the States and Medicare capitation rates as a result of increased risk score and county rates. The decrease in member months is primarily due to disenrollments partially offset by the ramp up of enrollments at our Colorado and Sacramento centers as we resumed the enrollment process.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
        </w:trPr>
        <w:tc>
          <w:tcPr>
            <w:tcW w:w="65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External provider costs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99,358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96,237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Arial" w:cs="Arial" w:eastAsia="Arial" w:hAnsi="Arial"/>
                <w:sz w:val="16"/>
                <w:szCs w:val="16"/>
                <w:color w:val="auto"/>
              </w:rPr>
              <w:t>Cost of care (excluding depreciation and amortization)</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33"/>
        </w:trPr>
        <w:tc>
          <w:tcPr>
            <w:tcW w:w="6560" w:type="dxa"/>
            <w:vAlign w:val="bottom"/>
          </w:tcPr>
          <w:p>
            <w:pPr>
              <w:ind w:left="20"/>
              <w:spacing w:after="0"/>
              <w:rPr>
                <w:sz w:val="20"/>
                <w:szCs w:val="20"/>
                <w:color w:val="auto"/>
              </w:rPr>
            </w:pPr>
            <w:r>
              <w:rPr>
                <w:rFonts w:ascii="Arial" w:cs="Arial" w:eastAsia="Arial" w:hAnsi="Arial"/>
                <w:sz w:val="16"/>
                <w:szCs w:val="16"/>
                <w:color w:val="auto"/>
              </w:rPr>
              <w:t>Corporate, general, and administrative</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6"/>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0"/>
        </w:trPr>
        <w:tc>
          <w:tcPr>
            <w:tcW w:w="6560" w:type="dxa"/>
            <w:vAlign w:val="bottom"/>
          </w:tcPr>
          <w:p>
            <w:pPr>
              <w:ind w:left="8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193,203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187,821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External provider costs. </w:t>
      </w:r>
      <w:r>
        <w:rPr>
          <w:rFonts w:ascii="Arial" w:cs="Arial" w:eastAsia="Arial" w:hAnsi="Arial"/>
          <w:sz w:val="16"/>
          <w:szCs w:val="16"/>
          <w:color w:val="auto"/>
        </w:rPr>
        <w:t>External provider costs were $99.4 million for the three months ended September 30, 2023, an increase of $3.1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3.2%, compared to $96.2 million for the three months ended September 30, 2022. The increase was primarily driven by an increase of $4.1 million, or</w:t>
      </w:r>
    </w:p>
    <w:p>
      <w:pPr>
        <w:jc w:val="both"/>
        <w:spacing w:after="0" w:line="255" w:lineRule="auto"/>
        <w:rPr>
          <w:sz w:val="20"/>
          <w:szCs w:val="20"/>
          <w:color w:val="auto"/>
        </w:rPr>
      </w:pPr>
      <w:r>
        <w:rPr>
          <w:rFonts w:ascii="Arial" w:cs="Arial" w:eastAsia="Arial" w:hAnsi="Arial"/>
          <w:sz w:val="18"/>
          <w:szCs w:val="18"/>
          <w:color w:val="auto"/>
        </w:rPr>
        <w:t>4.3%, in cost per participant partially offset by a decrease of $1.0 million, or 1.0% in member months. The increase in cost per participant was primarily driven by an increase in assisted living and nursing facility unit cost, assisted living utilization, and pharmacy cost. This is partially offset by a decrease in short stay skilled nursing facility utilization.</w:t>
      </w:r>
    </w:p>
    <w:p>
      <w:pPr>
        <w:spacing w:after="0" w:line="1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Cost of care (excluding depreciation and amortization). </w:t>
      </w:r>
      <w:r>
        <w:rPr>
          <w:rFonts w:ascii="Arial" w:cs="Arial" w:eastAsia="Arial" w:hAnsi="Arial"/>
          <w:sz w:val="16"/>
          <w:szCs w:val="16"/>
          <w:color w:val="auto"/>
        </w:rPr>
        <w:t>Cost of care (excluding depreciation and amortization) expense was $55.3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2023, an increase of $1.7 million, or 3.2%, compared to $53.6 million for the three months ended September 30, 2022, primarily due to an increase of $2.2 million, or 4.2%, in cost per participant partially offset by a decrease of $0.5 million, or 1.0%, in member months. The increase was primarily driven by (i) a $1.5 million increase in salaries, wages and benefits associated with increased headcount and higher wage rates and</w:t>
      </w:r>
    </w:p>
    <w:p>
      <w:pPr>
        <w:spacing w:after="0" w:line="1" w:lineRule="exact"/>
        <w:rPr>
          <w:sz w:val="20"/>
          <w:szCs w:val="20"/>
          <w:color w:val="auto"/>
        </w:rPr>
      </w:pPr>
    </w:p>
    <w:p>
      <w:pPr>
        <w:ind w:firstLine="8"/>
        <w:spacing w:after="0" w:line="260" w:lineRule="auto"/>
        <w:tabs>
          <w:tab w:leader="none" w:pos="269"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 million in increased fleet expense and contract transportation a result of higher average daily attendance and an increase in external appointments, partially offset by $1.5 million reduction in third party audit and compliance support.</w:t>
      </w:r>
    </w:p>
    <w:p>
      <w:pPr>
        <w:spacing w:after="0" w:line="18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were $5.4 million for the three months ended September 30, 2023, an increase of $1.0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21.9%, compared to $4.4 million for the three months ended September 30, 2022, primarily due to increased marketing spend and headcount as a result of the sanction release in our Colorado and Sacramento centers.</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Corporate, general and administrative. </w:t>
      </w:r>
      <w:r>
        <w:rPr>
          <w:rFonts w:ascii="Arial" w:cs="Arial" w:eastAsia="Arial" w:hAnsi="Arial"/>
          <w:sz w:val="16"/>
          <w:szCs w:val="16"/>
          <w:color w:val="auto"/>
        </w:rPr>
        <w:t>Corporate, general and administrative expenses were $28.9 million for the three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an decrease of $1.2 million, or 4.1%, compared to $30.2 million for the three months ended September 30, 2022. The decrease was primarily due to</w:t>
      </w:r>
    </w:p>
    <w:p>
      <w:pPr>
        <w:jc w:val="both"/>
        <w:ind w:firstLine="8"/>
        <w:spacing w:after="0" w:line="271" w:lineRule="auto"/>
        <w:tabs>
          <w:tab w:leader="none" w:pos="223"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$0.5 million decrease in bad debt expense, (ii) a $0.6 million reduction in insurance expense, and (iii) a $1.4 million reduction in consulting expense associated with improving organizational capabilities including the transition to a new electronic medical record ("EMR") system, and (iv) $0.4 million reduction in corporate occupancy costs. These decreases in cost were partially offset by (i) $0.6 million increase in employee compensation and benefits as the result of an increase in headcount to support compliance and bolster organizational capabilities, (ii) $0.3 million in third party legal costs, and (iii) a $1.0 million increase in software license and maintenance expense, inclusive of Epic license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0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1540" w:type="dxa"/>
            <w:vAlign w:val="bottom"/>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56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5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532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expense, net</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1,637.8%</w:t>
            </w:r>
          </w:p>
        </w:tc>
        <w:tc>
          <w:tcPr>
            <w:tcW w:w="0" w:type="dxa"/>
            <w:vAlign w:val="bottom"/>
          </w:tcPr>
          <w:p>
            <w:pPr>
              <w:spacing w:after="0"/>
              <w:rPr>
                <w:sz w:val="1"/>
                <w:szCs w:val="1"/>
                <w:color w:val="auto"/>
              </w:rPr>
            </w:pPr>
          </w:p>
        </w:tc>
      </w:tr>
      <w:tr>
        <w:trPr>
          <w:trHeight w:val="268"/>
        </w:trPr>
        <w:tc>
          <w:tcPr>
            <w:tcW w:w="5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other expense</w:t>
            </w: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payments on our outstanding borrowings, net of interest income earned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and restricted cash. Interest expense, net was $0.7 million for the three months ended September 30, 2023, a decrease of $0.1 million, or 9.6%, compared to $0.6 million for the three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months ended September 30, 2022. The decrease was primarily due to interest income of $1.1 million from money market funds offsetting interest expense of $1.7 million for the three months ended September 30, 2023. Interest expense of $1.0 million was offset by interest income of $0.4 million during the three months ended September 30, 2022.</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consists primarily of the net proceeds received from the sale of or disposal of property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unrealized gains and losses related to short-term investments. Other income for the three months ended September 30, 2023 increased $0.6 million, or 1637.8%, when compared to the three months ended September 30, 2022. The increase is primarily due to dividends received from our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SH1 and Sacramento have elected to be taxed as partnerships, and no provision for income taxes for SH1 or Sacramento is included in these condensed consolidated financial statements.</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 months ended September 30, 2023 and 2022, we reported provision for income taxes of $0.2 million and benefit of $3.5 million, respectively. The decrease of $3.7 million is primarily due (i) our pretax book loss recognized during the three months ended September 30, 2023, as compared to pretax book loss recognized during the three months ended September 30, 2022 and (ii) the change in our valuation allowance.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and the share of the other noncontrolling interest holders’ earnings are recorded as net loss attributable to noncontrolling interests.</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share of earnings are recorded in the consolidated statements of operations and the share of the other noncontrolling interest holders’ earnings are recorded as net loss attributable to noncontrolling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September 30, 2023 and 2022, we reported net loss of $11.0 million and $13.7 million, respectively, consisting of (i) loss from operations of $10.7 million and $16.6 million, respectively, (ii) other expense of $0.0 million and $0.6 million, respectively, and (iii) a provision for income taxes of $0.2 million and benefit of $3.5 million, respectively, each as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 and Non-GAAP Measures</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substitute for, and should be read in conjunction with, the GAAP financial information presented herein. These measures may not be comparable to similarly-titled performance indicators used by other companies.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6"/>
                <w:szCs w:val="16"/>
                <w:b w:val="1"/>
                <w:bCs w:val="1"/>
                <w:color w:val="auto"/>
                <w:w w:val="95"/>
              </w:rPr>
              <w:t>Three months ended September 30,</w:t>
            </w:r>
          </w:p>
        </w:tc>
        <w:tc>
          <w:tcPr>
            <w:tcW w:w="0" w:type="dxa"/>
            <w:vAlign w:val="bottom"/>
          </w:tcPr>
          <w:p>
            <w:pPr>
              <w:spacing w:after="0"/>
              <w:rPr>
                <w:sz w:val="1"/>
                <w:szCs w:val="1"/>
                <w:color w:val="auto"/>
              </w:rPr>
            </w:pPr>
          </w:p>
        </w:tc>
      </w:tr>
      <w:tr>
        <w:trPr>
          <w:trHeight w:val="210"/>
        </w:trPr>
        <w:tc>
          <w:tcPr>
            <w:tcW w:w="7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7"/>
        </w:trPr>
        <w:tc>
          <w:tcPr>
            <w:tcW w:w="7940" w:type="dxa"/>
            <w:vAlign w:val="bottom"/>
            <w:vMerge w:val="restart"/>
          </w:tcPr>
          <w:p>
            <w:pPr>
              <w:ind w:left="20"/>
              <w:spacing w:after="0"/>
              <w:rPr>
                <w:sz w:val="20"/>
                <w:szCs w:val="20"/>
                <w:color w:val="auto"/>
              </w:rPr>
            </w:pPr>
            <w:r>
              <w:rPr>
                <w:rFonts w:ascii="Arial" w:cs="Arial" w:eastAsia="Arial" w:hAnsi="Arial"/>
                <w:sz w:val="18"/>
                <w:szCs w:val="18"/>
                <w:color w:val="auto"/>
              </w:rPr>
              <w:t>Key Business Metrics:</w:t>
            </w:r>
          </w:p>
        </w:tc>
        <w:tc>
          <w:tcPr>
            <w:tcW w:w="260" w:type="dxa"/>
            <w:vAlign w:val="bottom"/>
          </w:tcPr>
          <w:p>
            <w:pPr>
              <w:spacing w:after="0"/>
              <w:rPr>
                <w:sz w:val="19"/>
                <w:szCs w:val="19"/>
                <w:color w:val="auto"/>
              </w:rPr>
            </w:pPr>
          </w:p>
        </w:tc>
        <w:tc>
          <w:tcPr>
            <w:tcW w:w="3040" w:type="dxa"/>
            <w:vAlign w:val="bottom"/>
            <w:gridSpan w:val="3"/>
          </w:tcPr>
          <w:p>
            <w:pPr>
              <w:jc w:val="right"/>
              <w:ind w:right="831"/>
              <w:spacing w:after="0"/>
              <w:rPr>
                <w:sz w:val="20"/>
                <w:szCs w:val="20"/>
                <w:color w:val="auto"/>
              </w:rPr>
            </w:pPr>
            <w:r>
              <w:rPr>
                <w:rFonts w:ascii="Arial" w:cs="Arial" w:eastAsia="Arial" w:hAnsi="Arial"/>
                <w:sz w:val="18"/>
                <w:szCs w:val="18"/>
                <w:i w:val="1"/>
                <w:iCs w:val="1"/>
                <w:color w:val="auto"/>
              </w:rPr>
              <w:t>dollars in thousands</w:t>
            </w:r>
          </w:p>
        </w:tc>
        <w:tc>
          <w:tcPr>
            <w:tcW w:w="0" w:type="dxa"/>
            <w:vAlign w:val="bottom"/>
          </w:tcPr>
          <w:p>
            <w:pPr>
              <w:spacing w:after="0"/>
              <w:rPr>
                <w:sz w:val="1"/>
                <w:szCs w:val="1"/>
                <w:color w:val="auto"/>
              </w:rPr>
            </w:pPr>
          </w:p>
        </w:tc>
      </w:tr>
      <w:tr>
        <w:trPr>
          <w:trHeight w:val="229"/>
        </w:trPr>
        <w:tc>
          <w:tcPr>
            <w:tcW w:w="79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Centers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line="230" w:lineRule="exact"/>
              <w:rPr>
                <w:sz w:val="20"/>
                <w:szCs w:val="20"/>
                <w:color w:val="auto"/>
              </w:rPr>
            </w:pPr>
            <w:r>
              <w:rPr>
                <w:rFonts w:ascii="Arial" w:cs="Arial" w:eastAsia="Arial" w:hAnsi="Arial"/>
                <w:sz w:val="18"/>
                <w:szCs w:val="18"/>
                <w:color w:val="auto"/>
              </w:rPr>
              <w:t>Census</w:t>
            </w:r>
            <w:r>
              <w:rPr>
                <w:rFonts w:ascii="Arial" w:cs="Arial" w:eastAsia="Arial" w:hAnsi="Arial"/>
                <w:sz w:val="23"/>
                <w:szCs w:val="23"/>
                <w:color w:val="auto"/>
                <w:vertAlign w:val="superscript"/>
              </w:rPr>
              <w:t>(b)</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6,580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Total Member Months</w:t>
            </w:r>
            <w:r>
              <w:rPr>
                <w:rFonts w:ascii="Arial" w:cs="Arial" w:eastAsia="Arial" w:hAnsi="Arial"/>
                <w:sz w:val="23"/>
                <w:szCs w:val="23"/>
                <w:color w:val="auto"/>
                <w:vertAlign w:val="superscript"/>
              </w:rPr>
              <w:t>(b)</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19,740</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Center-level Contribution Margin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27,877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21,424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Center-level Contribution Margin as a % of revenue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GAAP Measures: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(10,962)</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(13,699)</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Net loss margin</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Non-GAAP Measures: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2,226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304"/>
        </w:trPr>
        <w:tc>
          <w:tcPr>
            <w:tcW w:w="7940" w:type="dxa"/>
            <w:vAlign w:val="bottom"/>
          </w:tcPr>
          <w:p>
            <w:pPr>
              <w:ind w:left="14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(c)</w:t>
            </w:r>
          </w:p>
        </w:tc>
        <w:tc>
          <w:tcPr>
            <w:tcW w:w="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1.2 %</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ind w:left="660" w:right="20" w:hanging="328"/>
        <w:spacing w:after="0" w:line="255" w:lineRule="auto"/>
        <w:tabs>
          <w:tab w:leader="none" w:pos="6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During the third quarter ended March 31, 2023, the Company consolidated its Germantown LIFE center with its Allegheny and Henry Avenue LIFE centers in Pennsylvania.</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approximate due to rounding.</w:t>
      </w:r>
    </w:p>
    <w:p>
      <w:pPr>
        <w:spacing w:after="0" w:line="8" w:lineRule="exact"/>
        <w:rPr>
          <w:rFonts w:ascii="Arial" w:cs="Arial" w:eastAsia="Arial" w:hAnsi="Arial"/>
          <w:sz w:val="16"/>
          <w:szCs w:val="16"/>
          <w:color w:val="auto"/>
        </w:rPr>
      </w:pPr>
    </w:p>
    <w:p>
      <w:pPr>
        <w:ind w:left="660" w:hanging="328"/>
        <w:spacing w:after="0" w:line="270" w:lineRule="auto"/>
        <w:tabs>
          <w:tab w:leader="none" w:pos="65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and Adjusted EBITDA margin are non-GAAP measures. For a definition and reconciliation of these non-GAAP measures to the most closely comparable GAAP measures for the period indicated, see below under “Adjusted EBITDA and Adjusted EBITDA Margin.”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our centers as those centers open for business and attending to participants at the end of a particular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Census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census is comprised of our capitated participants for whom we are financially responsible for their total healthcare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Member Months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Center-level Contribution Margin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management uses Center-level Contribution Margin as the measure for assessing performance of its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 or corporate, general and administrative expenses across our centers. Center-level Contribution Margin was $27.9 million and $21.4 million for the three months ended September 30, 2023 and 2022, respectively. The increase in Center-level Contribution Margin for the three months ended September 30, 2023 was primarily due to a 6.6% increase in total revenue,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slightly offset by a 3.2% increase in external provider costs during the same period. For more information relating to Center-level Contribution Margin, see Note 13 “Segment Reporting” to our consolidated financial statements. A reconciliation of Center-level Contribution Margin to loss before income taxes, the most directly comparable GAAP measure, for each of the periods is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September 30, 2023</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1"/>
              </w:rPr>
              <w:t>September 30, 2022</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r>
      <w:tr>
        <w:trPr>
          <w:trHeight w:val="203"/>
        </w:trPr>
        <w:tc>
          <w:tcPr>
            <w:tcW w:w="32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PACE</w:t>
            </w: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7"/>
                <w:szCs w:val="17"/>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PACE</w:t>
            </w:r>
          </w:p>
        </w:tc>
        <w:tc>
          <w:tcPr>
            <w:tcW w:w="180" w:type="dxa"/>
            <w:vAlign w:val="bottom"/>
          </w:tcPr>
          <w:p>
            <w:pPr>
              <w:spacing w:after="0"/>
              <w:rPr>
                <w:sz w:val="17"/>
                <w:szCs w:val="17"/>
                <w:color w:val="auto"/>
              </w:rPr>
            </w:pPr>
          </w:p>
        </w:tc>
        <w:tc>
          <w:tcPr>
            <w:tcW w:w="1100" w:type="dxa"/>
            <w:vAlign w:val="bottom"/>
            <w:gridSpan w:val="2"/>
          </w:tcPr>
          <w:p>
            <w:pPr>
              <w:ind w:left="80"/>
              <w:spacing w:after="0" w:line="202" w:lineRule="exact"/>
              <w:rPr>
                <w:sz w:val="20"/>
                <w:szCs w:val="20"/>
                <w:color w:val="auto"/>
              </w:rPr>
            </w:pPr>
            <w:r>
              <w:rPr>
                <w:rFonts w:ascii="Arial" w:cs="Arial" w:eastAsia="Arial" w:hAnsi="Arial"/>
                <w:sz w:val="14"/>
                <w:szCs w:val="14"/>
                <w:b w:val="1"/>
                <w:bCs w:val="1"/>
                <w:color w:val="auto"/>
              </w:rPr>
              <w:t>All other</w:t>
            </w:r>
            <w:r>
              <w:rPr>
                <w:rFonts w:ascii="Arial" w:cs="Arial" w:eastAsia="Arial" w:hAnsi="Arial"/>
                <w:sz w:val="18"/>
                <w:szCs w:val="18"/>
                <w:b w:val="1"/>
                <w:bCs w:val="1"/>
                <w:color w:val="auto"/>
                <w:vertAlign w:val="superscript"/>
              </w:rPr>
              <w:t>(1)</w:t>
            </w:r>
          </w:p>
        </w:tc>
        <w:tc>
          <w:tcPr>
            <w:tcW w:w="300" w:type="dxa"/>
            <w:vAlign w:val="bottom"/>
          </w:tcPr>
          <w:p>
            <w:pPr>
              <w:spacing w:after="0"/>
              <w:rPr>
                <w:sz w:val="17"/>
                <w:szCs w:val="17"/>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Totals</w:t>
            </w:r>
          </w:p>
        </w:tc>
      </w:tr>
      <w:tr>
        <w:trPr>
          <w:trHeight w:val="223"/>
        </w:trPr>
        <w:tc>
          <w:tcPr>
            <w:tcW w:w="3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Capitation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182,173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170,931</w:t>
            </w:r>
          </w:p>
        </w:tc>
      </w:tr>
      <w:tr>
        <w:trPr>
          <w:trHeight w:val="230"/>
        </w:trPr>
        <w:tc>
          <w:tcPr>
            <w:tcW w:w="3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service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287</w:t>
            </w: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182,485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171,218</w:t>
            </w: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External provider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99,358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99,358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96,237</w:t>
            </w:r>
          </w:p>
        </w:tc>
      </w:tr>
      <w:tr>
        <w:trPr>
          <w:trHeight w:val="175"/>
        </w:trPr>
        <w:tc>
          <w:tcPr>
            <w:tcW w:w="3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Cost of care, excluding depreciation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55,250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53,557</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Center-Level Contribution Margin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27,877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21,424</w:t>
            </w:r>
          </w:p>
        </w:tc>
      </w:tr>
      <w:tr>
        <w:trPr>
          <w:trHeight w:val="223"/>
        </w:trPr>
        <w:tc>
          <w:tcPr>
            <w:tcW w:w="3240" w:type="dxa"/>
            <w:vAlign w:val="bottom"/>
            <w:shd w:val="clear" w:color="auto" w:fill="CCEEFF"/>
          </w:tcPr>
          <w:p>
            <w:pPr>
              <w:ind w:left="140"/>
              <w:spacing w:after="0" w:line="223" w:lineRule="exact"/>
              <w:rPr>
                <w:sz w:val="20"/>
                <w:szCs w:val="20"/>
                <w:color w:val="auto"/>
              </w:rPr>
            </w:pPr>
            <w:r>
              <w:rPr>
                <w:rFonts w:ascii="Arial" w:cs="Arial" w:eastAsia="Arial" w:hAnsi="Arial"/>
                <w:sz w:val="18"/>
                <w:szCs w:val="18"/>
                <w:color w:val="auto"/>
              </w:rPr>
              <w:t>Overhead costs</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34,594</w:t>
            </w: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3,433</w:t>
            </w:r>
          </w:p>
        </w:tc>
      </w:tr>
      <w:tr>
        <w:trPr>
          <w:trHeight w:val="229"/>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603</w:t>
            </w: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(10,736)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(17,169)</w:t>
            </w:r>
          </w:p>
        </w:tc>
      </w:tr>
      <w:tr>
        <w:trPr>
          <w:trHeight w:val="155"/>
        </w:trPr>
        <w:tc>
          <w:tcPr>
            <w:tcW w:w="32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Before Income Taxes as a % of</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76"/>
        </w:trPr>
        <w:tc>
          <w:tcPr>
            <w:tcW w:w="3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6"/>
              </w:rPr>
              <w:t>Center- Level Contribution Margin as a</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of 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35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Overhead consists of the sales and marketing and corporate, general and administrative financial statement line items.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define Adjusted EBITDA as net income (loss) adjusted for interest expense, depreciation and amortization, and provision (benefit) for income tax as well as addbacks for non-recurring expenses or exceptional items, including charges relating to management equity compensation, litigation costs and settlements, M&amp;A and de novo center development, business optimization, electronic medical record ("EMR") implementation, and facility expansion, relocation and closure. Adjusted EBITDA margin is Adjusted EBITDA expressed as a percentage of our total revenue. For the three months ended September 30, 2023 and 2022, net loss was $11.0 million and $13.7 million, respectively, representing a year-over-year decrease of 20.0%. Adjusted EBITDA was $2.2 million and ($3.8 million), for the three months ended September 30, 2023 and 2022, respectively, representing a year-over-year increase of 158.3%. For the three months ended September 30, 2023, net loss margin was 6.0%, as compared to net loss margin of 8.0% for the three months ended September 30, 2022. For the three months ended September 30, 2023, our Adjusted EBITDA margin was 1.2%, as compared to our Adjusted EBITDA margin for the three months ended September 30, 2022 of negative 2.2%. The increase in Adjusted EBITDA and Adjusted EBITDA margin is primarily from (i) increased capitation rates and (ii) lower corporate, general and administrative costs partially offset by, (i) increased center-level headcount and wage rates associated with a competitive labor market, and (ii) increased housing utilization and unit cost as mandated by the states.</w:t>
      </w:r>
    </w:p>
    <w:p>
      <w:pPr>
        <w:spacing w:after="0" w:line="17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net loss to Adjusted EBITDA, the most directly comparable GAAP measure, for each of the periods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368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6"/>
                <w:szCs w:val="16"/>
                <w:b w:val="1"/>
                <w:bCs w:val="1"/>
                <w:color w:val="auto"/>
              </w:rPr>
              <w:t>Three months ended September 30,</w:t>
            </w:r>
          </w:p>
        </w:tc>
      </w:tr>
      <w:tr>
        <w:trPr>
          <w:trHeight w:val="210"/>
        </w:trPr>
        <w:tc>
          <w:tcPr>
            <w:tcW w:w="75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2022</w:t>
            </w:r>
          </w:p>
        </w:tc>
      </w:tr>
      <w:tr>
        <w:trPr>
          <w:trHeight w:val="523"/>
        </w:trPr>
        <w:tc>
          <w:tcPr>
            <w:tcW w:w="7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Litigation costs and settlement</w:t>
            </w:r>
            <w:r>
              <w:rPr>
                <w:rFonts w:ascii="Arial" w:cs="Arial" w:eastAsia="Arial" w:hAnsi="Arial"/>
                <w:sz w:val="23"/>
                <w:szCs w:val="23"/>
                <w:color w:val="auto"/>
                <w:vertAlign w:val="superscript"/>
              </w:rPr>
              <w:t>(a)</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1,668</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M&amp;A and de novo center development</w:t>
            </w:r>
            <w:r>
              <w:rPr>
                <w:rFonts w:ascii="Arial" w:cs="Arial" w:eastAsia="Arial" w:hAnsi="Arial"/>
                <w:sz w:val="23"/>
                <w:szCs w:val="23"/>
                <w:color w:val="auto"/>
                <w:vertAlign w:val="superscript"/>
              </w:rPr>
              <w:t>(b)</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7560" w:type="dxa"/>
            <w:vAlign w:val="bottom"/>
          </w:tcPr>
          <w:p>
            <w:pPr>
              <w:ind w:left="20"/>
              <w:spacing w:after="0" w:line="230" w:lineRule="exact"/>
              <w:rPr>
                <w:sz w:val="20"/>
                <w:szCs w:val="20"/>
                <w:color w:val="auto"/>
              </w:rPr>
            </w:pPr>
            <w:r>
              <w:rPr>
                <w:rFonts w:ascii="Arial" w:cs="Arial" w:eastAsia="Arial" w:hAnsi="Arial"/>
                <w:sz w:val="18"/>
                <w:szCs w:val="18"/>
                <w:color w:val="auto"/>
              </w:rPr>
              <w:t>Business optimization</w:t>
            </w:r>
            <w:r>
              <w:rPr>
                <w:rFonts w:ascii="Arial" w:cs="Arial" w:eastAsia="Arial" w:hAnsi="Arial"/>
                <w:sz w:val="23"/>
                <w:szCs w:val="23"/>
                <w:color w:val="auto"/>
                <w:vertAlign w:val="superscript"/>
              </w:rPr>
              <w:t>(c)</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5,554</w:t>
            </w: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EMR implementation</w:t>
            </w:r>
            <w:r>
              <w:rPr>
                <w:rFonts w:ascii="Arial" w:cs="Arial" w:eastAsia="Arial" w:hAnsi="Arial"/>
                <w:sz w:val="23"/>
                <w:szCs w:val="23"/>
                <w:color w:val="auto"/>
                <w:vertAlign w:val="superscript"/>
              </w:rPr>
              <w:t>(d)</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756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110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r>
      <w:tr>
        <w:trPr>
          <w:trHeight w:val="20"/>
        </w:trPr>
        <w:tc>
          <w:tcPr>
            <w:tcW w:w="7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8" w:lineRule="exact"/>
        <w:rPr>
          <w:sz w:val="20"/>
          <w:szCs w:val="20"/>
          <w:color w:val="auto"/>
        </w:rPr>
      </w:pPr>
    </w:p>
    <w:p>
      <w:pPr>
        <w:jc w:val="both"/>
        <w:ind w:left="660" w:hanging="328"/>
        <w:spacing w:after="0" w:line="255" w:lineRule="auto"/>
        <w:tabs>
          <w:tab w:leader="none" w:pos="6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charges/(credits) related to litigation by stockholders, litigation related to de novo center development, and civil investigative demands.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charges related to M&amp;A transaction and integrations, and de novo center developments.</w:t>
      </w:r>
    </w:p>
    <w:p>
      <w:pPr>
        <w:spacing w:after="0" w:line="5" w:lineRule="exact"/>
        <w:rPr>
          <w:rFonts w:ascii="Arial" w:cs="Arial" w:eastAsia="Arial" w:hAnsi="Arial"/>
          <w:sz w:val="16"/>
          <w:szCs w:val="16"/>
          <w:color w:val="auto"/>
        </w:rPr>
      </w:pPr>
    </w:p>
    <w:p>
      <w:pPr>
        <w:jc w:val="both"/>
        <w:ind w:left="660" w:hanging="328"/>
        <w:spacing w:after="0" w:line="253" w:lineRule="auto"/>
        <w:tabs>
          <w:tab w:leader="none" w:pos="6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the three months ended September 30, 2023 this includes (i) $1.8 million of costs associated with third party consultants as we implement our core provider initiatives, assess our risk-bearing payor capabilities, and strengthen our enterprise capabilities and (ii) $0.4 million related to other non-recurring projects aimed at reducing costs and improving efficiencies. For the three months ended September 30, 2022 this includes (i) $0.7 million related to consultants and contractors performing audit and other related services at sanctioned centers, (ii) $4.3 million of costs associated with third party consultants as we implement our core provider initiatives, assess our risk-bearing payor capabilities, and strengthen our enterprise capabilities, and (iii) $0.6 million related to other non-recurring projects aimed at reducing costs and improving efficiencies.</w:t>
      </w:r>
    </w:p>
    <w:p>
      <w:pPr>
        <w:spacing w:after="0" w:line="4"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non-recurring expenses relating to the implementation of a new EMR vendor.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date, we have financed our operations principally through cash flows from operations and through borrowings under our credit facilities, and from the sale of common stock in our IPO that occurred in March 2021. As of September 30, 2023, we had cash and cash equivalents of $88.4 million. Our cash and cash equivalents primarily consist of highly liquid investments in demand deposit accounts and cash.</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capital resources are generally used to fund (i) debt service requirements, the majority of which relate to the quarterly principal payments of the Term Loan Facility (as defined in Note 8, “Long Term Debt” to the condensed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consolidated financial statements) due 2026, (ii) finance and operating lease obligations, which are generally paid on a monthly basis and include maturities through 2028 and 2032, respectively, (iii) the operations of our business, including special projects such as our transition to a new EMR vendor, with respect to which we incurred non-recurring implementation costs over the last three months, and expect to incur ongoing costs through 2024 and beyond, and third party support to address remediation efforts, (iv) income tax payments, which are generally due on a quarterly and annual basis, and (v) capital additions, which included costs relating to the development of de novo centers, including those in Florida and California. We also will continue investing in the effective implementation of post-sanction corrective remediation plans (CAPs) and other corrective initiatives as a result of deficiencies found during audits at some of our centers, and our ability to continually provide necessary and quality services to our participants. Collectively, these obligations are expected to represent a significant liquidity requirement of our Company on both a short-term (next 12 months) and long-term (beyond 12 months) basis.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2023, we had $68.8 million of long-term debt outstanding. As of September 30, 2023, we had future minimum operating lease payments under non-cancellable leases through the year 2032 of $26.5 million. We also had non-cancellable finance lease agreements with third parties through the year 2028 with future minimum payments of $19.4 million. For additional information, see Note 7, “Leases”, Note 8, “Long Term Debt”, and Note 9, “Commitments and Contingencies” in our condensed consolidated financial statements.</w:t>
      </w:r>
    </w:p>
    <w:p>
      <w:pPr>
        <w:spacing w:after="0" w:line="1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that our cash and cash equivalents and our cash flows from operations, available funds, and access to financing sources, including our 2021 Credit Agreement and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6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2021 Credit Agreement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 (ii) applicable covenant compliance restrictions and any other conditions precedent to borrowing. Principal on the Term Loan Facility is paid each calendar quarter in an amount equal to 1.25% of the initial term loan on closing date.</w:t>
      </w:r>
    </w:p>
    <w:p>
      <w:pPr>
        <w:spacing w:after="0" w:line="1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Outstanding principal amounts under the 2021 Credit Agreement accrue interest at a variable interest rate. As of September 30, 2023, the interest rate on the Term Loan Facility was 7.30%. Under the terms of the 2021 Credit Agreement, the Revolving Credit Facility fee accrues at 0.25% of the average daily unused amount and is paid quarterly. As of September 30, 2023, we had no borrowings outstanding, $2.8 million of letters of credit issued, and $97.2 million of remaining borrowing capacity under the Revolving Credit Facility. As of September 30, 2023, we also had $2.3 million principal amount outstanding under our convertible term loan. Monthly principal and interest payments for the convertible term loan are approximately $0.02 million, and the loan bears interest at an annual rate of 6.68%. The remaining principal balance is due upon maturity, which is August 20, 2030.</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about our debt, see Note 8 “Long-Term Debt” to our condensed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Condensed Consolidated Statements of 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statements of cash flows for the three months ended September 30, 2023 and 2022 are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 Change</w:t>
            </w:r>
          </w:p>
        </w:tc>
      </w:tr>
      <w:tr>
        <w:trPr>
          <w:trHeight w:val="199"/>
        </w:trPr>
        <w:tc>
          <w:tcPr>
            <w:tcW w:w="66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provided by operating activities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(46,112)</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4,525</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23"/>
        </w:trPr>
        <w:tc>
          <w:tcPr>
            <w:tcW w:w="660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(42,645)</w:t>
            </w: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change in net cash provided (used) by operating activities was primarily due to the net effect of (i) net loss of $11.0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current year period compared to a net loss of $13.7 million in the prior year period, as described further above, and (ii) an increase in accounts receivable primarily attributable to the timing of receipt of payments for certain Medicaid receivables, and (iii) increased payments for accounts payable and accrued expenses, operating leases and reported and estimated claims.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Investing activities were made up of approximately $2.6 million in purchases of property and equipment and $0.6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short-term investments, consisting primarily of managed income funds invested in investment grade short-term fixed and floating rate debt securities aimed at creating income while maintaining low volatility on principal. Our investment in managed income funds regularly pay dividends which are reinvested into the funds.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increase in net cash used in financing activities was primarily due to an increase in taxes paid related to net share settlements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stock-based compensation awards of $0.6 million and an increase in principal payments on finance leases of $0.4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condensed consolidated financial statements, which have been prepared in accordance with GAAP. The preparation of these financial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 description of our estimates regarding our critical accounting estimates, see “Critical Accounting Estimates” in the 2023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September 30, 2023, we had total outstanding debt of $66.6 million in principal amount under the Term Loan Facility, $2.3 million under the convertible term loan, and no outstanding debt under the Revolving Credit Facility (each as defined in Note 8, “Long-Term Debt” to our condensed consolidated financial statements). As of June 30, 2023, we had total outstanding debt of $67.5 million in principal amount under the Term Loan Facility and $2.3 million under the Convertible Term Loan. As of September 30, 2023, the interest rate on the Term Loan Facility was 7.30%. We amended our 2021 Credit Agreement during the fourth quarter ended June 30, 2023 to replace the London Interbank Offered Rate ("LIBOR") reference rate with the Secured Overnight Financing Rate ("SOFR") prior to the discontinuance of LIBOR.</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had cash and cash equivalents of $88.4 million and $127.2 million as of September 30, 2023 and June 30, 2023, respectively, which are deposited with high credit quality financial institutions and are primarily in demand deposit accounts.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had short-term investments of $46.8 million and $46.2 million as of September 30, 2023 and June 30, 2023,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Evaluation of Disclosure Controls and Procedures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these disclosure controls and procedures were effective as of September 30,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Changes to our Internal Controls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in internal control over financial reporting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Except as set forth below, there have been no material changes to the risk factors previously disclosed in </w:t>
      </w:r>
      <w:r>
        <w:rPr>
          <w:rFonts w:ascii="Arial" w:cs="Arial" w:eastAsia="Arial" w:hAnsi="Arial"/>
          <w:sz w:val="18"/>
          <w:szCs w:val="18"/>
          <w:color w:val="212529"/>
        </w:rPr>
        <w:t>our 2023 10-K.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Labor relations matters could have a material adverse effect on our business, reputation, prospects, results of operations and financial condition.</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12529"/>
        </w:rPr>
        <w:t>On October 27, 2023, we filed a petition with the National Labor Relations Board to conduct an election to determine if the nurses in our Pennsylvania centers wish to be represented for purposes of collective bargaining with the Company. The petition originates from a request by the nurses in our Pennsylvania centers to unionize. These employees represent approximately 1% of our total workforce. Even though we are currently unaware of other unionization efforts, it is possible that additional employees in our Pennsylvania centers or in other geographies may follow. If these employees vote in favor of representation, as we negotiate the collective bargaining agreement with these employees or any other employees, work stoppages and strikes may be threatened or occur, and our labor costs may continue to increase. The unavailability of staff, or the inability of the Company to control labor costs related to these matters and future efforts to unionize, could have a material adverse effect on our business, reputation, prospects,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212529"/>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all exhibits filed or furnished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900" w:type="dxa"/>
            <w:vAlign w:val="bottom"/>
            <w:gridSpan w:val="16"/>
          </w:tcPr>
          <w:p>
            <w:pPr>
              <w:jc w:val="center"/>
              <w:ind w:right="2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82"/>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76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No.</w:t>
            </w:r>
          </w:p>
        </w:tc>
        <w:tc>
          <w:tcPr>
            <w:tcW w:w="20" w:type="dxa"/>
            <w:vAlign w:val="bottom"/>
          </w:tcPr>
          <w:p>
            <w:pPr>
              <w:spacing w:after="0"/>
              <w:rPr>
                <w:sz w:val="16"/>
                <w:szCs w:val="16"/>
                <w:color w:val="auto"/>
              </w:rPr>
            </w:pPr>
          </w:p>
        </w:tc>
        <w:tc>
          <w:tcPr>
            <w:tcW w:w="976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60" w:type="dxa"/>
            <w:vAlign w:val="bottom"/>
            <w:tcBorders>
              <w:top w:val="single" w:sz="8" w:color="auto"/>
              <w:bottom w:val="single" w:sz="8" w:color="0000FF"/>
            </w:tcBorders>
            <w:gridSpan w:val="8"/>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Second Amended and Restated Certificate of Incorporation of InnovAge Holding Corp., filed March 3, 2021 (incorporated by</w:t>
              </w:r>
            </w:hyperlink>
          </w:p>
        </w:tc>
        <w:tc>
          <w:tcPr>
            <w:tcW w:w="700" w:type="dxa"/>
            <w:vAlign w:val="bottom"/>
            <w:tcBorders>
              <w:top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7"/>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reference to Exhibit 3.1 to the Company’s Current Report on Form 8-K filed with the SEC on March 8,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11"/>
          </w:tcPr>
          <w:p>
            <w:pPr>
              <w:spacing w:after="0"/>
              <w:rPr>
                <w:rFonts w:ascii="Arial" w:cs="Arial" w:eastAsia="Arial" w:hAnsi="Arial"/>
                <w:sz w:val="18"/>
                <w:szCs w:val="18"/>
                <w:color w:val="0000FF"/>
                <w:w w:val="91"/>
              </w:rPr>
            </w:pPr>
            <w:hyperlink r:id="rId68">
              <w:r>
                <w:rPr>
                  <w:rFonts w:ascii="Arial" w:cs="Arial" w:eastAsia="Arial" w:hAnsi="Arial"/>
                  <w:sz w:val="18"/>
                  <w:szCs w:val="18"/>
                  <w:color w:val="0000FF"/>
                  <w:w w:val="91"/>
                </w:rPr>
                <w:t>Amended and Restated Bylaws of InnovAge Holding Corp., effective March 3, 2021 (incorporated by reference to Exhibit 3.2 to the</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Company’s Current Report on Form 8-K filed with the SEC on March 8, 2021).</w:t>
              </w:r>
            </w:hyperlink>
          </w:p>
        </w:tc>
        <w:tc>
          <w:tcPr>
            <w:tcW w:w="40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3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tcBorders>
              <w:bottom w:val="single" w:sz="8" w:color="0000FF"/>
            </w:tcBorders>
            <w:gridSpan w:val="7"/>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Employment Agreement, dated as of July 3, 2023, by and between Total Community Options, Inc. and Benjamin C. Adams</w:t>
              </w:r>
            </w:hyperlink>
          </w:p>
        </w:tc>
        <w:tc>
          <w:tcPr>
            <w:tcW w:w="1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gridSpan w:val="17"/>
          </w:tcPr>
          <w:p>
            <w:pPr>
              <w:spacing w:after="0" w:line="15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(incorporated by reference to Exhibit 10.1 to the Company’s Current Report on Form 8-K filed with the SEC on July 5, 2023).</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FF"/>
                <w:w w:val="94"/>
              </w:rPr>
            </w:pPr>
            <w:hyperlink r:id="rId70">
              <w:r>
                <w:rPr>
                  <w:rFonts w:ascii="Arial" w:cs="Arial" w:eastAsia="Arial" w:hAnsi="Arial"/>
                  <w:sz w:val="18"/>
                  <w:szCs w:val="18"/>
                  <w:color w:val="0000FF"/>
                  <w:w w:val="94"/>
                </w:rPr>
                <w:t>Class B Unit Award Agreement, effective as of July 10, 2023, by and between TCO Group Holdings, L.P. and Benjamin C. Adams</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tcBorders>
            <w:gridSpan w:val="10"/>
          </w:tcPr>
          <w:p>
            <w:pPr>
              <w:spacing w:after="0" w:line="182"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(incorporated by reference to Exhibit 10.2 to the Company’s Current Report on Form 8-K filed with the SEC on July 5, 2023).</w:t>
              </w:r>
            </w:hyperlink>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Transition and Separation Agreement, dated as of July 3, 2023, by and between Total Community Options Inc. and Barbara Gutierrez</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0" w:type="dxa"/>
            <w:vAlign w:val="bottom"/>
            <w:tcBorders>
              <w:top w:val="single" w:sz="8" w:color="0000FF"/>
            </w:tcBorders>
            <w:gridSpan w:val="12"/>
          </w:tcPr>
          <w:p>
            <w:pPr>
              <w:spacing w:after="0" w:line="182" w:lineRule="exact"/>
              <w:rPr>
                <w:rFonts w:ascii="Arial" w:cs="Arial" w:eastAsia="Arial" w:hAnsi="Arial"/>
                <w:sz w:val="18"/>
                <w:szCs w:val="18"/>
                <w:color w:val="0000FF"/>
                <w:w w:val="96"/>
              </w:rPr>
            </w:pPr>
            <w:hyperlink r:id="rId71">
              <w:r>
                <w:rPr>
                  <w:rFonts w:ascii="Arial" w:cs="Arial" w:eastAsia="Arial" w:hAnsi="Arial"/>
                  <w:sz w:val="18"/>
                  <w:szCs w:val="18"/>
                  <w:color w:val="0000FF"/>
                  <w:w w:val="96"/>
                </w:rPr>
                <w:t>(incorporated by reference to Exhibit 10.3 to the Company’s Current Report on Form 8-K filed with the SEC on July 5, 2023).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Letter Agreement relating to Class B Units, dated as of July 3, 2023, by and between TCO Group Holdings, L.P. and Barbara Gutierrez</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15"/>
          </w:tcPr>
          <w:p>
            <w:pPr>
              <w:spacing w:after="0" w:line="182" w:lineRule="exact"/>
              <w:rPr>
                <w:rFonts w:ascii="Arial" w:cs="Arial" w:eastAsia="Arial" w:hAnsi="Arial"/>
                <w:sz w:val="18"/>
                <w:szCs w:val="18"/>
                <w:color w:val="0000FF"/>
                <w:w w:val="98"/>
              </w:rPr>
            </w:pPr>
            <w:hyperlink r:id="rId72">
              <w:r>
                <w:rPr>
                  <w:rFonts w:ascii="Arial" w:cs="Arial" w:eastAsia="Arial" w:hAnsi="Arial"/>
                  <w:sz w:val="18"/>
                  <w:szCs w:val="18"/>
                  <w:color w:val="0000FF"/>
                  <w:w w:val="98"/>
                </w:rPr>
                <w:t>(incorporated by reference to Exhibit 10.4 to the Company’s Current Report on Form 8-K filed with the SEC on July 5, 2023).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7"/>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Class B Unit Award Agreement, effective August 30, 2023, by and between TCO Group Holdings, L.P. and Patrick Blair (incorporated</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by reference to Exhibit 10.1 to the Company’s Current Report on Form 8-K filed with the SEC on September 1,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12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97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Certification of Chief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Act of 2002</w:t>
            </w:r>
          </w:p>
        </w:tc>
        <w:tc>
          <w:tcPr>
            <w:tcW w:w="89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9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Certification of Chief Financial Officer Pursuant to 18 U.S.C. Section 1350, as adopted pursuant to Section 906 of the Sarbanes-Oxley</w:t>
            </w:r>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2"/>
              </w:rPr>
              <w:t>Act of 2002</w:t>
            </w:r>
          </w:p>
        </w:tc>
        <w:tc>
          <w:tcPr>
            <w:tcW w:w="89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8"/>
                <w:szCs w:val="18"/>
                <w:color w:val="auto"/>
                <w:w w:val="96"/>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1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91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3"/>
          </w:tcPr>
          <w:p>
            <w:pPr>
              <w:jc w:val="right"/>
              <w:ind w:right="1410"/>
              <w:spacing w:after="0"/>
              <w:rPr>
                <w:sz w:val="20"/>
                <w:szCs w:val="20"/>
                <w:color w:val="auto"/>
              </w:rPr>
            </w:pPr>
            <w:r>
              <w:rPr>
                <w:rFonts w:ascii="Arial" w:cs="Arial" w:eastAsia="Arial" w:hAnsi="Arial"/>
                <w:sz w:val="18"/>
                <w:szCs w:val="18"/>
                <w:color w:val="auto"/>
              </w:rPr>
              <w:t>41</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and contained in Exhibit 101)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3" w:lineRule="exact"/>
        <w:rPr>
          <w:sz w:val="20"/>
          <w:szCs w:val="20"/>
          <w:color w:val="auto"/>
        </w:rPr>
      </w:pPr>
    </w:p>
    <w:p>
      <w:pPr>
        <w:jc w:val="both"/>
        <w:ind w:left="340" w:hanging="332"/>
        <w:spacing w:after="0" w:line="263"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20" w:type="dxa"/>
            <w:vAlign w:val="bottom"/>
            <w:gridSpan w:val="2"/>
          </w:tcPr>
          <w:p>
            <w:pPr>
              <w:ind w:left="1720"/>
              <w:spacing w:after="0"/>
              <w:rPr>
                <w:sz w:val="20"/>
                <w:szCs w:val="20"/>
                <w:color w:val="auto"/>
              </w:rPr>
            </w:pPr>
            <w:r>
              <w:rPr>
                <w:rFonts w:ascii="Arial" w:cs="Arial" w:eastAsia="Arial" w:hAnsi="Arial"/>
                <w:sz w:val="18"/>
                <w:szCs w:val="18"/>
                <w:b w:val="1"/>
                <w:bCs w:val="1"/>
                <w:color w:val="auto"/>
              </w:rPr>
              <w:t>INNOVAGE HOLDING CORP.</w:t>
            </w:r>
          </w:p>
        </w:tc>
      </w:tr>
      <w:tr>
        <w:trPr>
          <w:trHeight w:val="479"/>
        </w:trPr>
        <w:tc>
          <w:tcPr>
            <w:tcW w:w="3500" w:type="dxa"/>
            <w:vAlign w:val="bottom"/>
          </w:tcPr>
          <w:p>
            <w:pPr>
              <w:spacing w:after="0"/>
              <w:rPr>
                <w:sz w:val="20"/>
                <w:szCs w:val="20"/>
                <w:color w:val="auto"/>
              </w:rPr>
            </w:pPr>
            <w:r>
              <w:rPr>
                <w:rFonts w:ascii="Arial" w:cs="Arial" w:eastAsia="Arial" w:hAnsi="Arial"/>
                <w:sz w:val="18"/>
                <w:szCs w:val="18"/>
                <w:color w:val="auto"/>
              </w:rPr>
              <w:t>Date: November 7, 2023</w:t>
            </w:r>
          </w:p>
        </w:tc>
        <w:tc>
          <w:tcPr>
            <w:tcW w:w="2500" w:type="dxa"/>
            <w:vAlign w:val="bottom"/>
          </w:tcPr>
          <w:p>
            <w:pPr>
              <w:ind w:left="17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Benjamin C. Adams</w:t>
            </w:r>
          </w:p>
        </w:tc>
      </w:tr>
      <w:tr>
        <w:trPr>
          <w:trHeight w:val="243"/>
        </w:trPr>
        <w:tc>
          <w:tcPr>
            <w:tcW w:w="3500" w:type="dxa"/>
            <w:vAlign w:val="bottom"/>
          </w:tcPr>
          <w:p>
            <w:pPr>
              <w:spacing w:after="0"/>
              <w:rPr>
                <w:sz w:val="21"/>
                <w:szCs w:val="21"/>
                <w:color w:val="auto"/>
              </w:rPr>
            </w:pPr>
          </w:p>
        </w:tc>
        <w:tc>
          <w:tcPr>
            <w:tcW w:w="2500" w:type="dxa"/>
            <w:vAlign w:val="bottom"/>
          </w:tcPr>
          <w:p>
            <w:pPr>
              <w:ind w:left="1720"/>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Benjamin C. Adams</w:t>
            </w:r>
          </w:p>
        </w:tc>
      </w:tr>
      <w:tr>
        <w:trPr>
          <w:trHeight w:val="229"/>
        </w:trPr>
        <w:tc>
          <w:tcPr>
            <w:tcW w:w="3500" w:type="dxa"/>
            <w:vAlign w:val="bottom"/>
          </w:tcPr>
          <w:p>
            <w:pPr>
              <w:spacing w:after="0"/>
              <w:rPr>
                <w:sz w:val="19"/>
                <w:szCs w:val="19"/>
                <w:color w:val="auto"/>
              </w:rPr>
            </w:pPr>
          </w:p>
        </w:tc>
        <w:tc>
          <w:tcPr>
            <w:tcW w:w="2500" w:type="dxa"/>
            <w:vAlign w:val="bottom"/>
          </w:tcPr>
          <w:p>
            <w:pPr>
              <w:ind w:left="1720"/>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Chief Financial Officer (Duly Authorized Officer and Principal</w:t>
            </w:r>
          </w:p>
        </w:tc>
      </w:tr>
      <w:tr>
        <w:trPr>
          <w:trHeight w:val="230"/>
        </w:trPr>
        <w:tc>
          <w:tcPr>
            <w:tcW w:w="35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Financial and Accounting Officer)</w:t>
            </w:r>
          </w:p>
        </w:tc>
      </w:tr>
      <w:tr>
        <w:trPr>
          <w:trHeight w:val="918"/>
        </w:trPr>
        <w:tc>
          <w:tcPr>
            <w:tcW w:w="3500" w:type="dxa"/>
            <w:vAlign w:val="bottom"/>
          </w:tcPr>
          <w:p>
            <w:pPr>
              <w:spacing w:after="0"/>
              <w:rPr>
                <w:sz w:val="24"/>
                <w:szCs w:val="24"/>
                <w:color w:val="auto"/>
              </w:rPr>
            </w:pPr>
          </w:p>
        </w:tc>
        <w:tc>
          <w:tcPr>
            <w:tcW w:w="2500" w:type="dxa"/>
            <w:vAlign w:val="bottom"/>
          </w:tcPr>
          <w:p>
            <w:pPr>
              <w:ind w:left="2020"/>
              <w:spacing w:after="0"/>
              <w:rPr>
                <w:sz w:val="20"/>
                <w:szCs w:val="20"/>
                <w:color w:val="auto"/>
              </w:rPr>
            </w:pPr>
            <w:r>
              <w:rPr>
                <w:rFonts w:ascii="Arial" w:cs="Arial" w:eastAsia="Arial" w:hAnsi="Arial"/>
                <w:sz w:val="18"/>
                <w:szCs w:val="18"/>
                <w:color w:val="auto"/>
              </w:rPr>
              <w:t>43</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Blair, certify that:</w:t>
      </w:r>
    </w:p>
    <w:p>
      <w:pPr>
        <w:spacing w:after="0" w:line="117"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17"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80" w:right="180" w:hanging="648"/>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620" w:right="20" w:hanging="640"/>
        <w:spacing w:after="0" w:line="286" w:lineRule="auto"/>
        <w:tabs>
          <w:tab w:leader="none" w:pos="1617"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620" w:right="100" w:hanging="640"/>
        <w:spacing w:after="0" w:line="263" w:lineRule="auto"/>
        <w:tabs>
          <w:tab w:leader="none" w:pos="161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20" w:right="180" w:hanging="640"/>
        <w:spacing w:after="0" w:line="263" w:lineRule="auto"/>
        <w:tabs>
          <w:tab w:leader="none" w:pos="161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280" w:hanging="640"/>
        <w:spacing w:after="0" w:line="286" w:lineRule="auto"/>
        <w:tabs>
          <w:tab w:leader="none" w:pos="1614"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980" w:right="140" w:hanging="648"/>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20" w:right="140" w:hanging="640"/>
        <w:spacing w:after="0" w:line="342" w:lineRule="auto"/>
        <w:tabs>
          <w:tab w:leader="none" w:pos="161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20" w:right="420" w:hanging="640"/>
        <w:spacing w:after="0" w:line="277" w:lineRule="auto"/>
        <w:tabs>
          <w:tab w:leader="none" w:pos="161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36"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Patrick Blair</w:t>
      </w:r>
    </w:p>
    <w:p>
      <w:pPr>
        <w:spacing w:after="0" w:line="77"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4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Benjamin C. Adams, certify that:</w:t>
      </w:r>
    </w:p>
    <w:p>
      <w:pPr>
        <w:spacing w:after="0" w:line="117"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InnovAge Holding, Corp.;</w:t>
      </w:r>
    </w:p>
    <w:p>
      <w:pPr>
        <w:spacing w:after="0" w:line="117" w:lineRule="exact"/>
        <w:rPr>
          <w:rFonts w:ascii="Arial" w:cs="Arial" w:eastAsia="Arial" w:hAnsi="Arial"/>
          <w:sz w:val="18"/>
          <w:szCs w:val="18"/>
          <w:color w:val="auto"/>
        </w:rPr>
      </w:pPr>
    </w:p>
    <w:p>
      <w:pPr>
        <w:jc w:val="both"/>
        <w:ind w:left="980" w:right="60" w:hanging="648"/>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980" w:right="20" w:hanging="648"/>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980" w:right="180" w:hanging="648"/>
        <w:spacing w:after="0" w:line="26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620" w:right="20" w:hanging="640"/>
        <w:spacing w:after="0" w:line="286" w:lineRule="auto"/>
        <w:tabs>
          <w:tab w:leader="none" w:pos="1617"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620" w:right="100" w:hanging="640"/>
        <w:spacing w:after="0" w:line="263" w:lineRule="auto"/>
        <w:tabs>
          <w:tab w:leader="none" w:pos="1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620" w:right="180" w:hanging="640"/>
        <w:spacing w:after="0" w:line="263" w:lineRule="auto"/>
        <w:tabs>
          <w:tab w:leader="none" w:pos="16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620" w:right="280" w:hanging="640"/>
        <w:spacing w:after="0" w:line="286" w:lineRule="auto"/>
        <w:tabs>
          <w:tab w:leader="none" w:pos="1614"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980" w:right="140" w:hanging="648"/>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620" w:right="140" w:hanging="640"/>
        <w:spacing w:after="0" w:line="342" w:lineRule="auto"/>
        <w:tabs>
          <w:tab w:leader="none" w:pos="1617"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620" w:right="420" w:hanging="640"/>
        <w:spacing w:after="0" w:line="277" w:lineRule="auto"/>
        <w:tabs>
          <w:tab w:leader="none" w:pos="1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Benjamin C. Adams</w:t>
      </w:r>
    </w:p>
    <w:p>
      <w:pPr>
        <w:spacing w:after="0" w:line="77"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3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29"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connection with the Quarterly Report on Form 10-Q of InnovAge Holding Corp. (the “Company”) for the fiscal quarter ended September 30, 2023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57" w:lineRule="exact"/>
        <w:rPr>
          <w:sz w:val="20"/>
          <w:szCs w:val="20"/>
          <w:color w:val="auto"/>
        </w:rPr>
      </w:pPr>
    </w:p>
    <w:p>
      <w:pPr>
        <w:ind w:left="1140" w:hanging="646"/>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140" w:right="440" w:hanging="646"/>
        <w:spacing w:after="0" w:line="277" w:lineRule="auto"/>
        <w:tabs>
          <w:tab w:leader="none" w:pos="11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Patrick Blair</w:t>
      </w:r>
    </w:p>
    <w:p>
      <w:pPr>
        <w:spacing w:after="0" w:line="77"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4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18 U.S.C. Section 1350</w:t>
      </w:r>
    </w:p>
    <w:p>
      <w:pPr>
        <w:spacing w:after="0" w:line="229"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In connection with the Quarterly Report on Form 10-Q of InnovAge Holding Corp. (the “Company”) for the fiscal quarter ended September 30, 2023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57" w:lineRule="exact"/>
        <w:rPr>
          <w:sz w:val="20"/>
          <w:szCs w:val="20"/>
          <w:color w:val="auto"/>
        </w:rPr>
      </w:pPr>
    </w:p>
    <w:p>
      <w:pPr>
        <w:ind w:left="1140" w:hanging="646"/>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40" w:lineRule="exact"/>
        <w:rPr>
          <w:rFonts w:ascii="Arial" w:cs="Arial" w:eastAsia="Arial" w:hAnsi="Arial"/>
          <w:sz w:val="16"/>
          <w:szCs w:val="16"/>
          <w:color w:val="auto"/>
        </w:rPr>
      </w:pPr>
    </w:p>
    <w:p>
      <w:pPr>
        <w:ind w:left="1140" w:right="440" w:hanging="646"/>
        <w:spacing w:after="0" w:line="277" w:lineRule="auto"/>
        <w:tabs>
          <w:tab w:leader="none" w:pos="113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7, 2023</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Name:</w:t>
        <w:tab/>
        <w:t>Benjamin C. Adams</w:t>
      </w:r>
    </w:p>
    <w:p>
      <w:pPr>
        <w:spacing w:after="0" w:line="77" w:lineRule="exact"/>
        <w:rPr>
          <w:sz w:val="20"/>
          <w:szCs w:val="20"/>
          <w:color w:val="auto"/>
        </w:rPr>
      </w:pPr>
    </w:p>
    <w:p>
      <w:pPr>
        <w:ind w:left="5720"/>
        <w:spacing w:after="0"/>
        <w:tabs>
          <w:tab w:leader="none" w:pos="6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2)"/>
      <w:numFmt w:val="lowerRoman"/>
      <w:start w:val="1"/>
    </w:lvl>
  </w:abstractNum>
  <w:abstractNum w:abstractNumId="9">
    <w:nsid w:val="DED7263"/>
    <w:multiLevelType w:val="hybridMultilevel"/>
    <w:lvl w:ilvl="0">
      <w:lvlJc w:val="left"/>
      <w:lvlText w:val="(%1)"/>
      <w:numFmt w:val="lowerRoman"/>
      <w:start w:val="2"/>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67" Type="http://schemas.openxmlformats.org/officeDocument/2006/relationships/hyperlink" Target="https://www.sec.gov/Archives/edgar/data/1834376/000110465921033328/tm2037889d18_ex3-1.htm" TargetMode="External"/><Relationship Id="rId68" Type="http://schemas.openxmlformats.org/officeDocument/2006/relationships/hyperlink" Target="https://www.sec.gov/Archives/edgar/data/1834376/000110465921033328/tm2037889d18_ex3-2.htm" TargetMode="External"/><Relationship Id="rId69" Type="http://schemas.openxmlformats.org/officeDocument/2006/relationships/hyperlink" Target="https://www.sec.gov/Archives/edgar/data/1834376/000110465923078256/tm2319005d1_ex10-1.htm" TargetMode="External"/><Relationship Id="rId70" Type="http://schemas.openxmlformats.org/officeDocument/2006/relationships/hyperlink" Target="https://www.sec.gov/Archives/edgar/data/1834376/000110465923078256/tm2319005d1_ex10-2.htm" TargetMode="External"/><Relationship Id="rId71" Type="http://schemas.openxmlformats.org/officeDocument/2006/relationships/hyperlink" Target="https://www.sec.gov/Archives/edgar/data/1834376/000110465923078256/tm2319005d1_ex10-3.htm" TargetMode="External"/><Relationship Id="rId72" Type="http://schemas.openxmlformats.org/officeDocument/2006/relationships/hyperlink" Target="https://www.sec.gov/Archives/edgar/data/1834376/000110465923078256/tm2319005d1_ex10-4.htm" TargetMode="External"/><Relationship Id="rId73" Type="http://schemas.openxmlformats.org/officeDocument/2006/relationships/hyperlink" Target="https://www.sec.gov/Archives/edgar/data/1834376/000110465923097754/tm232532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2023-11-08T05:29:50Z</dcterms:created>
  <dcterms:modified xsi:type="dcterms:W3CDTF">2023-11-08T05:29:50Z</dcterms:modified>
</cp:coreProperties>
</file>