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3, 2026</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INNOVAGE HOLDING CORP.</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9"/>
        </w:trPr>
        <w:tc>
          <w:tcPr>
            <w:tcW w:w="35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001-40159</w:t>
            </w:r>
          </w:p>
        </w:tc>
        <w:tc>
          <w:tcPr>
            <w:tcW w:w="2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81-0710819</w:t>
            </w:r>
          </w:p>
        </w:tc>
        <w:tc>
          <w:tcPr>
            <w:tcW w:w="0" w:type="dxa"/>
            <w:vAlign w:val="bottom"/>
          </w:tcPr>
          <w:p>
            <w:pPr>
              <w:spacing w:after="0"/>
              <w:rPr>
                <w:sz w:val="1"/>
                <w:szCs w:val="1"/>
                <w:color w:val="auto"/>
              </w:rPr>
            </w:pPr>
          </w:p>
        </w:tc>
      </w:tr>
      <w:tr>
        <w:trPr>
          <w:trHeight w:val="189"/>
        </w:trPr>
        <w:tc>
          <w:tcPr>
            <w:tcW w:w="3500" w:type="dxa"/>
            <w:vAlign w:val="bottom"/>
          </w:tcPr>
          <w:p>
            <w:pPr>
              <w:jc w:val="center"/>
              <w:ind w:right="430"/>
              <w:spacing w:after="0" w:line="189"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320" w:type="dxa"/>
            <w:vAlign w:val="bottom"/>
          </w:tcPr>
          <w:p>
            <w:pPr>
              <w:jc w:val="center"/>
              <w:ind w:left="8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35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96"/>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8950 E. Lowry Boulevard</w:t>
            </w:r>
          </w:p>
        </w:tc>
        <w:tc>
          <w:tcPr>
            <w:tcW w:w="3520" w:type="dxa"/>
            <w:vAlign w:val="bottom"/>
          </w:tcPr>
          <w:p>
            <w:pPr>
              <w:spacing w:after="0"/>
              <w:rPr>
                <w:sz w:val="24"/>
                <w:szCs w:val="24"/>
                <w:color w:val="auto"/>
              </w:rPr>
            </w:pPr>
          </w:p>
        </w:tc>
        <w:tc>
          <w:tcPr>
            <w:tcW w:w="23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80230</w:t>
            </w:r>
          </w:p>
        </w:tc>
        <w:tc>
          <w:tcPr>
            <w:tcW w:w="0" w:type="dxa"/>
            <w:vAlign w:val="bottom"/>
          </w:tcPr>
          <w:p>
            <w:pPr>
              <w:spacing w:after="0"/>
              <w:rPr>
                <w:sz w:val="1"/>
                <w:szCs w:val="1"/>
                <w:color w:val="auto"/>
              </w:rPr>
            </w:pPr>
          </w:p>
        </w:tc>
      </w:tr>
      <w:tr>
        <w:trPr>
          <w:trHeight w:val="230"/>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w:t>
            </w:r>
          </w:p>
        </w:tc>
        <w:tc>
          <w:tcPr>
            <w:tcW w:w="352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(844) 803-8745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6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14"/>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INNV</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3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 xml:space="preserve">Emerging growth company </w:t>
      </w:r>
      <w:r>
        <w:rPr>
          <w:rFonts w:ascii="Wingdings" w:cs="Wingdings" w:eastAsia="Wingdings" w:hAnsi="Wingdings"/>
          <w:sz w:val="18"/>
          <w:szCs w:val="18"/>
          <w:b w:val="1"/>
          <w:bCs w:val="1"/>
          <w:color w:val="auto"/>
        </w:rPr>
        <w:t>x</w:t>
      </w:r>
    </w:p>
    <w:p>
      <w:pPr>
        <w:spacing w:after="0" w:line="189" w:lineRule="exact"/>
        <w:rPr>
          <w:sz w:val="24"/>
          <w:szCs w:val="24"/>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02" w:right="31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Results of Operations and Financial Condition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February 3, 2026, InnovAge Holding Corp. issued a press release announcing financial results for the second fiscal quarter ended December 31, 2025, and related matters. A copy of this press release is furnished as Exhibit 99.1 hereto and is incorporated in this Item 2.02 by reference.</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exhibit attached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9980" w:type="dxa"/>
            <w:vAlign w:val="bottom"/>
            <w:gridSpan w:val="2"/>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InnovAge Holding Corp., dated February 3, 2026</w:t>
            </w:r>
          </w:p>
        </w:tc>
        <w:tc>
          <w:tcPr>
            <w:tcW w:w="5200" w:type="dxa"/>
            <w:vAlign w:val="bottom"/>
            <w:tcBorders>
              <w:top w:val="single" w:sz="8" w:color="auto"/>
            </w:tcBorders>
          </w:tcPr>
          <w:p>
            <w:pPr>
              <w:spacing w:after="0"/>
              <w:rPr>
                <w:sz w:val="24"/>
                <w:szCs w:val="24"/>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01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INNOVAGE HOLDING CORP.</w:t>
            </w:r>
          </w:p>
        </w:tc>
      </w:tr>
      <w:tr>
        <w:trPr>
          <w:trHeight w:val="58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2026</w:t>
            </w: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Benjamin C. Adams</w:t>
            </w:r>
          </w:p>
        </w:tc>
      </w:tr>
      <w:tr>
        <w:trPr>
          <w:trHeight w:val="218"/>
        </w:trPr>
        <w:tc>
          <w:tcPr>
            <w:tcW w:w="3560" w:type="dxa"/>
            <w:vAlign w:val="bottom"/>
          </w:tcPr>
          <w:p>
            <w:pPr>
              <w:spacing w:after="0"/>
              <w:rPr>
                <w:sz w:val="18"/>
                <w:szCs w:val="18"/>
                <w:color w:val="auto"/>
              </w:rPr>
            </w:pP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34"/>
        </w:trPr>
        <w:tc>
          <w:tcPr>
            <w:tcW w:w="3560" w:type="dxa"/>
            <w:vAlign w:val="bottom"/>
          </w:tcPr>
          <w:p>
            <w:pPr>
              <w:spacing w:after="0"/>
              <w:rPr>
                <w:sz w:val="20"/>
                <w:szCs w:val="20"/>
                <w:color w:val="auto"/>
              </w:rPr>
            </w:pP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143125" cy="1122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INNOVAGE ANNOUNCES FINANCIAL RESULTS FOR THE</w:t>
      </w:r>
    </w:p>
    <w:p>
      <w:pPr>
        <w:spacing w:after="0" w:line="2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FISCAL SECOND QUARTER ENDED DECEMBER 31,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DENVER, CO., February 3, 2026 </w:t>
      </w:r>
      <w:r>
        <w:rPr>
          <w:rFonts w:ascii="Times New Roman" w:cs="Times New Roman" w:eastAsia="Times New Roman" w:hAnsi="Times New Roman"/>
          <w:sz w:val="22"/>
          <w:szCs w:val="22"/>
          <w:color w:val="auto"/>
        </w:rPr>
        <w:t>(GLOBE NEWSWIRE) -- InnovAge Holding Corp. (“InnovAge” or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INNV), an industry leader in providing comprehensive healthcare programs to frail, predominantly dual-eligible seniors through the Program of All-inclusive Care for the Elderly (PACE), today announced financial results for its fiscal second quarter ended December 31, 2025.</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“InnovAge delivered strong operating and financial results this quarter, reflecting continued progress in building a scalable, high-quality PACE platform,” said Patrick Blair, CEO. “Our performance is rooted in disciplined execution and a care model that prioritizes clinical outcomes, participant experience, and responsible stewardship of public resources. We remain focused on sustainable growth, close partnership with regulators, and long-term value for participants, payors, and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8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2"/>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 and per share amounts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239,708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208,999</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(13,457)</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(13,491)</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8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InnovAge Holding Corp.</w:t>
            </w:r>
          </w:p>
        </w:tc>
        <w:tc>
          <w:tcPr>
            <w:tcW w:w="32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(13,221)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(0.10)</w:t>
            </w:r>
          </w:p>
        </w:tc>
      </w:tr>
      <w:tr>
        <w:trPr>
          <w:trHeight w:val="237"/>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37,065</w:t>
            </w:r>
          </w:p>
        </w:tc>
      </w:tr>
      <w:tr>
        <w:trPr>
          <w:trHeight w:val="229"/>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22,151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5,869</w:t>
            </w: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Fiscal Second Quarter 2026 Financial Performance</w:t>
      </w:r>
    </w:p>
    <w:p>
      <w:pPr>
        <w:spacing w:after="0" w:line="224" w:lineRule="exact"/>
        <w:rPr>
          <w:sz w:val="20"/>
          <w:szCs w:val="20"/>
          <w:color w:val="auto"/>
        </w:rPr>
      </w:pPr>
    </w:p>
    <w:p>
      <w:pPr>
        <w:ind w:left="660" w:hanging="328"/>
        <w:spacing w:after="0" w:line="25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revenues of $239.7 million, increased approximately 14.7% compared to $209.0 million in the second quarter of fiscal year 2025</w:t>
      </w:r>
    </w:p>
    <w:p>
      <w:pPr>
        <w:spacing w:after="0" w:line="1" w:lineRule="exact"/>
        <w:rPr>
          <w:rFonts w:ascii="Times New Roman" w:cs="Times New Roman" w:eastAsia="Times New Roman" w:hAnsi="Times New Roman"/>
          <w:sz w:val="22"/>
          <w:szCs w:val="22"/>
          <w:color w:val="auto"/>
        </w:rPr>
      </w:pPr>
    </w:p>
    <w:p>
      <w:pPr>
        <w:ind w:left="660" w:hanging="328"/>
        <w:spacing w:after="0" w:line="24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Before Income Taxes of $12.5 million increased approximately 192.6%, compared to a Loss Before Income Taxes of $13.5 million in the second quarter of fiscal year 2025</w:t>
      </w:r>
    </w:p>
    <w:p>
      <w:pPr>
        <w:sectPr>
          <w:pgSz w:w="11900" w:h="16838" w:orient="portrait"/>
          <w:cols w:equalWidth="0" w:num="1">
            <w:col w:w="11240"/>
          </w:cols>
          <w:pgMar w:left="320" w:top="1148" w:right="339" w:bottom="1440" w:gutter="0" w:footer="0" w:header="0"/>
        </w:sectPr>
      </w:pPr>
    </w:p>
    <w:bookmarkStart w:id="4" w:name="page5"/>
    <w:bookmarkEnd w:id="4"/>
    <w:p>
      <w:pPr>
        <w:ind w:left="660" w:right="20" w:hanging="328"/>
        <w:spacing w:after="0" w:line="254"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Before Income Taxes as a percent of revenue was 5.2%, an increase of 11.6 percentage points, compared to Loss Before Income Tax as a percent of revenue of 6.4% in the second quarter of fiscal year 2025</w:t>
      </w:r>
    </w:p>
    <w:p>
      <w:pPr>
        <w:spacing w:after="0" w:line="1" w:lineRule="exact"/>
        <w:rPr>
          <w:rFonts w:ascii="Times New Roman" w:cs="Times New Roman" w:eastAsia="Times New Roman" w:hAnsi="Times New Roman"/>
          <w:sz w:val="22"/>
          <w:szCs w:val="22"/>
          <w:color w:val="auto"/>
        </w:rPr>
      </w:pPr>
    </w:p>
    <w:p>
      <w:pPr>
        <w:ind w:left="660" w:right="20" w:hanging="328"/>
        <w:spacing w:after="0" w:line="219" w:lineRule="auto"/>
        <w:tabs>
          <w:tab w:leader="none" w:pos="655"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Center-level Contribution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$52.8 million, increased 42.5% compared to $37.1 million in the second quarter of fiscal year 2025</w:t>
      </w:r>
    </w:p>
    <w:p>
      <w:pPr>
        <w:spacing w:after="0" w:line="1" w:lineRule="exact"/>
        <w:rPr>
          <w:rFonts w:ascii="Arial" w:cs="Arial" w:eastAsia="Arial" w:hAnsi="Arial"/>
          <w:sz w:val="22"/>
          <w:szCs w:val="22"/>
          <w:color w:val="auto"/>
        </w:rPr>
      </w:pPr>
    </w:p>
    <w:p>
      <w:pPr>
        <w:ind w:left="660" w:hanging="328"/>
        <w:spacing w:after="0" w:line="214"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Center-level Contribution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as a percent of revenue was 22.0%, an increase of 4.3 percentage points compared to 17.7% in the second quarter of fiscal year 2025</w:t>
      </w:r>
    </w:p>
    <w:p>
      <w:pPr>
        <w:ind w:left="660" w:hanging="328"/>
        <w:spacing w:after="0"/>
        <w:tabs>
          <w:tab w:leader="none" w:pos="6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$11.8 million, compared to net loss of $13.5 million in the second quarter of fiscal year 2025</w:t>
      </w:r>
    </w:p>
    <w:p>
      <w:pPr>
        <w:spacing w:after="0" w:line="3" w:lineRule="exact"/>
        <w:rPr>
          <w:rFonts w:ascii="Times New Roman" w:cs="Times New Roman" w:eastAsia="Times New Roman" w:hAnsi="Times New Roman"/>
          <w:sz w:val="22"/>
          <w:szCs w:val="22"/>
          <w:color w:val="auto"/>
        </w:rPr>
      </w:pPr>
    </w:p>
    <w:p>
      <w:pPr>
        <w:ind w:left="660" w:hanging="328"/>
        <w:spacing w:after="0" w:line="249"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margin of 4.9%, an increase of 11.4 percentage points, compared to a net loss margin of 6.5% in the second quarter of fiscal year 2025</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43"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attributable to InnovAge Holding Corp. of $10.6 million, or earnings per share of $0.08, compared to net loss attributable to InnovAge Holding Corp. of $13.2 million, or a loss per share of $0.10 in the second quarter of fiscal year 2025</w:t>
      </w:r>
    </w:p>
    <w:p>
      <w:pPr>
        <w:spacing w:after="0" w:line="1" w:lineRule="exact"/>
        <w:rPr>
          <w:rFonts w:ascii="Times New Roman" w:cs="Times New Roman" w:eastAsia="Times New Roman" w:hAnsi="Times New Roman"/>
          <w:sz w:val="22"/>
          <w:szCs w:val="22"/>
          <w:color w:val="auto"/>
        </w:rPr>
      </w:pPr>
    </w:p>
    <w:p>
      <w:pPr>
        <w:ind w:left="660" w:hanging="328"/>
        <w:spacing w:after="0" w:line="214"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$22.2 million, an increase of $16.3 million, compared to Adjusted EBITDA of $5.9 million in the second quarter of fiscal year 2025</w:t>
      </w:r>
    </w:p>
    <w:p>
      <w:pPr>
        <w:spacing w:after="0" w:line="2" w:lineRule="exact"/>
        <w:rPr>
          <w:rFonts w:ascii="Times New Roman" w:cs="Times New Roman" w:eastAsia="Times New Roman" w:hAnsi="Times New Roman"/>
          <w:sz w:val="22"/>
          <w:szCs w:val="22"/>
          <w:color w:val="auto"/>
        </w:rPr>
      </w:pPr>
    </w:p>
    <w:p>
      <w:pPr>
        <w:ind w:left="660" w:hanging="328"/>
        <w:spacing w:after="0" w:line="218"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margin of 9.2%, an increase of 6.4 percentage points, compared to 2.8% in the second quarter of fiscal year 2025</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Census of approximately 8,010 participants compared to 7,480 participants in the second quarter of fiscal year 2025</w:t>
      </w:r>
    </w:p>
    <w:p>
      <w:pPr>
        <w:spacing w:after="0" w:line="3"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55"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Ended the second quarter of fiscal year 2026 with $83.2 million in cash and cash equivalents plus $42.8 million in short-term investments, and $69.9 million in debt on the balance sheet, representing debt under the Company’s senior secured term loan, revolving credit facility and finance lease obligations</w:t>
      </w:r>
    </w:p>
    <w:p>
      <w:pPr>
        <w:spacing w:after="0" w:line="207" w:lineRule="exact"/>
        <w:rPr>
          <w:rFonts w:ascii="Arial" w:cs="Arial" w:eastAsia="Arial" w:hAnsi="Arial"/>
          <w:sz w:val="22"/>
          <w:szCs w:val="22"/>
          <w:color w:val="auto"/>
        </w:rPr>
      </w:pPr>
    </w:p>
    <w:p>
      <w:pPr>
        <w:jc w:val="both"/>
        <w:ind w:firstLine="8"/>
        <w:spacing w:after="0" w:line="237" w:lineRule="auto"/>
        <w:tabs>
          <w:tab w:leader="none" w:pos="177"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Center-level Contribution Margin and Center-level Contribution Margin as a percentage of revenue, Adjusted EBITDA and Adjusted EBITDA margin are non-GAAP measures. For more details and for a definition and reconciliation of these non-GAAP measures to the most closely comparable GAAP measures for the periods indicated, see “Note Regarding Use of Non-GAAP Financial Measures” and “Reconciliation of GAAP and Non-GAAP Measures.”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Fiscal Year 2026 Financial Guidance</w:t>
      </w:r>
    </w:p>
    <w:p>
      <w:pPr>
        <w:spacing w:after="0" w:line="3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Based on information as of today, February 3, 2026, InnovAge is raising full year fiscal 2026 financial guidance, except for ending census which remains unchanged,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c>
          <w:tcPr>
            <w:tcW w:w="1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186"/>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0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Census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30"/>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92,900</w:t>
            </w:r>
          </w:p>
        </w:tc>
        <w:tc>
          <w:tcPr>
            <w:tcW w:w="1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95,700</w:t>
            </w:r>
          </w:p>
        </w:tc>
      </w:tr>
      <w:tr>
        <w:trPr>
          <w:trHeight w:val="270"/>
        </w:trPr>
        <w:tc>
          <w:tcPr>
            <w:tcW w:w="7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32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Expected results and estimates may be impacted by factors outside the Company’s control, and actual results may be materially different from this guidance. See “Forward-Looking Statements - Safe Harbor” included herein.</w:t>
      </w:r>
    </w:p>
    <w:p>
      <w:pPr>
        <w:spacing w:after="0" w:line="178" w:lineRule="exact"/>
        <w:rPr>
          <w:sz w:val="20"/>
          <w:szCs w:val="20"/>
          <w:color w:val="auto"/>
        </w:rPr>
      </w:pPr>
    </w:p>
    <w:p>
      <w:pPr>
        <w:ind w:firstLine="8"/>
        <w:spacing w:after="0" w:line="286" w:lineRule="auto"/>
        <w:tabs>
          <w:tab w:leader="none" w:pos="14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define Total Member Months as the total number of participants as of period end multiplied by the number of months within a year in which each participant was enrolled in our program. Management believes this is a useful metric as it more precisely tracks the number of participants the Company serves throughout the year.</w:t>
      </w:r>
    </w:p>
    <w:p>
      <w:pPr>
        <w:sectPr>
          <w:pgSz w:w="11900" w:h="16838" w:orient="portrait"/>
          <w:cols w:equalWidth="0" w:num="1">
            <w:col w:w="11240"/>
          </w:cols>
          <w:pgMar w:left="320" w:top="936"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Adjusted EBITDA is a non-GAAP measure. See “Note Regarding Use of Non-GAAP Financial Measures” and “Reconciliation of GAAP and Non-GAAP Measures” for a definition of Adjusted EBITDA and a reconciliation to net income (loss), the most closely comparable GAAP measure. The Company is unable to provide guidance for net income (loss) or a reconciliation of the Company’s Adjusted EBITDA guidance because it cannot provide a meaningful or accurate calculation or estimation of certain reconciling items without unreasonable effort. The Company’s inability to do so is due to the inherent difficulty in forecasting and quantifying certain amounts that are necessary for such reconciliation, including variations in effective tax rate, expenses to be incurred for acquisition activities and other one-time or exceptional items.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The Company will host a conference call this afternoon at 5:00 PM Eastern Time. A live audio webcast of the call will be available on the Company’s website, </w:t>
      </w:r>
      <w:r>
        <w:rPr>
          <w:rFonts w:ascii="Times New Roman" w:cs="Times New Roman" w:eastAsia="Times New Roman" w:hAnsi="Times New Roman"/>
          <w:sz w:val="22"/>
          <w:szCs w:val="22"/>
          <w:u w:val="single" w:color="auto"/>
          <w:color w:val="661DE8"/>
        </w:rPr>
        <w:t>https://investor.innovage.com</w:t>
      </w:r>
      <w:r>
        <w:rPr>
          <w:rFonts w:ascii="Times New Roman" w:cs="Times New Roman" w:eastAsia="Times New Roman" w:hAnsi="Times New Roman"/>
          <w:sz w:val="22"/>
          <w:szCs w:val="22"/>
          <w:color w:val="auto"/>
        </w:rPr>
        <w:t>. A replay of the call will be available via webcast for on-demand listening shortly after the completion of the call, at the same web link, and will remain available for a limited time. To access the call by phone, please go to this link (</w:t>
      </w:r>
      <w:r>
        <w:rPr>
          <w:rFonts w:ascii="Times New Roman" w:cs="Times New Roman" w:eastAsia="Times New Roman" w:hAnsi="Times New Roman"/>
          <w:sz w:val="22"/>
          <w:szCs w:val="22"/>
          <w:u w:val="single" w:color="auto"/>
          <w:color w:val="661DE8"/>
        </w:rPr>
        <w:t>registration link</w:t>
      </w:r>
      <w:r>
        <w:rPr>
          <w:rFonts w:ascii="Times New Roman" w:cs="Times New Roman" w:eastAsia="Times New Roman" w:hAnsi="Times New Roman"/>
          <w:sz w:val="22"/>
          <w:szCs w:val="22"/>
          <w:color w:val="auto"/>
        </w:rPr>
        <w:t>), for dialing instructions and a unique access pin. We encourage participants to dial into the call fifteen minutes ahead of the scheduled start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InnovAge</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InnovAge is a market leader in managing the care of high-cost, frail, and predominantly dual-eligible seniors through the Program of All-inclusive Care for the Elderly (PACE). With a mission of enabling older adults to age independently in their own homes for as long as safely possible, InnovAge’s patient-centered care model is designed to improve the quality of care our participants receive while reducing over-utilization of high-cost care settings. InnovAge believes its PACE healthcare model is one in which all constituencies — participants, their families, providers and government payors — “win.” As of December 31, 2025, InnovAge served approximately 8,010 participants across 20 centers in six states. </w:t>
      </w:r>
      <w:r>
        <w:rPr>
          <w:rFonts w:ascii="Times New Roman" w:cs="Times New Roman" w:eastAsia="Times New Roman" w:hAnsi="Times New Roman"/>
          <w:sz w:val="21"/>
          <w:szCs w:val="21"/>
          <w:u w:val="single" w:color="auto"/>
          <w:color w:val="661DE8"/>
        </w:rPr>
        <w:t>https://www.innovage.com</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 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Ryan Kubota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rkubota@innovage.com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Lara Hazenfield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lhazenfield@innovage.com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 - Safe Harbor</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This press release may contain “forward-looking statements” within the meaning of the safe harbor provisions of the U.S. Private Securities Litigation Reform Act of 1995. Forward-looking statements can be identified by words such as: “anticipate,” “estimate,” “expect,” “project,” “plan,” “intend,” “believe,” “may,” “will,” “should,” “can have,” “likely” and other words and terms of similar meaning in connection with any discussion of the timing or nature of future operating or financial performance or other events. </w:t>
      </w:r>
      <w:r>
        <w:rPr>
          <w:rFonts w:ascii="Times New Roman" w:cs="Times New Roman" w:eastAsia="Times New Roman" w:hAnsi="Times New Roman"/>
          <w:sz w:val="20"/>
          <w:szCs w:val="20"/>
          <w:color w:val="212529"/>
        </w:rPr>
        <w:t>Forward-looking statements may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identified by the fact that they </w:t>
      </w:r>
      <w:r>
        <w:rPr>
          <w:rFonts w:ascii="Times New Roman" w:cs="Times New Roman" w:eastAsia="Times New Roman" w:hAnsi="Times New Roman"/>
          <w:sz w:val="20"/>
          <w:szCs w:val="20"/>
          <w:color w:val="000000"/>
        </w:rPr>
        <w:t>do not relate strictly to historical or current facts. Examples of forward-looking statements include, among</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others, statements we may make regarding quarterly or annual guidance; financial outlook, including future revenues and future earnings; mid-term and long-term financial goals; the viability of our growth strategy including our ability or expectations to increase the number of participants we serve, build and/or open de novo centers, or to identify and execute tuck-in acquisitions, joint ventures and other strategic partnerships; the expected impact of government policies and the macroeconomic environment; our ability to control costs, mitigate the effects of elevated expenses or reduced healthcare budgets, expand our payer capabilities, implement clinical value and operational value initiatives and strengthen enterprise functions; and the effects of any of the foregoing on our future results of operations or financial conditions.</w:t>
      </w:r>
    </w:p>
    <w:p>
      <w:pPr>
        <w:sectPr>
          <w:pgSz w:w="11900" w:h="16838" w:orient="portrait"/>
          <w:cols w:equalWidth="0" w:num="1">
            <w:col w:w="11240"/>
          </w:cols>
          <w:pgMar w:left="320" w:top="936" w:right="339" w:bottom="1440" w:gutter="0" w:footer="0" w:header="0"/>
        </w:sectPr>
      </w:pPr>
    </w:p>
    <w:bookmarkStart w:id="6" w:name="page7"/>
    <w:bookmarkEnd w:id="6"/>
    <w:p>
      <w:pPr>
        <w:jc w:val="both"/>
        <w:spacing w:after="0" w:line="264" w:lineRule="auto"/>
        <w:rPr>
          <w:sz w:val="20"/>
          <w:szCs w:val="20"/>
          <w:color w:val="auto"/>
        </w:rPr>
      </w:pPr>
      <w:r>
        <w:rPr>
          <w:rFonts w:ascii="Times New Roman" w:cs="Times New Roman" w:eastAsia="Times New Roman" w:hAnsi="Times New Roman"/>
          <w:sz w:val="19"/>
          <w:szCs w:val="19"/>
          <w:color w:val="auto"/>
        </w:rPr>
        <w:t>Because forward-looking statements relate to the future, they are subject to inherent uncertainties, risks and changes in circumstances that are difficult to predict and many of which are outside of our control and may cause our actual results and financial condition to differ materially. Important factors that could cause our actual results and financial condition to differ materially include, among others, the following: (i) the viability of our growth strategy, including our ability to find suitable geographies for new centers and to attract new participant and retain existing participants in new and existing centers and our ability to obtain licenses to open such centers; (ii) our ability to identify, successfully complete and integrate acquisitions, joint ventures another strategic partnerships; (iii) the impact on our business from ongoing macroeconomic related challenges, including labor shortages, labor competition, inflation, tariffs and trade disputes; (iv) inspections, reviews, audits and investigations under the federal and state government programs, including our ability to sufficiently cure any deficiencies identified; (v) legal proceedings, enforcement actions and litigation and disputes; (vi) under our PACE contracts, we assume all of the risk that the cost of providing services will exceed our compensation; (vii) the dependence of our revenues upon a limited number of government payors, including the risk of sudden loss of any of our government contracts; (viii) the impact of state and federal efforts to reduce healthcare spending, including recent legislation reducing the budget that funds Medicaid; (ix) the risk that our submissions to government payors may contain inaccurate or unsupportable information, including regarding risk adjustment scores of participants, subjecting us to repayment obligations or penalties; (x) and our ability to comply with the continued listing requirements of Nasdaq.</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Forward-looking statements are based only on information currently available to us and speaks only as of the date on which it is made. Except as required by law, we undertake no obligation to publicly update any forward-looking statement, whether written or oral, that may be made from time to time, whether as a result of new information, future developments or otherwise. We advise you to not place undue reliance on forward-looking statements and to review our risk factors and other disclosures included in the reports we file or furnish with the Securities and Exchange Commission, including our Annual Report on Form 10-K, Quarterly Reports on Form 10-Q and Current Reports on Form 8-K.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Regarding Use of Non-GAAP Financial Measures</w:t>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reporting financial information in accordance with generally accepted accounting principles (“GAAP”), the Company is also reporting Center-level Contribution Margin, Center-level Contribution Margin as a percent of revenue, Adjusted EBITDA and Adjusted EBITDA margin, which are non-GAAP financial measures. These non-GAAP measures are supplemental measures of operating performance monitored by management that are not defined under GAAP and that do not represent, and should not be considered as, an alternative to the most directly comparable GAAP measures. We believe that these non-GAAP measures are appropriate measures of operating performance because they allow us to more effectively evaluate our core operating performance and trends from period to period. Our definitions and calculations of non-GAAP measures may vary and not be comparable to similarly titled measures reported by other companies. We believe that these non-GAAP measures help investors and analysts in comparing our results across reporting periods on a consistent basis by excluding items that we do not believe are indicative of our core operating performance.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Company’s management uses Center-level Contribution Margin as the measure for assessing performance of its operating segments and allocating resources, predominantly in the annual budget and forecasting process. For the purpose of evaluating Center-level Contribution Margin on a center-by-center basis, we do not allocate our sales and marketing expense or corporate, general and administrative expenses across our centers. We define Center-level Contribution Margin as total revenues less external provider costs and cost of care, excluding depreciation and amortization, which includes all medical and pharmacy costs.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define Adjusted EBITDA as net income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 M&amp;A diligence, transaction and integration, business optimization, loss on assets held for sale,</w:t>
      </w:r>
    </w:p>
    <w:p>
      <w:pPr>
        <w:sectPr>
          <w:pgSz w:w="11900" w:h="16838" w:orient="portrait"/>
          <w:cols w:equalWidth="0" w:num="1">
            <w:col w:w="11240"/>
          </w:cols>
          <w:pgMar w:left="320" w:top="117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color w:val="auto"/>
        </w:rPr>
        <w:t>and loss (gain) on sale of assets. Adjusted EBITDA margin is Adjusted EBITDA expressed as a percentage of our total revenue.</w:t>
      </w:r>
    </w:p>
    <w:p>
      <w:pPr>
        <w:sectPr>
          <w:pgSz w:w="11900" w:h="16838" w:orient="portrait"/>
          <w:cols w:equalWidth="0" w:num="1">
            <w:col w:w="10160"/>
          </w:cols>
          <w:pgMar w:left="320" w:top="927" w:right="1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2"/>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Schedule 1</w:t>
            </w:r>
          </w:p>
        </w:tc>
        <w:tc>
          <w:tcPr>
            <w:tcW w:w="0" w:type="dxa"/>
            <w:vAlign w:val="bottom"/>
          </w:tcPr>
          <w:p>
            <w:pPr>
              <w:spacing w:after="0"/>
              <w:rPr>
                <w:sz w:val="1"/>
                <w:szCs w:val="1"/>
                <w:color w:val="auto"/>
              </w:rPr>
            </w:pPr>
          </w:p>
        </w:tc>
      </w:tr>
      <w:tr>
        <w:trPr>
          <w:trHeight w:val="443"/>
        </w:trPr>
        <w:tc>
          <w:tcPr>
            <w:tcW w:w="8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InnovAge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EXCEPT NUMBER OF SHARES) (UNAUDITED)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24"/>
                <w:szCs w:val="24"/>
                <w:color w:val="auto"/>
              </w:rPr>
            </w:pPr>
          </w:p>
        </w:tc>
        <w:tc>
          <w:tcPr>
            <w:tcW w:w="122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64,129</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receivable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Assets held for sale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181,854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176,108</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168,044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Deposits and other</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345,628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350,743</w:t>
            </w:r>
          </w:p>
        </w:tc>
        <w:tc>
          <w:tcPr>
            <w:tcW w:w="0" w:type="dxa"/>
            <w:vAlign w:val="bottom"/>
          </w:tcPr>
          <w:p>
            <w:pPr>
              <w:spacing w:after="0"/>
              <w:rPr>
                <w:sz w:val="1"/>
                <w:szCs w:val="1"/>
                <w:color w:val="auto"/>
              </w:rPr>
            </w:pPr>
          </w:p>
        </w:tc>
      </w:tr>
      <w:tr>
        <w:trPr>
          <w:trHeight w:val="202"/>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527,482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526,851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144,702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164,807</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Long-term debt, net of debt issuance costs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57,464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238,719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263,943</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w:t>
            </w: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3"/>
                <w:szCs w:val="13"/>
                <w:color w:val="auto"/>
              </w:rPr>
              <w:t>Common stock, $0.001 par value; 500,000,000 authorized as of December 31, 2025 and June 30, 2025; 137,162,450 issued and 135,699,471</w:t>
            </w:r>
          </w:p>
        </w:tc>
        <w:tc>
          <w:tcPr>
            <w:tcW w:w="1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8"/>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outstanding as of December 31, 2025 and 136,903,271 issued and 135,440,292 outstanding as of June 30, 2025</w:t>
            </w:r>
          </w:p>
        </w:tc>
        <w:tc>
          <w:tcPr>
            <w:tcW w:w="18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Treasury stock at cost, 1,462,979 shares as of December 31, 2025 and June 30, 2025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343,378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Retained deficit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(101,047)</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InnovAge Holding Corp.</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234,968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237,898</w:t>
            </w:r>
          </w:p>
        </w:tc>
        <w:tc>
          <w:tcPr>
            <w:tcW w:w="0" w:type="dxa"/>
            <w:vAlign w:val="bottom"/>
          </w:tcPr>
          <w:p>
            <w:pPr>
              <w:spacing w:after="0"/>
              <w:rPr>
                <w:sz w:val="1"/>
                <w:szCs w:val="1"/>
                <w:color w:val="auto"/>
              </w:rPr>
            </w:pPr>
          </w:p>
        </w:tc>
      </w:tr>
      <w:tr>
        <w:trPr>
          <w:trHeight w:val="203"/>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527,482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526,851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2" w:right="339" w:bottom="1440" w:gutter="0" w:footer="0" w:header="0"/>
        </w:sectPr>
      </w:pPr>
    </w:p>
    <w:bookmarkStart w:id="9" w:name="page10"/>
    <w:bookmarkEnd w:id="9"/>
    <w:p>
      <w:pPr>
        <w:ind w:left="10280"/>
        <w:spacing w:after="0"/>
        <w:rPr>
          <w:sz w:val="20"/>
          <w:szCs w:val="20"/>
          <w:color w:val="auto"/>
        </w:rPr>
      </w:pPr>
      <w:r>
        <w:rPr>
          <w:rFonts w:ascii="Times New Roman" w:cs="Times New Roman" w:eastAsia="Times New Roman" w:hAnsi="Times New Roman"/>
          <w:sz w:val="21"/>
          <w:szCs w:val="21"/>
          <w:color w:val="auto"/>
        </w:rPr>
        <w:t>Schedule 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InnovAge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THOUSANDS, EXCEPT NUMBER OF SHARES AND PER SHARE DATA)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208,674</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208,999</w:t>
            </w: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107,873</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28,103</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r>
      <w:tr>
        <w:trPr>
          <w:trHeight w:val="223"/>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226,446</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r>
      <w:tr>
        <w:trPr>
          <w:trHeight w:val="250"/>
        </w:trPr>
        <w:tc>
          <w:tcPr>
            <w:tcW w:w="8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2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InnovAge Holding Corp.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135,686,130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135,439,668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136,351,004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135,439,668</w:t>
            </w:r>
          </w:p>
        </w:tc>
      </w:tr>
      <w:tr>
        <w:trPr>
          <w:trHeight w:val="250"/>
        </w:trPr>
        <w:tc>
          <w:tcPr>
            <w:tcW w:w="8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bl>
    <w:p>
      <w:pPr>
        <w:sectPr>
          <w:pgSz w:w="11900" w:h="16838" w:orient="portrait"/>
          <w:cols w:equalWidth="0" w:num="1">
            <w:col w:w="11240"/>
          </w:cols>
          <w:pgMar w:left="320" w:top="1152"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Schedule 3</w:t>
            </w:r>
          </w:p>
        </w:tc>
      </w:tr>
      <w:tr>
        <w:trPr>
          <w:trHeight w:val="443"/>
        </w:trPr>
        <w:tc>
          <w:tcPr>
            <w:tcW w:w="8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InnovAge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8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(UNAUDITED)</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0"/>
        </w:trPr>
        <w:tc>
          <w:tcPr>
            <w:tcW w:w="8180" w:type="dxa"/>
            <w:vAlign w:val="bottom"/>
          </w:tcPr>
          <w:p>
            <w:pPr>
              <w:spacing w:after="0"/>
              <w:rPr>
                <w:sz w:val="24"/>
                <w:szCs w:val="24"/>
                <w:color w:val="auto"/>
              </w:rPr>
            </w:pPr>
          </w:p>
        </w:tc>
        <w:tc>
          <w:tcPr>
            <w:tcW w:w="3060" w:type="dxa"/>
            <w:vAlign w:val="bottom"/>
            <w:gridSpan w:val="5"/>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loss on disposal of assets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rentals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and loss on assets held for sale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and other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21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 held for sale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r>
      <w:tr>
        <w:trPr>
          <w:trHeight w:val="203"/>
        </w:trPr>
        <w:tc>
          <w:tcPr>
            <w:tcW w:w="8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21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financing costs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equity securities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 from joint venture partner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settlements of stock-based compensation awards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r>
      <w:tr>
        <w:trPr>
          <w:trHeight w:val="189"/>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(11,716)</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 including cash of $0.08 million reclassified to assets held for sale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change in cash and restricted cash reclassified to assets held for sale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&amp; RESTRICTED CASH</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56,960</w:t>
            </w: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40" w:type="dxa"/>
            <w:vAlign w:val="bottom"/>
            <w:tcBorders>
              <w:bottom w:val="single" w:sz="8" w:color="auto"/>
            </w:tcBorders>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1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purchased under finance leases</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38" w:orient="portrait"/>
          <w:cols w:equalWidth="0" w:num="1">
            <w:col w:w="11240"/>
          </w:cols>
          <w:pgMar w:left="320" w:top="115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color w:val="auto"/>
        </w:rPr>
        <w:t>Schedule 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InnovAge</w:t>
      </w:r>
    </w:p>
    <w:p>
      <w:pPr>
        <w:spacing w:after="0" w:line="32" w:lineRule="exact"/>
        <w:rPr>
          <w:sz w:val="20"/>
          <w:szCs w:val="20"/>
          <w:color w:val="auto"/>
        </w:rPr>
      </w:pPr>
    </w:p>
    <w:p>
      <w:pPr>
        <w:ind w:right="5280"/>
        <w:spacing w:after="0" w:line="261" w:lineRule="auto"/>
        <w:rPr>
          <w:sz w:val="20"/>
          <w:szCs w:val="20"/>
          <w:color w:val="auto"/>
        </w:rPr>
      </w:pPr>
      <w:r>
        <w:rPr>
          <w:rFonts w:ascii="Times New Roman" w:cs="Times New Roman" w:eastAsia="Times New Roman" w:hAnsi="Times New Roman"/>
          <w:sz w:val="22"/>
          <w:szCs w:val="22"/>
          <w:b w:val="1"/>
          <w:bCs w:val="1"/>
          <w:color w:val="auto"/>
        </w:rPr>
        <w:t>RECONCILIATION OF GAAP AND NON-GAAP MEASURES (IN THOUSANDS) (UNAUDITED)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EBITDA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60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r>
      <w:tr>
        <w:trPr>
          <w:trHeight w:val="211"/>
        </w:trPr>
        <w:tc>
          <w:tcPr>
            <w:tcW w:w="76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2"/>
        </w:trPr>
        <w:tc>
          <w:tcPr>
            <w:tcW w:w="7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11,805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(13,491)</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3"/>
                <w:szCs w:val="23"/>
                <w:color w:val="auto"/>
                <w:vertAlign w:val="superscript"/>
              </w:rPr>
              <w:t>(a)</w:t>
            </w:r>
          </w:p>
        </w:tc>
        <w:tc>
          <w:tcPr>
            <w:tcW w:w="104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5,319</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10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1,873</w:t>
            </w:r>
          </w:p>
        </w:tc>
      </w:tr>
      <w:tr>
        <w:trPr>
          <w:trHeight w:val="229"/>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3"/>
                <w:szCs w:val="23"/>
                <w:color w:val="auto"/>
                <w:vertAlign w:val="superscript"/>
              </w:rPr>
              <w:t>(b)</w:t>
            </w:r>
          </w:p>
        </w:tc>
        <w:tc>
          <w:tcPr>
            <w:tcW w:w="10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M&amp;A diligence, transaction and integration</w:t>
            </w:r>
            <w:r>
              <w:rPr>
                <w:rFonts w:ascii="Times New Roman" w:cs="Times New Roman" w:eastAsia="Times New Roman" w:hAnsi="Times New Roman"/>
                <w:sz w:val="23"/>
                <w:szCs w:val="23"/>
                <w:color w:val="auto"/>
                <w:vertAlign w:val="superscript"/>
              </w:rPr>
              <w:t>(c)</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1,275</w:t>
            </w:r>
          </w:p>
        </w:tc>
      </w:tr>
      <w:tr>
        <w:trPr>
          <w:trHeight w:val="230"/>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3"/>
                <w:szCs w:val="23"/>
                <w:color w:val="auto"/>
                <w:vertAlign w:val="superscript"/>
              </w:rPr>
              <w:t>(d)</w:t>
            </w:r>
          </w:p>
        </w:tc>
        <w:tc>
          <w:tcPr>
            <w:tcW w:w="10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Impairments and loss on assets held for sale</w:t>
            </w:r>
            <w:r>
              <w:rPr>
                <w:rFonts w:ascii="Times New Roman" w:cs="Times New Roman" w:eastAsia="Times New Roman" w:hAnsi="Times New Roman"/>
                <w:sz w:val="23"/>
                <w:szCs w:val="23"/>
                <w:color w:val="auto"/>
                <w:vertAlign w:val="superscript"/>
              </w:rPr>
              <w:t>(e)</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8,495</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22,151</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5,869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12"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investment income related to short-term investments included in our consolidated statement of operations.</w:t>
      </w:r>
    </w:p>
    <w:p>
      <w:pPr>
        <w:spacing w:after="0" w:line="59"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charges/(credits) related to litigation by stockholders, civil investigative demands, and arbitration with our former pharmacy provider.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3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M&amp;A diligence, transactions and integrations.</w:t>
      </w:r>
    </w:p>
    <w:p>
      <w:pPr>
        <w:spacing w:after="0" w:line="59"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business optimization initiatives. Such charges relate to one-time investments in projects designed to enhance our technology and compliance systems and improve and support the efficiency and effectiveness of our operations. For the three months ended December 31, 2025, this consists of costs related to organizational restructure. For the three months ended December 31, 2024, this primarily includes costs related to other non-recurring projects aimed at reducing costs and improving efficiencies.</w:t>
      </w:r>
    </w:p>
    <w:p>
      <w:pPr>
        <w:spacing w:after="0" w:line="17" w:lineRule="exact"/>
        <w:rPr>
          <w:rFonts w:ascii="Times New Roman" w:cs="Times New Roman" w:eastAsia="Times New Roman" w:hAnsi="Times New Roman"/>
          <w:sz w:val="16"/>
          <w:szCs w:val="16"/>
          <w:color w:val="auto"/>
        </w:rPr>
      </w:pPr>
    </w:p>
    <w:p>
      <w:pPr>
        <w:ind w:left="660" w:hanging="328"/>
        <w:spacing w:after="0" w:line="298" w:lineRule="auto"/>
        <w:tabs>
          <w:tab w:leader="none" w:pos="65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December 31, 2024, reflects impairment charges related to ROU asset and construction in progress related to halting developments to a previously planned de novo center in Louisville, Kentucky that the Company is no longer pursuing.</w:t>
      </w:r>
    </w:p>
    <w:p>
      <w:pPr>
        <w:sectPr>
          <w:pgSz w:w="11900" w:h="16838" w:orient="portrait"/>
          <w:cols w:equalWidth="0" w:num="1">
            <w:col w:w="11240"/>
          </w:cols>
          <w:pgMar w:left="320" w:top="1152" w:right="339" w:bottom="1440" w:gutter="0" w:footer="0" w:header="0"/>
        </w:sectPr>
      </w:pPr>
    </w:p>
    <w:bookmarkStart w:id="12" w:name="page13"/>
    <w:bookmarkEnd w:id="12"/>
    <w:p>
      <w:pPr>
        <w:jc w:val="center"/>
        <w:ind w:left="9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90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8890</wp:posOffset>
            </wp:positionV>
            <wp:extent cx="1354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6"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Litigation costs and settlement</w:t>
      </w:r>
      <w:r>
        <w:rPr>
          <w:rFonts w:ascii="Times New Roman" w:cs="Times New Roman" w:eastAsia="Times New Roman" w:hAnsi="Times New Roman"/>
          <w:sz w:val="22"/>
          <w:szCs w:val="22"/>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3"/>
          <w:szCs w:val="23"/>
          <w:color w:val="auto"/>
          <w:vertAlign w:val="superscript"/>
        </w:rPr>
        <w:t>(c)</w:t>
      </w:r>
    </w:p>
    <w:p>
      <w:pPr>
        <w:ind w:left="20"/>
        <w:spacing w:after="0" w:line="208" w:lineRule="auto"/>
        <w:rPr>
          <w:sz w:val="20"/>
          <w:szCs w:val="20"/>
          <w:color w:val="auto"/>
        </w:rPr>
      </w:pPr>
      <w:r>
        <w:rPr>
          <w:rFonts w:ascii="Times New Roman" w:cs="Times New Roman" w:eastAsia="Times New Roman" w:hAnsi="Times New Roman"/>
          <w:sz w:val="18"/>
          <w:szCs w:val="18"/>
          <w:color w:val="auto"/>
        </w:rPr>
        <w:t>Loss on assets held for sale</w:t>
      </w:r>
      <w:r>
        <w:rPr>
          <w:rFonts w:ascii="Times New Roman" w:cs="Times New Roman" w:eastAsia="Times New Roman" w:hAnsi="Times New Roman"/>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Gain on sale of assets</w:t>
      </w:r>
      <w:r>
        <w:rPr>
          <w:rFonts w:ascii="Times New Roman" w:cs="Times New Roman" w:eastAsia="Times New Roman" w:hAnsi="Times New Roman"/>
          <w:sz w:val="23"/>
          <w:szCs w:val="23"/>
          <w:color w:val="auto"/>
          <w:vertAlign w:val="superscript"/>
        </w:rPr>
        <w:t>(e)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r>
      <w:tr>
        <w:trPr>
          <w:trHeight w:val="234"/>
        </w:trPr>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bl>
    <w:p>
      <w:pPr>
        <w:jc w:val="right"/>
        <w:ind w:right="180"/>
        <w:spacing w:after="0"/>
        <w:rPr>
          <w:sz w:val="20"/>
          <w:szCs w:val="20"/>
          <w:color w:val="auto"/>
        </w:rPr>
      </w:pPr>
      <w:r>
        <w:rPr>
          <w:rFonts w:ascii="Times New Roman" w:cs="Times New Roman" w:eastAsia="Times New Roman" w:hAnsi="Times New Roman"/>
          <w:sz w:val="18"/>
          <w:szCs w:val="18"/>
          <w:color w:val="auto"/>
        </w:rPr>
        <w:t>(499)</w:t>
      </w:r>
    </w:p>
    <w:p>
      <w:pPr>
        <w:spacing w:after="0" w:line="2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5,085</w:t>
      </w:r>
    </w:p>
    <w:p>
      <w:pPr>
        <w:spacing w:after="0" w:line="2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247</w:t>
      </w:r>
    </w:p>
    <w:p>
      <w:pPr>
        <w:spacing w:after="0" w:line="2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2,308</w:t>
      </w:r>
    </w:p>
    <w:p>
      <w:pPr>
        <w:spacing w:after="0" w:line="2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979</w:t>
      </w:r>
    </w:p>
    <w:p>
      <w:pPr>
        <w:spacing w:after="0" w:line="2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879</w:t>
      </w:r>
    </w:p>
    <w:p>
      <w:pPr>
        <w:spacing w:after="0" w:line="2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354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1" w:lineRule="exact"/>
        <w:rPr>
          <w:sz w:val="20"/>
          <w:szCs w:val="20"/>
          <w:color w:val="auto"/>
        </w:rPr>
      </w:pPr>
    </w:p>
    <w:p>
      <w:pPr>
        <w:ind w:left="1400" w:hanging="1395"/>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1354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7.5 %</w:t>
      </w:r>
    </w:p>
    <w:p>
      <w:pPr>
        <w:spacing w:after="0" w:line="200" w:lineRule="exact"/>
        <w:rPr>
          <w:sz w:val="20"/>
          <w:szCs w:val="20"/>
          <w:color w:val="auto"/>
        </w:rPr>
      </w:pPr>
    </w:p>
    <w:p>
      <w:pPr>
        <w:sectPr>
          <w:pgSz w:w="11900" w:h="16838" w:orient="portrait"/>
          <w:cols w:equalWidth="0" w:num="2">
            <w:col w:w="8400" w:space="720"/>
            <w:col w:w="2120"/>
          </w:cols>
          <w:pgMar w:left="320" w:top="118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58"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investment income related to short-term investments included in our consolidated statement of operations.</w:t>
      </w:r>
    </w:p>
    <w:p>
      <w:pPr>
        <w:spacing w:after="0" w:line="23" w:lineRule="exact"/>
        <w:rPr>
          <w:rFonts w:ascii="Times New Roman" w:cs="Times New Roman" w:eastAsia="Times New Roman" w:hAnsi="Times New Roman"/>
          <w:sz w:val="16"/>
          <w:szCs w:val="16"/>
          <w:color w:val="auto"/>
        </w:rPr>
      </w:pPr>
    </w:p>
    <w:p>
      <w:pPr>
        <w:ind w:left="660" w:right="260" w:hanging="328"/>
        <w:spacing w:after="0" w:line="25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charges/(credits) related to litigation by stockholders, civil investigative demands, and arbitration with our former pharmacy provider.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jc w:val="both"/>
        <w:ind w:left="660" w:hanging="328"/>
        <w:spacing w:after="0" w:line="252" w:lineRule="auto"/>
        <w:tabs>
          <w:tab w:leader="none" w:pos="65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business optimization initiatives. Such charges relate to one-time investments in projects designed to enhance our technology and compliance systems and improve and support the efficiency and effectiveness of our operations. For the three months ended September 30, 2025, this consists of costs related to organizational restructure and executive severance.</w:t>
      </w: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additional loss related to the Company's sale of its managing member interest in SH1 and the adjacent vacant land.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gain on sale of center equipment that was originally purchased for the center in Louisville, Kentucky.</w:t>
      </w:r>
    </w:p>
    <w:p>
      <w:pPr>
        <w:sectPr>
          <w:pgSz w:w="11900" w:h="16838" w:orient="portrait"/>
          <w:cols w:equalWidth="0" w:num="1">
            <w:col w:w="11240"/>
          </w:cols>
          <w:pgMar w:left="320" w:top="118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Center-Level Contribution Margin</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gridSpan w:val="7"/>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gridSpan w:val="11"/>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0" w:type="dxa"/>
            <w:vAlign w:val="bottom"/>
          </w:tcPr>
          <w:p>
            <w:pPr>
              <w:spacing w:after="0"/>
              <w:rPr>
                <w:sz w:val="1"/>
                <w:szCs w:val="1"/>
                <w:color w:val="auto"/>
              </w:rPr>
            </w:pPr>
          </w:p>
        </w:tc>
      </w:tr>
      <w:tr>
        <w:trPr>
          <w:trHeight w:val="217"/>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Pr>
          <w:p>
            <w:pPr>
              <w:spacing w:after="0"/>
              <w:rPr>
                <w:sz w:val="18"/>
                <w:szCs w:val="18"/>
                <w:color w:val="auto"/>
              </w:rPr>
            </w:pPr>
          </w:p>
        </w:tc>
        <w:tc>
          <w:tcPr>
            <w:tcW w:w="140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10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PACE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Capitation revenue</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239,620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208,674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208,674</w:t>
            </w:r>
          </w:p>
        </w:tc>
        <w:tc>
          <w:tcPr>
            <w:tcW w:w="0" w:type="dxa"/>
            <w:vAlign w:val="bottom"/>
          </w:tcPr>
          <w:p>
            <w:pPr>
              <w:spacing w:after="0"/>
              <w:rPr>
                <w:sz w:val="1"/>
                <w:szCs w:val="1"/>
                <w:color w:val="auto"/>
              </w:rPr>
            </w:pP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service revenue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center"/>
              <w:ind w:left="2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27"/>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239,708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208,751</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208,999</w:t>
            </w:r>
          </w:p>
        </w:tc>
        <w:tc>
          <w:tcPr>
            <w:tcW w:w="0" w:type="dxa"/>
            <w:vAlign w:val="bottom"/>
          </w:tcPr>
          <w:p>
            <w:pPr>
              <w:spacing w:after="0"/>
              <w:rPr>
                <w:sz w:val="1"/>
                <w:szCs w:val="1"/>
                <w:color w:val="auto"/>
              </w:rPr>
            </w:pP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External provider costs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center"/>
              <w:ind w:left="2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111,999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107,873</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Cost of care, excluding depreciation and</w:t>
            </w:r>
          </w:p>
        </w:tc>
        <w:tc>
          <w:tcPr>
            <w:tcW w:w="3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w w:val="98"/>
              </w:rPr>
              <w:t>(18)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74,884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63,916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64,061</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Center-Level Contribution Margin</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52,825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36,962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37,065</w:t>
            </w:r>
          </w:p>
        </w:tc>
        <w:tc>
          <w:tcPr>
            <w:tcW w:w="0" w:type="dxa"/>
            <w:vAlign w:val="bottom"/>
          </w:tcPr>
          <w:p>
            <w:pPr>
              <w:spacing w:after="0"/>
              <w:rPr>
                <w:sz w:val="1"/>
                <w:szCs w:val="1"/>
                <w:color w:val="auto"/>
              </w:rPr>
            </w:pPr>
          </w:p>
        </w:tc>
      </w:tr>
      <w:tr>
        <w:trPr>
          <w:trHeight w:val="240"/>
        </w:trPr>
        <w:tc>
          <w:tcPr>
            <w:tcW w:w="3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7,704</w:t>
            </w: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general and administrative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26,608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28,103</w:t>
            </w:r>
          </w:p>
        </w:tc>
        <w:tc>
          <w:tcPr>
            <w:tcW w:w="0" w:type="dxa"/>
            <w:vAlign w:val="bottom"/>
          </w:tcPr>
          <w:p>
            <w:pPr>
              <w:spacing w:after="0"/>
              <w:rPr>
                <w:sz w:val="1"/>
                <w:szCs w:val="1"/>
                <w:color w:val="auto"/>
              </w:rPr>
            </w:pP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4,877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5,319</w:t>
            </w: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Impairments and loss on assets held for sale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8,495</w:t>
            </w:r>
          </w:p>
        </w:tc>
        <w:tc>
          <w:tcPr>
            <w:tcW w:w="0" w:type="dxa"/>
            <w:vAlign w:val="bottom"/>
          </w:tcPr>
          <w:p>
            <w:pPr>
              <w:spacing w:after="0"/>
              <w:rPr>
                <w:sz w:val="1"/>
                <w:szCs w:val="1"/>
                <w:color w:val="auto"/>
              </w:rPr>
            </w:pPr>
          </w:p>
        </w:tc>
      </w:tr>
      <w:tr>
        <w:trPr>
          <w:trHeight w:val="219"/>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income (loss)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(12,556)</w:t>
            </w: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(901)</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(13,457)</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Income (Loss) Before Income Taxes as a</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percent of revenue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Center- Level Contribution Margin as a %</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0" w:type="dxa"/>
            <w:vAlign w:val="bottom"/>
          </w:tcPr>
          <w:p>
            <w:pPr>
              <w:spacing w:after="0"/>
              <w:rPr>
                <w:sz w:val="1"/>
                <w:szCs w:val="1"/>
                <w:color w:val="auto"/>
              </w:rPr>
            </w:pPr>
          </w:p>
        </w:tc>
      </w:tr>
      <w:tr>
        <w:trPr>
          <w:trHeight w:val="226"/>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of revenue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9"/>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PACE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Capitation revenue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235,751</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235,751</w:t>
            </w:r>
          </w:p>
        </w:tc>
        <w:tc>
          <w:tcPr>
            <w:tcW w:w="0" w:type="dxa"/>
            <w:vAlign w:val="bottom"/>
          </w:tcPr>
          <w:p>
            <w:pPr>
              <w:spacing w:after="0"/>
              <w:rPr>
                <w:sz w:val="1"/>
                <w:szCs w:val="1"/>
                <w:color w:val="auto"/>
              </w:rPr>
            </w:pPr>
          </w:p>
        </w:tc>
      </w:tr>
      <w:tr>
        <w:trPr>
          <w:trHeight w:val="226"/>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service revenue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2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236,105</w:t>
            </w:r>
          </w:p>
        </w:tc>
        <w:tc>
          <w:tcPr>
            <w:tcW w:w="0" w:type="dxa"/>
            <w:vAlign w:val="bottom"/>
          </w:tcPr>
          <w:p>
            <w:pPr>
              <w:spacing w:after="0"/>
              <w:rPr>
                <w:sz w:val="1"/>
                <w:szCs w:val="1"/>
                <w:color w:val="auto"/>
              </w:rPr>
            </w:pPr>
          </w:p>
        </w:tc>
      </w:tr>
      <w:tr>
        <w:trPr>
          <w:trHeight w:val="226"/>
        </w:trPr>
        <w:tc>
          <w:tcPr>
            <w:tcW w:w="3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External provider costs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108,863</w:t>
            </w:r>
          </w:p>
        </w:tc>
        <w:tc>
          <w:tcPr>
            <w:tcW w:w="0" w:type="dxa"/>
            <w:vAlign w:val="bottom"/>
          </w:tcPr>
          <w:p>
            <w:pPr>
              <w:spacing w:after="0"/>
              <w:rPr>
                <w:sz w:val="1"/>
                <w:szCs w:val="1"/>
                <w:color w:val="auto"/>
              </w:rPr>
            </w:pPr>
          </w:p>
        </w:tc>
      </w:tr>
      <w:tr>
        <w:trPr>
          <w:trHeight w:val="233"/>
        </w:trPr>
        <w:tc>
          <w:tcPr>
            <w:tcW w:w="4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care, excluding depreciation and amortization</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75,735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75,886</w:t>
            </w:r>
          </w:p>
        </w:tc>
        <w:tc>
          <w:tcPr>
            <w:tcW w:w="0" w:type="dxa"/>
            <w:vAlign w:val="bottom"/>
          </w:tcPr>
          <w:p>
            <w:pPr>
              <w:spacing w:after="0"/>
              <w:rPr>
                <w:sz w:val="1"/>
                <w:szCs w:val="1"/>
                <w:color w:val="auto"/>
              </w:rPr>
            </w:pPr>
          </w:p>
        </w:tc>
      </w:tr>
      <w:tr>
        <w:trPr>
          <w:trHeight w:val="21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Center-Level Contribution Margin</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51,250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51,356</w:t>
            </w:r>
          </w:p>
        </w:tc>
        <w:tc>
          <w:tcPr>
            <w:tcW w:w="0" w:type="dxa"/>
            <w:vAlign w:val="bottom"/>
          </w:tcPr>
          <w:p>
            <w:pPr>
              <w:spacing w:after="0"/>
              <w:rPr>
                <w:sz w:val="1"/>
                <w:szCs w:val="1"/>
                <w:color w:val="auto"/>
              </w:rPr>
            </w:pPr>
          </w:p>
        </w:tc>
      </w:tr>
      <w:tr>
        <w:trPr>
          <w:trHeight w:val="240"/>
        </w:trPr>
        <w:tc>
          <w:tcPr>
            <w:tcW w:w="3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7,605</w:t>
            </w: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general and administrative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30,273</w:t>
            </w:r>
          </w:p>
        </w:tc>
        <w:tc>
          <w:tcPr>
            <w:tcW w:w="0" w:type="dxa"/>
            <w:vAlign w:val="bottom"/>
          </w:tcPr>
          <w:p>
            <w:pPr>
              <w:spacing w:after="0"/>
              <w:rPr>
                <w:sz w:val="1"/>
                <w:szCs w:val="1"/>
                <w:color w:val="auto"/>
              </w:rPr>
            </w:pP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5,085</w:t>
            </w: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assets held for sale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6"/>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Operating income (loss)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8,289</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27"/>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7,916</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 as a % of revenue</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26"/>
        </w:trPr>
        <w:tc>
          <w:tcPr>
            <w:tcW w:w="4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Center- Level Contribution Margin as a % of revenue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21.8 %</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right="340" w:hanging="328"/>
        <w:spacing w:after="0" w:line="254" w:lineRule="auto"/>
        <w:tabs>
          <w:tab w:leader="none" w:pos="65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segments below the quantitative thresholds are primarily attributable to the Senior Housing operating segment of the Company. This segment has never met any of the quantitative thresholds for determining reportable segments. As of September 2025, the Company no longer operates Senior Housing as the remaining Senior Housing assets were sold.</w:t>
      </w:r>
    </w:p>
    <w:sectPr>
      <w:pgSz w:w="11900" w:h="16838" w:orient="portrait"/>
      <w:cols w:equalWidth="0" w:num="1">
        <w:col w:w="11240"/>
      </w:cols>
      <w:pgMar w:left="320" w:top="9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lvl>
    <w:lvl w:ilvl="1">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2026-02-03T15:18:11Z</dcterms:created>
  <dcterms:modified xsi:type="dcterms:W3CDTF">2026-02-03T15:18:11Z</dcterms:modified>
</cp:coreProperties>
</file>