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IGNITE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11"/>
        <w:gridCol w:w="782"/>
        <w:gridCol w:w="605"/>
        <w:gridCol w:w="338"/>
        <w:gridCol w:w="1001"/>
        <w:gridCol w:w="421"/>
        <w:gridCol w:w="586"/>
        <w:gridCol w:w="1436"/>
        <w:gridCol w:w="961"/>
        <w:gridCol w:w="11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411,515</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112,576,555</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IGNITE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APAX X (GUERNSEY) USD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IGNITE GP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Apax X EUR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Apax X USD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Apax X GP Co.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distribution by TCO Group Holdings, L.P. to a limited partner as consideration for its interest in TCO Group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held directly by TCO Group Holdings, L.P. The limited partners of TCO Group Holdings, L.P. may control the voting and dispositive power with respect to the common stock if Ignite Aggregator LP consents to a change to the delegation of authority to the committee of limited partners that controls TCO Group Holding, L.P. Ignite GP, Inc. serves as the general partner of Ignite Aggregator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Ignite Aggregator LP's partnership interests are held by Apax X GP Co. Limited on behalf of Apax X EUR LP, Apax X (Guernsey) USD AIV LP and Apax X USD LP (collectively, the "Apax X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Apax X GP Co. Limited, a company incorporated in Guernsey, acts as the investment manager and is responsible for the decision-making on behalf of the Apax X Fund. Each of the foregoing entities disclaims beneficial ownership of the shares held of record by TCO Group Holdings, L.P. except to the extent of its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Cavanna, President of Ignite GP, Inc., the general partner of Ignite Aggregator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Cavanna, Authorized Signatory of Ignite GP, Inc.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Jeremy Latham, Authorized Signatory of Apax X (Guernsey) USD AIV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Jeremy Latham, Authorized Signatory of Apax X EUR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Jeremy Latham, Authorized Signatory of Apax X USD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Jeremy Latham, Authorized Signatory of Apax X GP Co. Limited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959"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44959" TargetMode="External"/><Relationship Id="rId9" Type="http://schemas.openxmlformats.org/officeDocument/2006/relationships/hyperlink" Target="http://www.sec.gov/cgi-bin/browse-edgar?action=getcompany&amp;CIK=0001848852" TargetMode="External"/><Relationship Id="rId10" Type="http://schemas.openxmlformats.org/officeDocument/2006/relationships/hyperlink" Target="http://www.sec.gov/cgi-bin/browse-edgar?action=getcompany&amp;CIK=0001848819" TargetMode="External"/><Relationship Id="rId11" Type="http://schemas.openxmlformats.org/officeDocument/2006/relationships/hyperlink" Target="http://www.sec.gov/cgi-bin/browse-edgar?action=getcompany&amp;CIK=0001781078" TargetMode="External"/><Relationship Id="rId12" Type="http://schemas.openxmlformats.org/officeDocument/2006/relationships/hyperlink" Target="http://www.sec.gov/cgi-bin/browse-edgar?action=getcompany&amp;CIK=0001781247" TargetMode="External"/><Relationship Id="rId13" Type="http://schemas.openxmlformats.org/officeDocument/2006/relationships/hyperlink" Target="http://www.sec.gov/cgi-bin/browse-edgar?action=getcompany&amp;CIK=000181705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1021</Words>
  <Characters>5348</Characters>
  <CharactersWithSpaces>6204</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