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574040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May 11, 2026</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INNOVAGE HOLDING CORP.</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61" w:lineRule="exact"/>
        <w:rPr>
          <w:sz w:val="24"/>
          <w:szCs w:val="24"/>
          <w:color w:val="auto"/>
        </w:rPr>
      </w:pPr>
    </w:p>
    <w:tbl>
      <w:tblPr>
        <w:tblLayout w:type="fixed"/>
        <w:tblInd w:w="880" w:type="dxa"/>
        <w:tblCellMar>
          <w:top w:w="0" w:type="dxa"/>
          <w:left w:w="0" w:type="dxa"/>
          <w:bottom w:w="0" w:type="dxa"/>
          <w:right w:w="0" w:type="dxa"/>
        </w:tblCellMar>
      </w:tblPr>
      <w:tr>
        <w:trPr>
          <w:trHeight w:val="180"/>
        </w:trPr>
        <w:tc>
          <w:tcPr>
            <w:tcW w:w="26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62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w w:val="98"/>
              </w:rPr>
              <w:t>001-40159</w:t>
            </w:r>
          </w:p>
        </w:tc>
        <w:tc>
          <w:tcPr>
            <w:tcW w:w="1680" w:type="dxa"/>
            <w:vAlign w:val="bottom"/>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81-0710819</w:t>
            </w:r>
          </w:p>
        </w:tc>
        <w:tc>
          <w:tcPr>
            <w:tcW w:w="0" w:type="dxa"/>
            <w:vAlign w:val="bottom"/>
          </w:tcPr>
          <w:p>
            <w:pPr>
              <w:spacing w:after="0"/>
              <w:rPr>
                <w:sz w:val="1"/>
                <w:szCs w:val="1"/>
                <w:color w:val="auto"/>
              </w:rPr>
            </w:pPr>
          </w:p>
        </w:tc>
      </w:tr>
      <w:tr>
        <w:trPr>
          <w:trHeight w:val="149"/>
        </w:trPr>
        <w:tc>
          <w:tcPr>
            <w:tcW w:w="2600" w:type="dxa"/>
            <w:vAlign w:val="bottom"/>
          </w:tcPr>
          <w:p>
            <w:pPr>
              <w:jc w:val="center"/>
              <w:ind w:right="18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620" w:type="dxa"/>
            <w:vAlign w:val="bottom"/>
          </w:tcPr>
          <w:p>
            <w:pPr>
              <w:jc w:val="center"/>
              <w:ind w:right="229"/>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1680" w:type="dxa"/>
            <w:vAlign w:val="bottom"/>
          </w:tcPr>
          <w:p>
            <w:pPr>
              <w:jc w:val="center"/>
              <w:ind w:left="509"/>
              <w:spacing w:after="0" w:line="149" w:lineRule="exact"/>
              <w:rPr>
                <w:sz w:val="20"/>
                <w:szCs w:val="20"/>
                <w:color w:val="auto"/>
              </w:rPr>
            </w:pPr>
            <w:r>
              <w:rPr>
                <w:rFonts w:ascii="Times New Roman" w:cs="Times New Roman" w:eastAsia="Times New Roman" w:hAnsi="Times New Roman"/>
                <w:sz w:val="14"/>
                <w:szCs w:val="14"/>
                <w:b w:val="1"/>
                <w:bCs w:val="1"/>
                <w:color w:val="auto"/>
                <w:w w:val="99"/>
              </w:rPr>
              <w:t>(IRS Employer</w:t>
            </w:r>
          </w:p>
        </w:tc>
        <w:tc>
          <w:tcPr>
            <w:tcW w:w="0" w:type="dxa"/>
            <w:vAlign w:val="bottom"/>
          </w:tcPr>
          <w:p>
            <w:pPr>
              <w:spacing w:after="0"/>
              <w:rPr>
                <w:sz w:val="1"/>
                <w:szCs w:val="1"/>
                <w:color w:val="auto"/>
              </w:rPr>
            </w:pPr>
          </w:p>
        </w:tc>
      </w:tr>
      <w:tr>
        <w:trPr>
          <w:trHeight w:val="186"/>
        </w:trPr>
        <w:tc>
          <w:tcPr>
            <w:tcW w:w="26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9"/>
              </w:rPr>
              <w:t>of incorporation)</w:t>
            </w:r>
          </w:p>
        </w:tc>
        <w:tc>
          <w:tcPr>
            <w:tcW w:w="4620" w:type="dxa"/>
            <w:vAlign w:val="bottom"/>
          </w:tcPr>
          <w:p>
            <w:pPr>
              <w:spacing w:after="0"/>
              <w:rPr>
                <w:sz w:val="16"/>
                <w:szCs w:val="16"/>
                <w:color w:val="auto"/>
              </w:rPr>
            </w:pPr>
          </w:p>
        </w:tc>
        <w:tc>
          <w:tcPr>
            <w:tcW w:w="168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13"/>
        </w:trPr>
        <w:tc>
          <w:tcPr>
            <w:tcW w:w="26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8950 E. Lowry Boulevard</w:t>
            </w:r>
          </w:p>
        </w:tc>
        <w:tc>
          <w:tcPr>
            <w:tcW w:w="4620" w:type="dxa"/>
            <w:vAlign w:val="bottom"/>
          </w:tcPr>
          <w:p>
            <w:pPr>
              <w:spacing w:after="0"/>
              <w:rPr>
                <w:sz w:val="24"/>
                <w:szCs w:val="24"/>
                <w:color w:val="auto"/>
              </w:rPr>
            </w:pPr>
          </w:p>
        </w:tc>
        <w:tc>
          <w:tcPr>
            <w:tcW w:w="168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80230</w:t>
            </w:r>
          </w:p>
        </w:tc>
        <w:tc>
          <w:tcPr>
            <w:tcW w:w="0" w:type="dxa"/>
            <w:vAlign w:val="bottom"/>
          </w:tcPr>
          <w:p>
            <w:pPr>
              <w:spacing w:after="0"/>
              <w:rPr>
                <w:sz w:val="1"/>
                <w:szCs w:val="1"/>
                <w:color w:val="auto"/>
              </w:rPr>
            </w:pPr>
          </w:p>
        </w:tc>
      </w:tr>
      <w:tr>
        <w:trPr>
          <w:trHeight w:val="180"/>
        </w:trPr>
        <w:tc>
          <w:tcPr>
            <w:tcW w:w="26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w w:val="97"/>
              </w:rPr>
              <w:t>Denver, CO</w:t>
            </w:r>
          </w:p>
        </w:tc>
        <w:tc>
          <w:tcPr>
            <w:tcW w:w="462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60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620" w:type="dxa"/>
            <w:vAlign w:val="bottom"/>
          </w:tcPr>
          <w:p>
            <w:pPr>
              <w:spacing w:after="0"/>
              <w:rPr>
                <w:sz w:val="16"/>
                <w:szCs w:val="16"/>
                <w:color w:val="auto"/>
              </w:rPr>
            </w:pPr>
          </w:p>
        </w:tc>
        <w:tc>
          <w:tcPr>
            <w:tcW w:w="1680" w:type="dxa"/>
            <w:vAlign w:val="bottom"/>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66"/>
        </w:trPr>
        <w:tc>
          <w:tcPr>
            <w:tcW w:w="2600" w:type="dxa"/>
            <w:vAlign w:val="bottom"/>
          </w:tcPr>
          <w:p>
            <w:pPr>
              <w:spacing w:after="0"/>
              <w:rPr>
                <w:sz w:val="24"/>
                <w:szCs w:val="24"/>
                <w:color w:val="auto"/>
              </w:rPr>
            </w:pPr>
          </w:p>
        </w:tc>
        <w:tc>
          <w:tcPr>
            <w:tcW w:w="462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(844) 803-8745</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4620" w:type="dxa"/>
            <w:vAlign w:val="bottom"/>
          </w:tcPr>
          <w:p>
            <w:pPr>
              <w:jc w:val="center"/>
              <w:ind w:right="22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2600" w:type="dxa"/>
            <w:vAlign w:val="bottom"/>
          </w:tcPr>
          <w:p>
            <w:pPr>
              <w:spacing w:after="0"/>
              <w:rPr>
                <w:sz w:val="24"/>
                <w:szCs w:val="24"/>
                <w:color w:val="auto"/>
              </w:rPr>
            </w:pPr>
          </w:p>
        </w:tc>
        <w:tc>
          <w:tcPr>
            <w:tcW w:w="46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46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60" w:hanging="341"/>
        <w:spacing w:after="0"/>
        <w:tabs>
          <w:tab w:leader="none" w:pos="36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3" w:lineRule="exact"/>
        <w:rPr>
          <w:rFonts w:ascii="Wingdings" w:cs="Wingdings" w:eastAsia="Wingdings" w:hAnsi="Wingdings"/>
          <w:sz w:val="14"/>
          <w:szCs w:val="14"/>
          <w:b w:val="1"/>
          <w:bCs w:val="1"/>
          <w:color w:val="auto"/>
        </w:rPr>
      </w:pPr>
    </w:p>
    <w:p>
      <w:pPr>
        <w:ind w:left="360" w:hanging="341"/>
        <w:spacing w:after="0"/>
        <w:tabs>
          <w:tab w:leader="none" w:pos="36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93" w:lineRule="exact"/>
        <w:rPr>
          <w:rFonts w:ascii="Wingdings" w:cs="Wingdings" w:eastAsia="Wingdings" w:hAnsi="Wingdings"/>
          <w:sz w:val="14"/>
          <w:szCs w:val="14"/>
          <w:b w:val="1"/>
          <w:bCs w:val="1"/>
          <w:color w:val="auto"/>
        </w:rPr>
      </w:pPr>
    </w:p>
    <w:p>
      <w:pPr>
        <w:ind w:left="360" w:hanging="341"/>
        <w:spacing w:after="0"/>
        <w:tabs>
          <w:tab w:leader="none" w:pos="36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93" w:lineRule="exact"/>
        <w:rPr>
          <w:rFonts w:ascii="Wingdings" w:cs="Wingdings" w:eastAsia="Wingdings" w:hAnsi="Wingdings"/>
          <w:sz w:val="14"/>
          <w:szCs w:val="14"/>
          <w:b w:val="1"/>
          <w:bCs w:val="1"/>
          <w:color w:val="auto"/>
        </w:rPr>
      </w:pPr>
    </w:p>
    <w:p>
      <w:pPr>
        <w:ind w:left="360" w:hanging="341"/>
        <w:spacing w:after="0"/>
        <w:tabs>
          <w:tab w:leader="none" w:pos="360" w:val="left"/>
        </w:tabs>
        <w:numPr>
          <w:ilvl w:val="0"/>
          <w:numId w:val="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75" w:lineRule="exact"/>
        <w:rPr>
          <w:sz w:val="24"/>
          <w:szCs w:val="24"/>
          <w:color w:val="auto"/>
        </w:rPr>
      </w:pPr>
    </w:p>
    <w:tbl>
      <w:tblPr>
        <w:tblLayout w:type="fixed"/>
        <w:tblInd w:w="10" w:type="dxa"/>
        <w:tblCellMar>
          <w:top w:w="0" w:type="dxa"/>
          <w:left w:w="0" w:type="dxa"/>
          <w:bottom w:w="0" w:type="dxa"/>
          <w:right w:w="0" w:type="dxa"/>
        </w:tblCellMar>
      </w:tblPr>
      <w:tr>
        <w:trPr>
          <w:trHeight w:val="185"/>
        </w:trPr>
        <w:tc>
          <w:tcPr>
            <w:tcW w:w="44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86"/>
        </w:trPr>
        <w:tc>
          <w:tcPr>
            <w:tcW w:w="4400" w:type="dxa"/>
            <w:vAlign w:val="bottom"/>
            <w:tcBorders>
              <w:left w:val="single" w:sz="8" w:color="auto"/>
              <w:right w:val="single" w:sz="8" w:color="auto"/>
            </w:tcBorders>
          </w:tcPr>
          <w:p>
            <w:pPr>
              <w:spacing w:after="0"/>
              <w:rPr>
                <w:sz w:val="16"/>
                <w:szCs w:val="16"/>
                <w:color w:val="auto"/>
              </w:rPr>
            </w:pP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r>
      <w:tr>
        <w:trPr>
          <w:trHeight w:val="22"/>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4380" w:type="dxa"/>
            <w:vAlign w:val="bottom"/>
            <w:tcBorders>
              <w:bottom w:val="single" w:sz="8" w:color="auto"/>
              <w:right w:val="single" w:sz="8" w:color="auto"/>
            </w:tcBorders>
          </w:tcPr>
          <w:p>
            <w:pPr>
              <w:spacing w:after="0" w:line="20" w:lineRule="exact"/>
              <w:rPr>
                <w:sz w:val="1"/>
                <w:szCs w:val="1"/>
                <w:color w:val="auto"/>
              </w:rPr>
            </w:pPr>
          </w:p>
        </w:tc>
      </w:tr>
      <w:tr>
        <w:trPr>
          <w:trHeight w:val="165"/>
        </w:trPr>
        <w:tc>
          <w:tcPr>
            <w:tcW w:w="44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$0.001 par value</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INNV</w:t>
            </w:r>
          </w:p>
        </w:tc>
        <w:tc>
          <w:tcPr>
            <w:tcW w:w="4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r>
        <w:trPr>
          <w:trHeight w:val="186"/>
        </w:trPr>
        <w:tc>
          <w:tcPr>
            <w:tcW w:w="4400" w:type="dxa"/>
            <w:vAlign w:val="bottom"/>
            <w:tcBorders>
              <w:left w:val="single" w:sz="8" w:color="auto"/>
              <w:right w:val="single" w:sz="8" w:color="auto"/>
            </w:tcBorders>
          </w:tcPr>
          <w:p>
            <w:pPr>
              <w:spacing w:after="0"/>
              <w:rPr>
                <w:sz w:val="16"/>
                <w:szCs w:val="16"/>
                <w:color w:val="auto"/>
              </w:rPr>
            </w:pPr>
          </w:p>
        </w:tc>
        <w:tc>
          <w:tcPr>
            <w:tcW w:w="252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22"/>
        </w:trPr>
        <w:tc>
          <w:tcPr>
            <w:tcW w:w="4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520" w:type="dxa"/>
            <w:vAlign w:val="bottom"/>
            <w:tcBorders>
              <w:bottom w:val="single" w:sz="8" w:color="auto"/>
              <w:right w:val="single" w:sz="8" w:color="auto"/>
            </w:tcBorders>
          </w:tcPr>
          <w:p>
            <w:pPr>
              <w:spacing w:after="0" w:line="20" w:lineRule="exact"/>
              <w:rPr>
                <w:sz w:val="1"/>
                <w:szCs w:val="1"/>
                <w:color w:val="auto"/>
              </w:rPr>
            </w:pPr>
          </w:p>
        </w:tc>
        <w:tc>
          <w:tcPr>
            <w:tcW w:w="4380" w:type="dxa"/>
            <w:vAlign w:val="bottom"/>
            <w:tcBorders>
              <w:bottom w:val="single" w:sz="8" w:color="auto"/>
              <w:right w:val="single" w:sz="8" w:color="auto"/>
            </w:tcBorders>
          </w:tcPr>
          <w:p>
            <w:pPr>
              <w:spacing w:after="0" w:line="20" w:lineRule="exact"/>
              <w:rPr>
                <w:sz w:val="1"/>
                <w:szCs w:val="1"/>
                <w:color w:val="auto"/>
              </w:rPr>
            </w:pPr>
          </w:p>
        </w:tc>
      </w:tr>
    </w:tbl>
    <w:p>
      <w:pPr>
        <w:spacing w:after="0" w:line="198" w:lineRule="exact"/>
        <w:rPr>
          <w:sz w:val="24"/>
          <w:szCs w:val="24"/>
          <w:color w:val="auto"/>
        </w:rPr>
      </w:pPr>
    </w:p>
    <w:p>
      <w:pPr>
        <w:ind w:right="60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9460"/>
        <w:spacing w:after="0"/>
        <w:rPr>
          <w:sz w:val="20"/>
          <w:szCs w:val="20"/>
          <w:color w:val="auto"/>
        </w:rPr>
      </w:pPr>
      <w:r>
        <w:rPr>
          <w:rFonts w:ascii="Times New Roman" w:cs="Times New Roman" w:eastAsia="Times New Roman" w:hAnsi="Times New Roman"/>
          <w:sz w:val="14"/>
          <w:szCs w:val="14"/>
          <w:b w:val="1"/>
          <w:bCs w:val="1"/>
          <w:color w:val="auto"/>
        </w:rPr>
        <w:t xml:space="preserve">Emerging growth company </w:t>
      </w:r>
      <w:r>
        <w:rPr>
          <w:rFonts w:ascii="Wingdings" w:cs="Wingdings" w:eastAsia="Wingdings" w:hAnsi="Wingdings"/>
          <w:sz w:val="14"/>
          <w:szCs w:val="14"/>
          <w:b w:val="1"/>
          <w:bCs w:val="1"/>
          <w:color w:val="auto"/>
        </w:rPr>
        <w:t>x</w:t>
      </w:r>
    </w:p>
    <w:p>
      <w:pPr>
        <w:spacing w:after="0" w:line="149" w:lineRule="exact"/>
        <w:rPr>
          <w:sz w:val="24"/>
          <w:szCs w:val="24"/>
          <w:color w:val="auto"/>
        </w:rPr>
      </w:pPr>
    </w:p>
    <w:p>
      <w:pPr>
        <w:ind w:right="560" w:firstLine="255"/>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614680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95250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114935</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1131" w:right="299" w:bottom="1440" w:gutter="0" w:footer="0" w:header="0"/>
        </w:sectPr>
      </w:pPr>
    </w:p>
    <w:bookmarkStart w:id="1" w:name="page2"/>
    <w:bookmarkEnd w:id="1"/>
    <w:p>
      <w:pPr>
        <w:spacing w:after="0"/>
        <w:tabs>
          <w:tab w:leader="none" w:pos="720" w:val="left"/>
        </w:tabs>
        <w:rPr>
          <w:sz w:val="20"/>
          <w:szCs w:val="20"/>
          <w:color w:val="auto"/>
        </w:rPr>
      </w:pPr>
      <w:r>
        <w:rPr>
          <w:rFonts w:ascii="Times New Roman" w:cs="Times New Roman" w:eastAsia="Times New Roman" w:hAnsi="Times New Roman"/>
          <w:sz w:val="14"/>
          <w:szCs w:val="14"/>
          <w:b w:val="1"/>
          <w:bCs w:val="1"/>
          <w:u w:val="single" w:color="auto"/>
          <w:color w:val="auto"/>
        </w:rPr>
        <w:t>Item 5.02</w:t>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u w:val="single" w:color="auto"/>
          <w:color w:val="auto"/>
        </w:rPr>
        <w:t>Departure of Directors or Certain Officers; Election of Directors; Appointment</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u w:val="single" w:color="auto"/>
          <w:color w:val="auto"/>
        </w:rPr>
        <w:t>of Certain Officers; Compensatory Arrangements of Certain Officers.</w:t>
      </w:r>
    </w:p>
    <w:p>
      <w:pPr>
        <w:spacing w:after="0" w:line="1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May 11, 2026, the Board of Directors (the “Board”) of InnovAge Holding Corp. (the “Company”) appointed Ms. Jennifer Browne as President and Chief Operating Officer of the Company, effective as of June 8, 2026 (the “Effective Date”).</w:t>
      </w:r>
    </w:p>
    <w:p>
      <w:pPr>
        <w:spacing w:after="0" w:line="1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Jennifer Browne, age 43, was most recently Chief Operating Officer at Strive Health, a healthcare company specializing in value-based kidney care, serving in such position from March 2025 to May 2026, and previously, President, Market Operations &amp; Population Health from July 2023 to February 2025. Prior to joining Strive Health, Ms. Browne worked as Senior Vice President, Value &amp; Population Health of Optum Care, a healthcare delivery organization and a division of Optum Health, from June 2019 to July 2023, and as National Vice President, Risk Adjustment at DaVita Medical Group from June 2017 to June 2019 when it was acquired by Optum. From 2005 to 2012, Ms. Browne worked as General Operations Manager and Director, Enterprise Program Management &amp; Integration at Novant Healthcare, a not-for-profit integrated healthcare system. Ms. Browne has a B.A. from the College of Charleston.</w:t>
      </w:r>
    </w:p>
    <w:p>
      <w:pPr>
        <w:spacing w:after="0" w:line="16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connection with her appointment as the Company’s President and Chief Operating Officer, Ms. Browne and Total Community Options, Inc., a wholly-owned subsidiary of the Company, have entered into an employment agreement, effective as of the Effective Date (the “Employment Agreement”), pursuant to which Ms. Browne will (i) receive an annual base salary of $500,000, (ii) a one-time sign-on cash bonus of $200,000 (the “Sign-on Bonus”), subject to applicable taxes and withholding and payable within thirty days of the Effective Date, (iii) be eligible to earn an annual cash bonus with a target equal to 75% of her annual base salary, and (iv) beginning with services in fiscal year 2027, be eligible to receive a discretionary annual restricted stock unit grant pursuant to the Company’s 2021 Omnibus Incentive Plan (the “Plan”) having an approximate grant date fair value of $500,000, which would vest ratably over three years, subject to Ms. Browne’s continued employment on each vesting date. The Employment Agreement also provides for an initial grant of restricted stock units under the Plan having a target value of $500,000 that will vest in equal installments on the first three anniversaries of the grant date, subject to Ms. Browne’s continued employment on each vesting date. In the event Ms. Browne resigns without “good reason” (as defined in the Employment Agreement) prior to the one-year anniversary of the Effective Date, she will be required to reimburse the Company for the Sign-on Bonus in an amount prorated to reflect her tenure at the Company.</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Employment Agreement provides that, upon a termination of Ms. Browne’s employment by the Company without “cause” (and not due to her death or “disability”) or by Ms. Browne for “good reason,” each as defined therein, subject to Ms. Browne’s execution, delivery and non-revocation of a general release of claims in favor of the Company and its affiliates, Ms. Browne will be entitled to severance benefits, in addition to payment of any base salary earned but not paid, payment in lieu of accrued but unused paid-time-off, reimbursement of any unreimbursed business expenses, and payment of any annual bonus earned but not yet paid in respect of the fiscal year completed immediately prior to the date of termination. Such severance benefits will consist of (i) 12 months of continued base salary payments, (ii) an amount equal to Ms. Browne’s target annual bonus, payable in equal installments over the 12-month post-termination period, and (iii) the Company continuing to pay the premiums required for Ms. Browne’s and her eligible dependents’ continued participation in the Company’s health care benefit plan for 12 months post-termination (unless Ms. Browne becomes employed by another employer and is eligible for coverage under such employer’s group health care plans). The Employment Agreement also provides that Ms. Browne will be eligible to participate in the TCO Group Holdings, L.P. Management Incentive Plan and will be eligible to receive an award of Class B Units (as defined below), as further described below. The Employment Agreement also contains a perpetual confidentiality covenant, as well as non-competition and non-solicitation covenants that apply during employment and for 12 months thereafter.</w:t>
      </w:r>
    </w:p>
    <w:p>
      <w:pPr>
        <w:spacing w:after="0" w:line="1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Pursuant to the Class B Unit Award Agreement, effective as of the Effective Date (the “Class B Unit Award Agreement”), entered into by and between Jennifer Browne and TCO Group Holdings, L.P., the Company’s largest shareholder (“TCO Group Holdings”), Ms. Browne will receive a grant of 1,260,000 Class B Units of TCO Group Holdings (the “Class B Units”). One-third of the Class B Units are subject to time-based vesting, vesting annually in substantially equal installments over three years on the first three anniversaries of the vesting commencement date. The remaining two-thirds of the Class B Units are subject to performance-based vesting, and will vest as to (i) 33.33% if, on a Measurement Date (as defined in the Class B Unit Award Agreement), Ignite Aggregator LP, the vehicle through which Apax Partners holds its investment in TCO Group Holdings (the “Apax Investor”), achieves a multiple on invested capital (as calculated pursuant to the Second Amended and Restated Limited Partnership Agreement of TCO Group Holdings) (“MOIC”) equal to 1.67x; (ii) 66.66% if, on a Measurement Date, the Apax Investor achieves a MOIC equal to 1.99x; and (iii) 100% if, on a Measurement Date, the Apax Investor achieves a MOIC equal to at least 2.30x, in each case, subject to continued employment through the Measurement Date. None of the performance-based Class B Units will vest if the Apax Investor achieves a MOIC less than 1.67x on a Measurement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566420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2" w:name="page3"/>
    <w:bookmarkEnd w:id="2"/>
    <w:p>
      <w:pPr>
        <w:jc w:val="both"/>
        <w:spacing w:after="0" w:line="248" w:lineRule="auto"/>
        <w:rPr>
          <w:sz w:val="20"/>
          <w:szCs w:val="20"/>
          <w:color w:val="auto"/>
        </w:rPr>
      </w:pPr>
      <w:r>
        <w:rPr>
          <w:rFonts w:ascii="Times New Roman" w:cs="Times New Roman" w:eastAsia="Times New Roman" w:hAnsi="Times New Roman"/>
          <w:sz w:val="14"/>
          <w:szCs w:val="14"/>
          <w:color w:val="auto"/>
        </w:rPr>
        <w:t>The time-based Class B Units are subject to (A) pro-rata vesting upon a termination without “cause,” due to death or disability or for “good reason” (each as defined in the Employment Agreement) that occurs prior to the one-year anniversary of the vesting commencement date, and (B) 100% acceleration upon a Change of Control (as defined in the Class B Unit Award Agreement), subject to continued service on such date. The performance-based Class B Units will remain eligible to vest for 120 days following a termination without “cause,” due to death or disability or for “good reason” (in each case pursuant to the terms of the Employment Agreement).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There are no arrangements or understandings between Ms. Browne and any other person pursuant to which Ms. Browne was appointed as President and Chief Operations Officer of the Company. Ms. Browne does not have any family relationships with any director, executive officer or person nominated or chosen by the Company to become a director or executive officer of the Company. There are no related person transactions (within the meaning of Item 404(a) of Regulation S-K promulgated by the Securities and Exchange Commission) between Ms. Browne and the Company.</w:t>
      </w:r>
    </w:p>
    <w:p>
      <w:pPr>
        <w:spacing w:after="0" w:line="1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foregoing descriptions of the Employment Agreement and the Class B Unit Award Agreement are not complete and are qualified by reference to the full text and terms of such documents, which are filed as Exhibits 10.1 and 10.2, respectively, to this report and incorporated herein by reference.</w:t>
      </w:r>
    </w:p>
    <w:p>
      <w:pPr>
        <w:spacing w:after="0" w:line="144"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u w:val="single" w:color="auto"/>
          <w:color w:val="auto"/>
        </w:rPr>
        <w:t>Item 7.01</w:t>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Regulation FD Disclosure</w:t>
      </w:r>
      <w:r>
        <w:rPr>
          <w:rFonts w:ascii="Times New Roman" w:cs="Times New Roman" w:eastAsia="Times New Roman" w:hAnsi="Times New Roman"/>
          <w:sz w:val="14"/>
          <w:szCs w:val="14"/>
          <w:b w:val="1"/>
          <w:bCs w:val="1"/>
          <w:u w:val="single" w:color="auto"/>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copy of a press release announcing the appointment described above is furnished as Exhibit 99.1 to this Current Report on Form 8-K.</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information contained in Exhibit 99.1 hereto shall not be deemed “filed” for purposes of Section 18 of the Securities Exchange Act of 1934, as amended (the “Exchange Act”), nor shall it be deemed incorporated by reference in any filing under the Securities Act of 1933, as amended, or the Exchange Act, except as expressly set forth by specific reference in such filing.</w:t>
      </w:r>
    </w:p>
    <w:p>
      <w:pPr>
        <w:spacing w:after="0" w:line="12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u w:val="single" w:color="auto"/>
          <w:color w:val="auto"/>
        </w:rPr>
        <w:t>Item 9.01</w:t>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u w:val="single" w:color="auto"/>
          <w:color w:val="auto"/>
        </w:rPr>
        <w:t>Financial Statements and Exhibits</w:t>
      </w:r>
      <w:r>
        <w:rPr>
          <w:rFonts w:ascii="Times New Roman" w:cs="Times New Roman" w:eastAsia="Times New Roman" w:hAnsi="Times New Roman"/>
          <w:sz w:val="14"/>
          <w:szCs w:val="14"/>
          <w:b w:val="1"/>
          <w:bCs w:val="1"/>
          <w:color w:val="auto"/>
        </w:rPr>
        <w:t>.</w:t>
      </w:r>
    </w:p>
    <w:p>
      <w:pPr>
        <w:spacing w:after="0" w:line="181" w:lineRule="exact"/>
        <w:rPr>
          <w:sz w:val="20"/>
          <w:szCs w:val="20"/>
          <w:color w:val="auto"/>
        </w:rPr>
      </w:pPr>
    </w:p>
    <w:p>
      <w:pPr>
        <w:ind w:left="200" w:hanging="195"/>
        <w:spacing w:after="0"/>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64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9"/>
        </w:trPr>
        <w:tc>
          <w:tcPr>
            <w:tcW w:w="1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4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0000FF"/>
              </w:rPr>
              <w:t>Employment Agreement, dated as of May 11, 2026, by and between Total Community Options, Inc. and Jennifer Browne.</w:t>
            </w:r>
          </w:p>
        </w:tc>
      </w:tr>
      <w:tr>
        <w:trPr>
          <w:trHeight w:val="20"/>
        </w:trPr>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192"/>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Class B Unit Award Agreement, dated as of May 11, 2026, by and between TCO Group Holdings, L.P. and Jennifer Browne.</w:t>
            </w:r>
          </w:p>
        </w:tc>
      </w:tr>
      <w:tr>
        <w:trPr>
          <w:trHeight w:val="192"/>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99.1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Press Release of InnovAge Holding Corp., dated May 12, 2026</w:t>
            </w:r>
          </w:p>
        </w:tc>
        <w:tc>
          <w:tcPr>
            <w:tcW w:w="2980" w:type="dxa"/>
            <w:vAlign w:val="bottom"/>
          </w:tcPr>
          <w:p>
            <w:pPr>
              <w:spacing w:after="0"/>
              <w:rPr>
                <w:sz w:val="16"/>
                <w:szCs w:val="16"/>
                <w:color w:val="auto"/>
              </w:rPr>
            </w:pPr>
          </w:p>
        </w:tc>
      </w:tr>
      <w:tr>
        <w:trPr>
          <w:trHeight w:val="213"/>
        </w:trPr>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w:t>
            </w:r>
          </w:p>
        </w:tc>
        <w:tc>
          <w:tcPr>
            <w:tcW w:w="6460" w:type="dxa"/>
            <w:vAlign w:val="bottom"/>
            <w:gridSpan w:val="3"/>
          </w:tcPr>
          <w:p>
            <w:pPr>
              <w:spacing w:after="0"/>
              <w:rPr>
                <w:sz w:val="18"/>
                <w:szCs w:val="18"/>
                <w:color w:val="auto"/>
              </w:rPr>
            </w:pPr>
          </w:p>
        </w:tc>
      </w:tr>
      <w:tr>
        <w:trPr>
          <w:trHeight w:val="797"/>
        </w:trPr>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7960" w:type="dxa"/>
            <w:vAlign w:val="bottom"/>
            <w:gridSpan w:val="2"/>
          </w:tcPr>
          <w:p>
            <w:pPr>
              <w:ind w:left="2160"/>
              <w:spacing w:after="0"/>
              <w:rPr>
                <w:sz w:val="20"/>
                <w:szCs w:val="20"/>
                <w:color w:val="auto"/>
              </w:rPr>
            </w:pPr>
            <w:r>
              <w:rPr>
                <w:rFonts w:ascii="Times New Roman" w:cs="Times New Roman" w:eastAsia="Times New Roman" w:hAnsi="Times New Roman"/>
                <w:sz w:val="14"/>
                <w:szCs w:val="14"/>
                <w:color w:val="auto"/>
              </w:rPr>
              <w:t>INNOVAGE HOLDING CORP.</w:t>
            </w:r>
          </w:p>
        </w:tc>
      </w:tr>
      <w:tr>
        <w:trPr>
          <w:trHeight w:val="456"/>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Date: May 12, 2026</w:t>
            </w:r>
          </w:p>
        </w:tc>
        <w:tc>
          <w:tcPr>
            <w:tcW w:w="296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4"/>
                <w:szCs w:val="14"/>
                <w:color w:val="auto"/>
              </w:rPr>
              <w:t>Benjamin C. Adams</w:t>
            </w:r>
          </w:p>
        </w:tc>
      </w:tr>
      <w:tr>
        <w:trPr>
          <w:trHeight w:val="167"/>
        </w:trPr>
        <w:tc>
          <w:tcPr>
            <w:tcW w:w="3300" w:type="dxa"/>
            <w:vAlign w:val="bottom"/>
          </w:tcPr>
          <w:p>
            <w:pPr>
              <w:spacing w:after="0"/>
              <w:rPr>
                <w:sz w:val="14"/>
                <w:szCs w:val="14"/>
                <w:color w:val="auto"/>
              </w:rPr>
            </w:pPr>
          </w:p>
        </w:tc>
        <w:tc>
          <w:tcPr>
            <w:tcW w:w="296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Name:</w:t>
            </w: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Benjamin C. Adams</w:t>
            </w:r>
          </w:p>
        </w:tc>
      </w:tr>
      <w:tr>
        <w:trPr>
          <w:trHeight w:val="184"/>
        </w:trPr>
        <w:tc>
          <w:tcPr>
            <w:tcW w:w="3300" w:type="dxa"/>
            <w:vAlign w:val="bottom"/>
          </w:tcPr>
          <w:p>
            <w:pPr>
              <w:spacing w:after="0"/>
              <w:rPr>
                <w:sz w:val="16"/>
                <w:szCs w:val="16"/>
                <w:color w:val="auto"/>
              </w:rPr>
            </w:pPr>
          </w:p>
        </w:tc>
        <w:tc>
          <w:tcPr>
            <w:tcW w:w="296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Title:</w:t>
            </w:r>
          </w:p>
        </w:tc>
        <w:tc>
          <w:tcPr>
            <w:tcW w:w="500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80"/>
          </w:cols>
          <w:pgMar w:left="300" w:top="929"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9726930</wp:posOffset>
            </wp:positionV>
            <wp:extent cx="7105650"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1684020" cy="8826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8402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0563C1"/>
        </w:rPr>
        <w:t>InnovAge Appoints Jennifer Browne as President and Chief Operating Officer</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DENVER, May 12, 2026 </w:t>
      </w:r>
      <w:r>
        <w:rPr>
          <w:rFonts w:ascii="Times New Roman" w:cs="Times New Roman" w:eastAsia="Times New Roman" w:hAnsi="Times New Roman"/>
          <w:sz w:val="17"/>
          <w:szCs w:val="17"/>
          <w:color w:val="auto"/>
        </w:rPr>
        <w:t>(GLOBE NEWSWIRE)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0563C1"/>
        </w:rPr>
        <w:t>InnovAge Holding Corp.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(“InnovAge” or the “Company”) (Nasdaq: INNV), an industry leader in providing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comprehensive healthcare programs to frail, predominantly dual-eligible seniors through the Program of All-inclusive Care for the Elderly (PACE), today announced that Jennifer Browne has been appointed President and Chief Operating Officer, effective June 8, 2026.</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Ms. Browne brings deep experience leading complex, multi-state healthcare organizations operating under value-based care models. She has a strong track record of improving performance across operations, clinical quality, compliance, and financial outcomes while scaling services to reach more patients. Most recently, she served as the Chief Operating Officer for Strive Health overseeing market operations and shared services. Prior to Strive, she served as SVP of Value &amp; Population Health at Optum where she managed a value-based care portfolio of over 1.2 million patients.</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“Jen is exactly the kind of leader we need for this next phase of InnovAge,” said Patrick Blair, Chief Executive Officer. “She combines operational rigor with a deep understanding of value-based care and a genuine commitment to serving complex populations. Her experience leading at scale, strengthening compliance and quality, and building high-performing teams will be critical as we continue to improve consistency across our markets and expand access to care for more seniors.”</w:t>
      </w:r>
    </w:p>
    <w:p>
      <w:pPr>
        <w:spacing w:after="0" w:line="15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her role, Ms. Browne will oversee InnovAge’s market operations and core support functions, with a focus on driving consistent execution, enhancing the participant experience, and advancing the Company’s performance across its key operational and compliance metrics.</w:t>
      </w:r>
    </w:p>
    <w:p>
      <w:pPr>
        <w:spacing w:after="0" w:line="1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“I’m excited to join InnovAge at such an important time,” said Ms. Browne. “The PACE model delivers real value to participants, families, and the broader healthcare system. InnovAge has made meaningful progress strengthening its foundation, and I look forward to working with the team to build on that momentum— continuing to elevate quality, deepen compliance, and expand the reach of this care model to serve more seniors.”</w:t>
      </w:r>
    </w:p>
    <w:p>
      <w:pPr>
        <w:spacing w:after="0" w:line="16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Ms. Browne’s appointment reflects InnovAge’s continued focus on disciplined execution, regulatory excellence, and sustainable growth as the Company advances its mission to help older adults live independently for as long as possible.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About InnovAge</w:t>
      </w:r>
    </w:p>
    <w:p>
      <w:pPr>
        <w:sectPr>
          <w:pgSz w:w="11900" w:h="16838" w:orient="portrait"/>
          <w:cols w:equalWidth="0" w:num="1">
            <w:col w:w="11280"/>
          </w:cols>
          <w:pgMar w:left="300" w:top="1314" w:right="319" w:bottom="1440" w:gutter="0" w:footer="0" w:header="0"/>
        </w:sectPr>
      </w:pPr>
    </w:p>
    <w:bookmarkStart w:id="47" w:name="page48"/>
    <w:bookmarkEnd w:id="47"/>
    <w:p>
      <w:pPr>
        <w:jc w:val="both"/>
        <w:spacing w:after="0" w:line="241" w:lineRule="auto"/>
        <w:rPr>
          <w:sz w:val="20"/>
          <w:szCs w:val="20"/>
          <w:color w:val="auto"/>
        </w:rPr>
      </w:pPr>
      <w:r>
        <w:rPr>
          <w:rFonts w:ascii="Times New Roman" w:cs="Times New Roman" w:eastAsia="Times New Roman" w:hAnsi="Times New Roman"/>
          <w:sz w:val="17"/>
          <w:szCs w:val="17"/>
          <w:color w:val="auto"/>
        </w:rPr>
        <w:t xml:space="preserve">InnovAge is an industry leader in providing comprehensive healthcare programs to frail, predominantly dual-eligible seniors through the Program of All-inclusive Care for the Elderly (PACE). With a mission of enabling older adults to age independently in their own homes for as long as safely possible, InnovAge’s patient-centered care model is designed to improve the quality of care our participants receive while reducing over-utilization of high-cost care settings. InnovAge believes its PACE healthcare model is one in which all constituencies — participants, their families, providers and government payors — “win.” As of March 31, 2026, InnovAge served approximately 8,050 participants across 20 centers in six states. </w:t>
      </w:r>
      <w:r>
        <w:rPr>
          <w:rFonts w:ascii="Times New Roman" w:cs="Times New Roman" w:eastAsia="Times New Roman" w:hAnsi="Times New Roman"/>
          <w:sz w:val="17"/>
          <w:szCs w:val="17"/>
          <w:color w:val="0563C1"/>
        </w:rPr>
        <w:t>https://www.innovage.com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Investor Contact: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Ryan Kubota</w:t>
      </w:r>
    </w:p>
    <w:p>
      <w:pPr>
        <w:spacing w:after="0"/>
        <w:rPr>
          <w:sz w:val="20"/>
          <w:szCs w:val="20"/>
          <w:color w:val="auto"/>
        </w:rPr>
      </w:pPr>
      <w:r>
        <w:rPr>
          <w:rFonts w:ascii="Times New Roman" w:cs="Times New Roman" w:eastAsia="Times New Roman" w:hAnsi="Times New Roman"/>
          <w:sz w:val="17"/>
          <w:szCs w:val="17"/>
          <w:color w:val="0563C1"/>
        </w:rPr>
        <w:t>RKubota@InnovAge.com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Media Contact: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563C1"/>
        </w:rPr>
        <w:t>press@innovage.com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0A0A0A"/>
        </w:rPr>
        <w:t>Forward-Looking Statements – Safe Harbor</w:t>
      </w:r>
    </w:p>
    <w:p>
      <w:pPr>
        <w:spacing w:after="0" w:line="1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7"/>
          <w:szCs w:val="17"/>
          <w:color w:val="0A0A0A"/>
        </w:rPr>
        <w:t>This press release contains “forward-looking statements” within the meaning of the safe harbor provisions of the U.S. Private Securities Litigation Reform Act of 1995. Forward-looking statements can be identified by words such as: “anticipate,” “continue,” “intend,” “forward,” “focus,” “plan,” “believe,” “project,” “estimate,” “expect,” “may,” “should,” “will” and other words and terms of similar meaning that they do not relate strictly to historical or current facts. Examples of forward-looking statements include statements regarding our expectations with respect to the Company’s new President and Chief Operating Officer; and our expectations with respect to the Company’s ability to improve its operations and grow. Important factors that could cause actual results to differ materially from those indicated in the forward-looking statements include, among others, our dependence on our senior management team and ability to retain skilled employees; failure to execute an orderly President and Chief Operating Officer transition; the impact of the transition on the Company, its employees and its suppliers; the viability of, and/or our failure to execute, our business strategy and our ability to realize expected results; and other risk factors identified in our SEC reports, including, our most recent Annual Report on Form 10-K and any subsequent Quarterly Report on Form 10-Q, in each case, as filed with the SEC.</w:t>
      </w:r>
    </w:p>
    <w:p>
      <w:pPr>
        <w:spacing w:after="0" w:line="1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0A0A0A"/>
        </w:rPr>
        <w:t>Any forward-looking statement made by the Company is based on information currently available to us. Except as required by law, we undertake no obligation to publicly update any forward-looking statement, whether written or oral, whether as a result of new information, future developments or otherwise.</w:t>
      </w:r>
    </w:p>
    <w:sectPr>
      <w:pgSz w:w="11900" w:h="16838" w:orient="portrait"/>
      <w:cols w:equalWidth="0" w:num="1">
        <w:col w:w="11280"/>
      </w:cols>
      <w:pgMar w:left="300" w:top="113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2026-05-12T16:02:35Z</dcterms:created>
  <dcterms:modified xsi:type="dcterms:W3CDTF">2026-05-12T16:02:35Z</dcterms:modified>
</cp:coreProperties>
</file>