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both"/>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w:t>
      </w:r>
      <w:r>
        <w:rPr>
          <w:rFonts w:ascii="Times New Roman;serif" w:hAnsi="Times New Roman;serif"/>
          <w:b/>
          <w:color w:val="000000"/>
          <w:sz w:val="18"/>
        </w:rPr>
        <w:t>QUARTERLY REPORT PURSUANT TO SECTION 13 OR 15(d) OF THE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60" w:after="283"/>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60" w:after="283"/>
        <w:jc w:val="center"/>
        <w:rPr/>
      </w:pPr>
      <w:r>
        <w:rPr>
          <w:rFonts w:ascii="Wingdings;sans-serif" w:hAnsi="Wingdings;sans-serif"/>
          <w:b/>
          <w:color w:val="000000"/>
          <w:sz w:val="18"/>
        </w:rPr>
        <w:t>o</w:t>
      </w:r>
      <w:r>
        <w:rPr>
          <w:color w:val="000000"/>
        </w:rPr>
        <w:t>                     </w:t>
      </w:r>
      <w:r>
        <w:rPr>
          <w:rFonts w:ascii="Times New Roman;serif" w:hAnsi="Times New Roman;serif"/>
          <w:b/>
          <w:color w:val="000000"/>
          <w:sz w:val="18"/>
        </w:rPr>
        <w:t>TRANSITION REPORT PURSUANT TO SECTION 13 OR 15(d) OF THE SECURITIES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EXCHANGE ACT OF 1934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_________ to _________</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001-40159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before="0" w:after="0"/>
        <w:jc w:val="center"/>
        <w:rPr/>
      </w:pPr>
      <w:r>
        <w:rPr/>
        <w:drawing>
          <wp:inline distT="0" distB="0" distL="0" distR="0">
            <wp:extent cx="18859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5715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InnovAge Holding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829" w:type="dxa"/>
        <w:jc w:val="left"/>
        <w:tblInd w:w="0" w:type="dxa"/>
        <w:tblLayout w:type="fixed"/>
        <w:tblCellMar>
          <w:top w:w="28" w:type="dxa"/>
          <w:left w:w="28" w:type="dxa"/>
          <w:bottom w:w="28" w:type="dxa"/>
          <w:right w:w="28" w:type="dxa"/>
        </w:tblCellMar>
      </w:tblPr>
      <w:tblGrid>
        <w:gridCol w:w="1091"/>
        <w:gridCol w:w="957"/>
        <w:gridCol w:w="967"/>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81-0710819</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8950 E. Lowry Boulevard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Denver, CO</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80230</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(844) 803-8745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Securities Act:</w:t>
      </w:r>
    </w:p>
    <w:tbl>
      <w:tblPr>
        <w:tblW w:w="9253" w:type="dxa"/>
        <w:jc w:val="left"/>
        <w:tblInd w:w="0" w:type="dxa"/>
        <w:tblLayout w:type="fixed"/>
        <w:tblCellMar>
          <w:top w:w="28" w:type="dxa"/>
          <w:left w:w="28" w:type="dxa"/>
          <w:bottom w:w="28" w:type="dxa"/>
          <w:right w:w="28" w:type="dxa"/>
        </w:tblCellMar>
      </w:tblPr>
      <w:tblGrid>
        <w:gridCol w:w="965"/>
        <w:gridCol w:w="849"/>
        <w:gridCol w:w="855"/>
        <w:gridCol w:w="519"/>
        <w:gridCol w:w="519"/>
        <w:gridCol w:w="521"/>
        <w:gridCol w:w="1472"/>
        <w:gridCol w:w="1472"/>
        <w:gridCol w:w="2081"/>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50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6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$0.001 par value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INNV</w:t>
            </w:r>
          </w:p>
        </w:tc>
        <w:tc>
          <w:tcPr>
            <w:tcW w:w="50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 (Nasdaq Global Select Market)</w:t>
            </w:r>
          </w:p>
        </w:tc>
      </w:tr>
    </w:tbl>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5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As of October 31, 2025, there were 135,681,431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2"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49"/>
        <w:gridCol w:w="383"/>
        <w:gridCol w:w="347"/>
        <w:gridCol w:w="2861"/>
        <w:gridCol w:w="2821"/>
        <w:gridCol w:w="2831"/>
        <w:gridCol w:w="149"/>
        <w:gridCol w:w="149"/>
        <w:gridCol w:w="215"/>
      </w:tblGrid>
      <w:tr>
        <w:trPr/>
        <w:tc>
          <w:tcPr>
            <w:tcW w:w="44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
              <w:r>
                <w:rPr>
                  <w:rStyle w:val="InternetLink"/>
                  <w:rFonts w:ascii="Times New Roman;serif" w:hAnsi="Times New Roman;serif"/>
                  <w:b/>
                  <w:color w:val="0000FF"/>
                  <w:sz w:val="20"/>
                  <w:u w:val="single"/>
                </w:rPr>
                <w:t>Part I</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
              <w:r>
                <w:rPr>
                  <w:rStyle w:val="InternetLink"/>
                  <w:rFonts w:ascii="Times New Roman;serif" w:hAnsi="Times New Roman;serif"/>
                  <w:b/>
                  <w:color w:val="0000FF"/>
                  <w:sz w:val="20"/>
                  <w:u w:val="single"/>
                </w:rPr>
                <w:t>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6">
              <w:r>
                <w:rPr>
                  <w:rStyle w:val="InternetLink"/>
                  <w:rFonts w:ascii="Times New Roman;serif" w:hAnsi="Times New Roman;serif"/>
                  <w:b w:val="false"/>
                  <w:color w:val="0000FF"/>
                  <w:sz w:val="20"/>
                  <w:u w:val="single"/>
                </w:rPr>
                <w:t>Item 1.</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6">
              <w:r>
                <w:rPr>
                  <w:rStyle w:val="InternetLink"/>
                  <w:rFonts w:ascii="Times New Roman;serif" w:hAnsi="Times New Roman;serif"/>
                  <w:b w:val="false"/>
                  <w:color w:val="0000FF"/>
                  <w:sz w:val="20"/>
                  <w:u w:val="single"/>
                </w:rPr>
                <w:t>Financial Statements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6">
              <w:r>
                <w:rPr>
                  <w:rStyle w:val="InternetLink"/>
                  <w:rFonts w:ascii="Times New Roman;serif" w:hAnsi="Times New Roman;serif"/>
                  <w:b w:val="false"/>
                  <w:strike w:val="false"/>
                  <w:dstrike w:val="false"/>
                  <w:color w:val="000000"/>
                  <w:sz w:val="20"/>
                  <w:u w:val="none"/>
                  <w:effect w:val="none"/>
                </w:rPr>
                <w:t>5</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9">
              <w:r>
                <w:rPr>
                  <w:rStyle w:val="InternetLink"/>
                  <w:rFonts w:ascii="Times New Roman;serif" w:hAnsi="Times New Roman;serif"/>
                  <w:b w:val="false"/>
                  <w:color w:val="000080"/>
                  <w:sz w:val="20"/>
                  <w:u w:val="single"/>
                </w:rPr>
                <w:t xml:space="preserve">Condensed Consolidated Balance Sheets as of </w:t>
              </w:r>
            </w:hyperlink>
            <w:hyperlink w:anchor="i24c5d1e6c5524ceb8c1951675e442d9a_19">
              <w:r>
                <w:rPr>
                  <w:rStyle w:val="InternetLink"/>
                  <w:rFonts w:ascii="Times New Roman;serif" w:hAnsi="Times New Roman;serif"/>
                  <w:b w:val="false"/>
                  <w:color w:val="000080"/>
                  <w:sz w:val="20"/>
                  <w:u w:val="single"/>
                </w:rPr>
                <w:t>September</w:t>
              </w:r>
            </w:hyperlink>
            <w:hyperlink w:anchor="i24c5d1e6c5524ceb8c1951675e442d9a_19">
              <w:r>
                <w:rPr>
                  <w:rStyle w:val="InternetLink"/>
                  <w:rFonts w:ascii="Times New Roman;serif" w:hAnsi="Times New Roman;serif"/>
                  <w:b w:val="false"/>
                  <w:color w:val="000080"/>
                  <w:sz w:val="20"/>
                  <w:u w:val="single"/>
                </w:rPr>
                <w:t xml:space="preserve"> 3</w:t>
              </w:r>
            </w:hyperlink>
            <w:hyperlink w:anchor="i24c5d1e6c5524ceb8c1951675e442d9a_19">
              <w:r>
                <w:rPr>
                  <w:rStyle w:val="InternetLink"/>
                  <w:rFonts w:ascii="Times New Roman;serif" w:hAnsi="Times New Roman;serif"/>
                  <w:b w:val="false"/>
                  <w:color w:val="000080"/>
                  <w:sz w:val="20"/>
                  <w:u w:val="single"/>
                </w:rPr>
                <w:t>0</w:t>
              </w:r>
            </w:hyperlink>
            <w:hyperlink w:anchor="i24c5d1e6c5524ceb8c1951675e442d9a_19">
              <w:r>
                <w:rPr>
                  <w:rStyle w:val="InternetLink"/>
                  <w:rFonts w:ascii="Times New Roman;serif" w:hAnsi="Times New Roman;serif"/>
                  <w:b w:val="false"/>
                  <w:color w:val="000080"/>
                  <w:sz w:val="20"/>
                  <w:u w:val="single"/>
                </w:rPr>
                <w:t>, 2025 (Unaudited) and June 30, 2</w:t>
              </w:r>
            </w:hyperlink>
            <w:hyperlink w:anchor="i24c5d1e6c5524ceb8c1951675e442d9a_19">
              <w:r>
                <w:rPr>
                  <w:rStyle w:val="InternetLink"/>
                  <w:rFonts w:ascii="Times New Roman;serif" w:hAnsi="Times New Roman;serif"/>
                  <w:b w:val="false"/>
                  <w:color w:val="000080"/>
                  <w:sz w:val="20"/>
                  <w:u w:val="single"/>
                </w:rPr>
                <w:t>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9">
              <w:r>
                <w:rPr>
                  <w:rStyle w:val="InternetLink"/>
                  <w:rFonts w:ascii="Times New Roman;serif" w:hAnsi="Times New Roman;serif"/>
                  <w:b w:val="false"/>
                  <w:strike w:val="false"/>
                  <w:dstrike w:val="false"/>
                  <w:color w:val="000000"/>
                  <w:sz w:val="20"/>
                  <w:u w:val="none"/>
                  <w:effect w:val="none"/>
                </w:rPr>
                <w:t>5</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22">
              <w:r>
                <w:rPr>
                  <w:rStyle w:val="InternetLink"/>
                  <w:rFonts w:ascii="Times New Roman;serif" w:hAnsi="Times New Roman;serif"/>
                  <w:b w:val="false"/>
                  <w:color w:val="000080"/>
                  <w:sz w:val="20"/>
                  <w:u w:val="single"/>
                </w:rPr>
                <w:t>Condensed Consolidated Statements of Operations for the three</w:t>
              </w:r>
            </w:hyperlink>
            <w:hyperlink w:anchor="i24c5d1e6c5524ceb8c1951675e442d9a_22">
              <w:r>
                <w:rPr>
                  <w:rStyle w:val="InternetLink"/>
                  <w:rFonts w:ascii="Times New Roman;serif" w:hAnsi="Times New Roman;serif"/>
                  <w:b w:val="false"/>
                  <w:color w:val="000080"/>
                  <w:sz w:val="20"/>
                  <w:u w:val="single"/>
                </w:rPr>
                <w:t xml:space="preserve"> months ended </w:t>
              </w:r>
            </w:hyperlink>
            <w:hyperlink w:anchor="i24c5d1e6c5524ceb8c1951675e442d9a_22">
              <w:r>
                <w:rPr>
                  <w:rStyle w:val="InternetLink"/>
                  <w:rFonts w:ascii="Times New Roman;serif" w:hAnsi="Times New Roman;serif"/>
                  <w:b w:val="false"/>
                  <w:color w:val="000080"/>
                  <w:sz w:val="20"/>
                  <w:u w:val="single"/>
                </w:rPr>
                <w:t>September</w:t>
              </w:r>
            </w:hyperlink>
            <w:hyperlink w:anchor="i24c5d1e6c5524ceb8c1951675e442d9a_22">
              <w:r>
                <w:rPr>
                  <w:rStyle w:val="InternetLink"/>
                  <w:rFonts w:ascii="Times New Roman;serif" w:hAnsi="Times New Roman;serif"/>
                  <w:b w:val="false"/>
                  <w:color w:val="000080"/>
                  <w:sz w:val="20"/>
                  <w:u w:val="single"/>
                </w:rPr>
                <w:t xml:space="preserve"> 3</w:t>
              </w:r>
            </w:hyperlink>
            <w:hyperlink w:anchor="i24c5d1e6c5524ceb8c1951675e442d9a_22">
              <w:r>
                <w:rPr>
                  <w:rStyle w:val="InternetLink"/>
                  <w:rFonts w:ascii="Times New Roman;serif" w:hAnsi="Times New Roman;serif"/>
                  <w:b w:val="false"/>
                  <w:color w:val="000080"/>
                  <w:sz w:val="20"/>
                  <w:u w:val="single"/>
                </w:rPr>
                <w:t>0</w:t>
              </w:r>
            </w:hyperlink>
            <w:hyperlink w:anchor="i24c5d1e6c5524ceb8c1951675e442d9a_22">
              <w:r>
                <w:rPr>
                  <w:rStyle w:val="InternetLink"/>
                  <w:rFonts w:ascii="Times New Roman;serif" w:hAnsi="Times New Roman;serif"/>
                  <w:b w:val="false"/>
                  <w:color w:val="000080"/>
                  <w:sz w:val="20"/>
                  <w:u w:val="single"/>
                </w:rPr>
                <w:t>,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22">
              <w:r>
                <w:rPr>
                  <w:rStyle w:val="InternetLink"/>
                  <w:rFonts w:ascii="Times New Roman;serif" w:hAnsi="Times New Roman;serif"/>
                  <w:b w:val="false"/>
                  <w:strike w:val="false"/>
                  <w:dstrike w:val="false"/>
                  <w:color w:val="000000"/>
                  <w:sz w:val="20"/>
                  <w:u w:val="none"/>
                  <w:effect w:val="none"/>
                </w:rPr>
                <w:t>7</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25">
              <w:r>
                <w:rPr>
                  <w:rStyle w:val="InternetLink"/>
                  <w:rFonts w:ascii="Times New Roman;serif" w:hAnsi="Times New Roman;serif"/>
                  <w:b w:val="false"/>
                  <w:color w:val="000080"/>
                  <w:sz w:val="20"/>
                  <w:u w:val="single"/>
                </w:rPr>
                <w:t>Condensed Consolidated Statements of Stockholders’ Equity for the three</w:t>
              </w:r>
            </w:hyperlink>
            <w:hyperlink w:anchor="i24c5d1e6c5524ceb8c1951675e442d9a_25">
              <w:r>
                <w:rPr>
                  <w:rStyle w:val="InternetLink"/>
                  <w:rFonts w:ascii="Times New Roman;serif" w:hAnsi="Times New Roman;serif"/>
                  <w:b w:val="false"/>
                  <w:color w:val="000080"/>
                  <w:sz w:val="20"/>
                  <w:u w:val="single"/>
                </w:rPr>
                <w:t xml:space="preserve"> months ended </w:t>
              </w:r>
            </w:hyperlink>
            <w:hyperlink w:anchor="i24c5d1e6c5524ceb8c1951675e442d9a_25">
              <w:r>
                <w:rPr>
                  <w:rStyle w:val="InternetLink"/>
                  <w:rFonts w:ascii="Times New Roman;serif" w:hAnsi="Times New Roman;serif"/>
                  <w:b w:val="false"/>
                  <w:color w:val="000080"/>
                  <w:sz w:val="20"/>
                  <w:u w:val="single"/>
                </w:rPr>
                <w:t>September</w:t>
              </w:r>
            </w:hyperlink>
            <w:hyperlink w:anchor="i24c5d1e6c5524ceb8c1951675e442d9a_25">
              <w:r>
                <w:rPr>
                  <w:rStyle w:val="InternetLink"/>
                  <w:rFonts w:ascii="Times New Roman;serif" w:hAnsi="Times New Roman;serif"/>
                  <w:b w:val="false"/>
                  <w:color w:val="000080"/>
                  <w:sz w:val="20"/>
                  <w:u w:val="single"/>
                </w:rPr>
                <w:t xml:space="preserve"> 3</w:t>
              </w:r>
            </w:hyperlink>
            <w:hyperlink w:anchor="i24c5d1e6c5524ceb8c1951675e442d9a_25">
              <w:r>
                <w:rPr>
                  <w:rStyle w:val="InternetLink"/>
                  <w:rFonts w:ascii="Times New Roman;serif" w:hAnsi="Times New Roman;serif"/>
                  <w:b w:val="false"/>
                  <w:color w:val="000080"/>
                  <w:sz w:val="20"/>
                  <w:u w:val="single"/>
                </w:rPr>
                <w:t>0</w:t>
              </w:r>
            </w:hyperlink>
            <w:hyperlink w:anchor="i24c5d1e6c5524ceb8c1951675e442d9a_25">
              <w:r>
                <w:rPr>
                  <w:rStyle w:val="InternetLink"/>
                  <w:rFonts w:ascii="Times New Roman;serif" w:hAnsi="Times New Roman;serif"/>
                  <w:b w:val="false"/>
                  <w:color w:val="000080"/>
                  <w:sz w:val="20"/>
                  <w:u w:val="single"/>
                </w:rPr>
                <w:t>,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25">
              <w:r>
                <w:rPr>
                  <w:rStyle w:val="InternetLink"/>
                  <w:rFonts w:ascii="Times New Roman;serif" w:hAnsi="Times New Roman;serif"/>
                  <w:b w:val="false"/>
                  <w:strike w:val="false"/>
                  <w:dstrike w:val="false"/>
                  <w:color w:val="000000"/>
                  <w:sz w:val="20"/>
                  <w:u w:val="none"/>
                  <w:effect w:val="none"/>
                </w:rPr>
                <w:t>8</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28">
              <w:r>
                <w:rPr>
                  <w:rStyle w:val="InternetLink"/>
                  <w:rFonts w:ascii="Times New Roman;serif" w:hAnsi="Times New Roman;serif"/>
                  <w:b w:val="false"/>
                  <w:color w:val="000080"/>
                  <w:sz w:val="20"/>
                  <w:u w:val="single"/>
                </w:rPr>
                <w:t xml:space="preserve">Condensed Consolidated Statements of Cash Flows for the </w:t>
              </w:r>
            </w:hyperlink>
            <w:hyperlink w:anchor="i24c5d1e6c5524ceb8c1951675e442d9a_28">
              <w:r>
                <w:rPr>
                  <w:rStyle w:val="InternetLink"/>
                  <w:rFonts w:ascii="Times New Roman;serif" w:hAnsi="Times New Roman;serif"/>
                  <w:b w:val="false"/>
                  <w:color w:val="000080"/>
                  <w:sz w:val="20"/>
                  <w:u w:val="single"/>
                </w:rPr>
                <w:t>t</w:t>
              </w:r>
            </w:hyperlink>
            <w:hyperlink w:anchor="i24c5d1e6c5524ceb8c1951675e442d9a_28">
              <w:r>
                <w:rPr>
                  <w:rStyle w:val="InternetLink"/>
                  <w:rFonts w:ascii="Times New Roman;serif" w:hAnsi="Times New Roman;serif"/>
                  <w:b w:val="false"/>
                  <w:color w:val="000080"/>
                  <w:sz w:val="20"/>
                  <w:u w:val="single"/>
                </w:rPr>
                <w:t>hree</w:t>
              </w:r>
            </w:hyperlink>
            <w:hyperlink w:anchor="i24c5d1e6c5524ceb8c1951675e442d9a_28">
              <w:r>
                <w:rPr>
                  <w:rStyle w:val="InternetLink"/>
                  <w:rFonts w:ascii="Times New Roman;serif" w:hAnsi="Times New Roman;serif"/>
                  <w:b w:val="false"/>
                  <w:color w:val="000080"/>
                  <w:sz w:val="20"/>
                  <w:u w:val="single"/>
                </w:rPr>
                <w:t xml:space="preserve"> months ended </w:t>
              </w:r>
            </w:hyperlink>
            <w:hyperlink w:anchor="i24c5d1e6c5524ceb8c1951675e442d9a_28">
              <w:r>
                <w:rPr>
                  <w:rStyle w:val="InternetLink"/>
                  <w:rFonts w:ascii="Times New Roman;serif" w:hAnsi="Times New Roman;serif"/>
                  <w:b w:val="false"/>
                  <w:color w:val="000080"/>
                  <w:sz w:val="20"/>
                  <w:u w:val="single"/>
                </w:rPr>
                <w:t>September</w:t>
              </w:r>
            </w:hyperlink>
            <w:hyperlink w:anchor="i24c5d1e6c5524ceb8c1951675e442d9a_28">
              <w:r>
                <w:rPr>
                  <w:rStyle w:val="InternetLink"/>
                  <w:rFonts w:ascii="Times New Roman;serif" w:hAnsi="Times New Roman;serif"/>
                  <w:b w:val="false"/>
                  <w:color w:val="000080"/>
                  <w:sz w:val="20"/>
                  <w:u w:val="single"/>
                </w:rPr>
                <w:t xml:space="preserve"> 3</w:t>
              </w:r>
            </w:hyperlink>
            <w:hyperlink w:anchor="i24c5d1e6c5524ceb8c1951675e442d9a_28">
              <w:r>
                <w:rPr>
                  <w:rStyle w:val="InternetLink"/>
                  <w:rFonts w:ascii="Times New Roman;serif" w:hAnsi="Times New Roman;serif"/>
                  <w:b w:val="false"/>
                  <w:color w:val="000080"/>
                  <w:sz w:val="20"/>
                  <w:u w:val="single"/>
                </w:rPr>
                <w:t>0</w:t>
              </w:r>
            </w:hyperlink>
            <w:hyperlink w:anchor="i24c5d1e6c5524ceb8c1951675e442d9a_28">
              <w:r>
                <w:rPr>
                  <w:rStyle w:val="InternetLink"/>
                  <w:rFonts w:ascii="Times New Roman;serif" w:hAnsi="Times New Roman;serif"/>
                  <w:b w:val="false"/>
                  <w:color w:val="000080"/>
                  <w:sz w:val="20"/>
                  <w:u w:val="single"/>
                </w:rPr>
                <w:t>, 2025 and 2024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28">
              <w:r>
                <w:rPr>
                  <w:rStyle w:val="InternetLink"/>
                  <w:rFonts w:ascii="Times New Roman;serif" w:hAnsi="Times New Roman;serif"/>
                  <w:b w:val="false"/>
                  <w:strike w:val="false"/>
                  <w:dstrike w:val="false"/>
                  <w:color w:val="000000"/>
                  <w:sz w:val="20"/>
                  <w:u w:val="none"/>
                  <w:effect w:val="none"/>
                </w:rPr>
                <w:t>9</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31">
              <w:r>
                <w:rPr>
                  <w:rStyle w:val="InternetLink"/>
                  <w:rFonts w:ascii="Times New Roman;serif" w:hAnsi="Times New Roman;serif"/>
                  <w:b w:val="false"/>
                  <w:color w:val="000080"/>
                  <w:sz w:val="20"/>
                  <w:u w:val="single"/>
                </w:rPr>
                <w:t xml:space="preserve">Notes to Condensed Consolidated Financial Statements as of </w:t>
              </w:r>
            </w:hyperlink>
            <w:hyperlink w:anchor="i24c5d1e6c5524ceb8c1951675e442d9a_31">
              <w:r>
                <w:rPr>
                  <w:rStyle w:val="InternetLink"/>
                  <w:rFonts w:ascii="Times New Roman;serif" w:hAnsi="Times New Roman;serif"/>
                  <w:b w:val="false"/>
                  <w:color w:val="000080"/>
                  <w:sz w:val="20"/>
                  <w:u w:val="single"/>
                </w:rPr>
                <w:t>September</w:t>
              </w:r>
            </w:hyperlink>
            <w:hyperlink w:anchor="i24c5d1e6c5524ceb8c1951675e442d9a_31">
              <w:r>
                <w:rPr>
                  <w:rStyle w:val="InternetLink"/>
                  <w:rFonts w:ascii="Times New Roman;serif" w:hAnsi="Times New Roman;serif"/>
                  <w:b w:val="false"/>
                  <w:color w:val="000080"/>
                  <w:sz w:val="20"/>
                  <w:u w:val="single"/>
                </w:rPr>
                <w:t xml:space="preserve"> 3</w:t>
              </w:r>
            </w:hyperlink>
            <w:hyperlink w:anchor="i24c5d1e6c5524ceb8c1951675e442d9a_31">
              <w:r>
                <w:rPr>
                  <w:rStyle w:val="InternetLink"/>
                  <w:rFonts w:ascii="Times New Roman;serif" w:hAnsi="Times New Roman;serif"/>
                  <w:b w:val="false"/>
                  <w:color w:val="000080"/>
                  <w:sz w:val="20"/>
                  <w:u w:val="single"/>
                </w:rPr>
                <w:t>0</w:t>
              </w:r>
            </w:hyperlink>
            <w:hyperlink w:anchor="i24c5d1e6c5524ceb8c1951675e442d9a_31">
              <w:r>
                <w:rPr>
                  <w:rStyle w:val="InternetLink"/>
                  <w:rFonts w:ascii="Times New Roman;serif" w:hAnsi="Times New Roman;serif"/>
                  <w:b w:val="false"/>
                  <w:color w:val="000080"/>
                  <w:sz w:val="20"/>
                  <w:u w:val="single"/>
                </w:rPr>
                <w:t>, 2025 (Unaudited)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31">
              <w:r>
                <w:rPr>
                  <w:rStyle w:val="InternetLink"/>
                  <w:rFonts w:ascii="Times New Roman;serif" w:hAnsi="Times New Roman;serif"/>
                  <w:b w:val="false"/>
                  <w:strike w:val="false"/>
                  <w:dstrike w:val="false"/>
                  <w:color w:val="000000"/>
                  <w:sz w:val="20"/>
                  <w:u w:val="none"/>
                  <w:effect w:val="none"/>
                </w:rPr>
                <w:t>11</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88">
              <w:r>
                <w:rPr>
                  <w:rStyle w:val="InternetLink"/>
                  <w:rFonts w:ascii="Times New Roman;serif" w:hAnsi="Times New Roman;serif"/>
                  <w:b w:val="false"/>
                  <w:color w:val="0000FF"/>
                  <w:sz w:val="20"/>
                  <w:u w:val="single"/>
                </w:rPr>
                <w:t>Item 2.</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88">
              <w:r>
                <w:rPr>
                  <w:rStyle w:val="InternetLink"/>
                  <w:rFonts w:ascii="Times New Roman;serif" w:hAnsi="Times New Roman;serif"/>
                  <w:b w:val="false"/>
                  <w:strike w:val="false"/>
                  <w:dstrike w:val="false"/>
                  <w:color w:val="000000"/>
                  <w:sz w:val="20"/>
                  <w:u w:val="none"/>
                  <w:effect w:val="none"/>
                </w:rPr>
                <w:t>28</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15">
              <w:r>
                <w:rPr>
                  <w:rStyle w:val="InternetLink"/>
                  <w:rFonts w:ascii="Times New Roman;serif" w:hAnsi="Times New Roman;serif"/>
                  <w:b w:val="false"/>
                  <w:color w:val="0000FF"/>
                  <w:sz w:val="20"/>
                  <w:u w:val="single"/>
                </w:rPr>
                <w:t>Item 3.</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15">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15">
              <w:r>
                <w:rPr>
                  <w:rStyle w:val="InternetLink"/>
                  <w:rFonts w:ascii="Times New Roman;serif" w:hAnsi="Times New Roman;serif"/>
                  <w:b w:val="false"/>
                  <w:strike w:val="false"/>
                  <w:dstrike w:val="false"/>
                  <w:color w:val="000000"/>
                  <w:sz w:val="20"/>
                  <w:u w:val="none"/>
                  <w:effect w:val="none"/>
                </w:rPr>
                <w:t>41</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18">
              <w:r>
                <w:rPr>
                  <w:rStyle w:val="InternetLink"/>
                  <w:rFonts w:ascii="Times New Roman;serif" w:hAnsi="Times New Roman;serif"/>
                  <w:b w:val="false"/>
                  <w:color w:val="0000FF"/>
                  <w:sz w:val="20"/>
                  <w:u w:val="single"/>
                </w:rPr>
                <w:t>Item 4.</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18">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18">
              <w:r>
                <w:rPr>
                  <w:rStyle w:val="InternetLink"/>
                  <w:rFonts w:ascii="Times New Roman;serif" w:hAnsi="Times New Roman;serif"/>
                  <w:b w:val="false"/>
                  <w:strike w:val="false"/>
                  <w:dstrike w:val="false"/>
                  <w:color w:val="000000"/>
                  <w:sz w:val="20"/>
                  <w:u w:val="none"/>
                  <w:effect w:val="none"/>
                </w:rPr>
                <w:t>41</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1">
              <w:r>
                <w:rPr>
                  <w:rStyle w:val="InternetLink"/>
                  <w:rFonts w:ascii="Times New Roman;serif" w:hAnsi="Times New Roman;serif"/>
                  <w:b/>
                  <w:color w:val="0000FF"/>
                  <w:sz w:val="20"/>
                  <w:u w:val="single"/>
                </w:rPr>
                <w:t>Part II</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1">
              <w:r>
                <w:rPr>
                  <w:rStyle w:val="InternetLink"/>
                  <w:rFonts w:ascii="Times New Roman;serif" w:hAnsi="Times New Roman;serif"/>
                  <w:b/>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21">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4">
              <w:r>
                <w:rPr>
                  <w:rStyle w:val="InternetLink"/>
                  <w:rFonts w:ascii="Times New Roman;serif" w:hAnsi="Times New Roman;serif"/>
                  <w:b w:val="false"/>
                  <w:color w:val="0000FF"/>
                  <w:sz w:val="20"/>
                  <w:u w:val="single"/>
                </w:rPr>
                <w:t>Item 1.</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4">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24">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7">
              <w:r>
                <w:rPr>
                  <w:rStyle w:val="InternetLink"/>
                  <w:rFonts w:ascii="Times New Roman;serif" w:hAnsi="Times New Roman;serif"/>
                  <w:b w:val="false"/>
                  <w:color w:val="0000FF"/>
                  <w:sz w:val="20"/>
                  <w:u w:val="single"/>
                </w:rPr>
                <w:t>Item 1A.</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27">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27">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0">
              <w:r>
                <w:rPr>
                  <w:rStyle w:val="InternetLink"/>
                  <w:rFonts w:ascii="Times New Roman;serif" w:hAnsi="Times New Roman;serif"/>
                  <w:b w:val="false"/>
                  <w:color w:val="0000FF"/>
                  <w:sz w:val="20"/>
                  <w:u w:val="single"/>
                </w:rPr>
                <w:t>Item 2.</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0">
              <w:r>
                <w:rPr>
                  <w:rStyle w:val="InternetLink"/>
                  <w:rFonts w:ascii="Times New Roman;serif" w:hAnsi="Times New Roman;serif"/>
                  <w:b w:val="false"/>
                  <w:color w:val="0000FF"/>
                  <w:sz w:val="20"/>
                  <w:u w:val="single"/>
                </w:rPr>
                <w:t>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30">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3">
              <w:r>
                <w:rPr>
                  <w:rStyle w:val="InternetLink"/>
                  <w:rFonts w:ascii="Times New Roman;serif" w:hAnsi="Times New Roman;serif"/>
                  <w:b w:val="false"/>
                  <w:color w:val="0000FF"/>
                  <w:sz w:val="20"/>
                  <w:u w:val="single"/>
                </w:rPr>
                <w:t>Item 3.</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3">
              <w:r>
                <w:rPr>
                  <w:rStyle w:val="InternetLink"/>
                  <w:rFonts w:ascii="Times New Roman;serif" w:hAnsi="Times New Roman;serif"/>
                  <w:b w:val="false"/>
                  <w:color w:val="0000FF"/>
                  <w:sz w:val="20"/>
                  <w:u w:val="single"/>
                </w:rPr>
                <w:t>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33">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6">
              <w:r>
                <w:rPr>
                  <w:rStyle w:val="InternetLink"/>
                  <w:rFonts w:ascii="Times New Roman;serif" w:hAnsi="Times New Roman;serif"/>
                  <w:b w:val="false"/>
                  <w:color w:val="0000FF"/>
                  <w:sz w:val="20"/>
                  <w:u w:val="single"/>
                </w:rPr>
                <w:t>Item 4.</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6">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36">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9">
              <w:r>
                <w:rPr>
                  <w:rStyle w:val="InternetLink"/>
                  <w:rFonts w:ascii="Times New Roman;serif" w:hAnsi="Times New Roman;serif"/>
                  <w:b w:val="false"/>
                  <w:color w:val="0000FF"/>
                  <w:sz w:val="20"/>
                  <w:u w:val="single"/>
                </w:rPr>
                <w:t>Item 5.</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39">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39">
              <w:r>
                <w:rPr>
                  <w:rStyle w:val="InternetLink"/>
                  <w:rFonts w:ascii="Times New Roman;serif" w:hAnsi="Times New Roman;serif"/>
                  <w:b w:val="false"/>
                  <w:strike w:val="false"/>
                  <w:dstrike w:val="false"/>
                  <w:color w:val="000000"/>
                  <w:sz w:val="20"/>
                  <w:u w:val="none"/>
                  <w:effect w:val="none"/>
                </w:rPr>
                <w:t>42</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42">
              <w:r>
                <w:rPr>
                  <w:rStyle w:val="InternetLink"/>
                  <w:rFonts w:ascii="Times New Roman;serif" w:hAnsi="Times New Roman;serif"/>
                  <w:b w:val="false"/>
                  <w:color w:val="0000FF"/>
                  <w:sz w:val="20"/>
                  <w:u w:val="single"/>
                </w:rPr>
                <w:t>Item 6.</w:t>
              </w:r>
            </w:hyperlink>
          </w:p>
        </w:tc>
        <w:tc>
          <w:tcPr>
            <w:tcW w:w="8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42">
              <w:r>
                <w:rPr>
                  <w:rStyle w:val="InternetLink"/>
                  <w:rFonts w:ascii="Times New Roman;serif" w:hAnsi="Times New Roman;serif"/>
                  <w:b w:val="false"/>
                  <w:color w:val="0000FF"/>
                  <w:sz w:val="20"/>
                  <w:u w:val="single"/>
                </w:rPr>
                <w:t>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42">
              <w:r>
                <w:rPr>
                  <w:rStyle w:val="InternetLink"/>
                  <w:rFonts w:ascii="Times New Roman;serif" w:hAnsi="Times New Roman;serif"/>
                  <w:b w:val="false"/>
                  <w:strike w:val="false"/>
                  <w:dstrike w:val="false"/>
                  <w:color w:val="000000"/>
                  <w:sz w:val="20"/>
                  <w:u w:val="none"/>
                  <w:effect w:val="none"/>
                </w:rPr>
                <w:t>43</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45">
              <w:r>
                <w:rPr>
                  <w:rStyle w:val="InternetLink"/>
                  <w:rFonts w:ascii="Times New Roman;serif" w:hAnsi="Times New Roman;serif"/>
                  <w:b w:val="false"/>
                  <w:color w:val="0000FF"/>
                  <w:sz w:val="20"/>
                  <w:u w:val="single"/>
                </w:rPr>
                <w:t>Exhibit Index</w:t>
              </w:r>
            </w:hyperlink>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45">
              <w:r>
                <w:rPr>
                  <w:rStyle w:val="InternetLink"/>
                  <w:rFonts w:ascii="Times New Roman;serif" w:hAnsi="Times New Roman;serif"/>
                  <w:b w:val="false"/>
                  <w:strike w:val="false"/>
                  <w:dstrike w:val="false"/>
                  <w:color w:val="000000"/>
                  <w:sz w:val="20"/>
                  <w:u w:val="none"/>
                  <w:effect w:val="none"/>
                </w:rPr>
                <w:t>43</w:t>
              </w:r>
            </w:hyperlink>
          </w:p>
        </w:tc>
      </w:tr>
      <w:tr>
        <w:trPr/>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4c5d1e6c5524ceb8c1951675e442d9a_148">
              <w:r>
                <w:rPr>
                  <w:rStyle w:val="InternetLink"/>
                  <w:rFonts w:ascii="Times New Roman;serif" w:hAnsi="Times New Roman;serif"/>
                  <w:b w:val="false"/>
                  <w:color w:val="0000FF"/>
                  <w:sz w:val="20"/>
                  <w:u w:val="single"/>
                </w:rPr>
                <w:t>Signatures</w:t>
              </w:r>
            </w:hyperlink>
          </w:p>
        </w:tc>
        <w:tc>
          <w:tcPr>
            <w:tcW w:w="8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5d1e6c5524ceb8c1951675e442d9a_148">
              <w:r>
                <w:rPr>
                  <w:rStyle w:val="InternetLink"/>
                  <w:rFonts w:ascii="Times New Roman;serif" w:hAnsi="Times New Roman;serif"/>
                  <w:b w:val="false"/>
                  <w:strike w:val="false"/>
                  <w:dstrike w:val="false"/>
                  <w:color w:val="000000"/>
                  <w:sz w:val="20"/>
                  <w:u w:val="none"/>
                  <w:effect w:val="none"/>
                </w:rPr>
                <w:t>45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240" w:after="283"/>
        <w:jc w:val="center"/>
        <w:rPr>
          <w:rFonts w:ascii="Times New Roman;serif" w:hAnsi="Times New Roman;serif"/>
          <w:b/>
          <w:i/>
          <w:color w:val="000000"/>
          <w:sz w:val="20"/>
        </w:rPr>
      </w:pPr>
      <w:r>
        <w:rPr>
          <w:rFonts w:ascii="Times New Roman;serif" w:hAnsi="Times New Roman;serif"/>
          <w:b/>
          <w:i/>
          <w:color w:val="000000"/>
          <w:sz w:val="20"/>
        </w:rPr>
        <w:t>Cautionary Note on Forward-Looking Statements</w:t>
      </w:r>
    </w:p>
    <w:p>
      <w:pPr>
        <w:pStyle w:val="TextBody"/>
        <w:bidi w:val="0"/>
        <w:spacing w:lineRule="auto" w:line="276" w:before="0" w:after="0"/>
        <w:jc w:val="both"/>
        <w:rPr/>
      </w:pPr>
      <w:r>
        <w:rPr>
          <w:rFonts w:ascii="Times New Roman;serif" w:hAnsi="Times New Roman;serif"/>
          <w:b w:val="false"/>
          <w:color w:val="212529"/>
          <w:sz w:val="20"/>
        </w:rPr>
        <w:t>Throughout this Quarterly Report on Form 10-Q, we make “forward-looking statements” within the meaning of the U.S. Private Securities Litigation Reform Act of</w:t>
      </w:r>
      <w:r>
        <w:rPr>
          <w:color w:val="000000"/>
        </w:rPr>
        <w:t xml:space="preserve"> </w:t>
      </w:r>
      <w:r>
        <w:rPr>
          <w:rFonts w:ascii="Times New Roman;serif" w:hAnsi="Times New Roman;serif"/>
          <w:b w:val="false"/>
          <w:color w:val="000000"/>
          <w:sz w:val="20"/>
        </w:rPr>
        <w:t xml:space="preserve">1995, Section 27A of the Securities Act of 1933, as amended (the “Securities Act”) and Section 21E of the Securities Exchange Act of 1934, as amended (the “Exchange Act”). This Quarterly Report contains forward-looking statements that are subject to risks and uncertainties.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our estimated and projected costs, expenditures, cash flows, growth rates and financial results, our plans and objectives for future operations, growth opportunities or initiatives, strategies, the expected outcome or impact of pending or threatened litigation or the expected impact of government policies and the macroeconomic environment are forward-looking statements. All forward-looking statements are subject to risks and uncertainties that may cause actual results to differ materially from those that we expected, including: </w:t>
      </w:r>
    </w:p>
    <w:p>
      <w:pPr>
        <w:pStyle w:val="TextBody"/>
        <w:bidi w:val="0"/>
        <w:spacing w:before="240" w:after="283"/>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viability of our growth strategy, including our ability to find suitable geographies for new centers and obtain licenses to open such centers (including in Downey and Bakersfield, California), our ability to ramp up our de novo centers (including in Florida), and the outcome of our organizational and enterprise efficiency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successfully complete and integrate acquisitions, joint ventures and strategic partnerships;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new participants and retain existing participants to implement our growth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from ongoing macroeconomic related challenges, including labor shortages, labor competition, inflation, tariffs and trade disputes, and the effects of a prolonged government shutdown;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results of periodic inspections, reviews, audits and investigations under the federal and state government programs, and our ability to sufficiently cure any deficiencies identified by the respective federal and state government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adverse impact of legal proceedings, enforcement actions and litigation and disputes, including the current civil investigative demands initiated by federal and state agencies, as well as the litigation and other proceedings initiated by, or on behalf, of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the cost of providing services will exceed our compensation under the Program of All Inclusive Care for the Elderly (“PACE”);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increased costs and expenditures and our inability to execute or realize the benefits of our clinical and operational value initiatives;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dependence of our revenues and operations upon a limited number of government payors, including the risk of sudden loss of any of our government contracts;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 that our submissions to government payors may contain inaccurate or unsupportable information, including regarding risk adjustment scores of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impact of state and federal efforts to reduce healthcare spending;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concentration of a significant percentage of our operations in the State of Colorado;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compete in the healthcare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difficulty to predict our future operating results, which could cause such results to fall below any guidance, targets or goals we provide;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dependence on our senior management team and other key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failures by our suppliers to meet our needs, or limitations on our ability to effectively access new technology or medical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manage our operations effectively, execute our business plan, maintain effective levels of service and participant satisfaction and adequately address competitive challenges;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of security breaches, loss of data or other disruptions, including disruptions in our disaster recovery systems, causing the compromise of sensitive information or preventing us from accessing critical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accurately estimate incurred but not reported medical expense or the risk scores of our participants;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on our business of the termination of our leases, increases in rent or inability to renew or extend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and other privacy laws and regulations in the healthcare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status as a “controlled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volatility of our stock price;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comply with the continued listing requirements of Nasdaq;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factors disclosed in the section entitled “Risk Factors” in our Annual Report for the year ended June 30, 2025 filed with the Securities and Exchange Commission (the “SEC”) on September 9, 2025 ("2025 10-K"), and our subsequent filings with the SEC.</w:t>
      </w:r>
    </w:p>
    <w:p>
      <w:pPr>
        <w:pStyle w:val="TextBody"/>
        <w:bidi w:val="0"/>
        <w:spacing w:lineRule="auto" w:line="288" w:before="240" w:after="283"/>
        <w:jc w:val="both"/>
        <w:rPr>
          <w:rFonts w:ascii="Times New Roman;serif" w:hAnsi="Times New Roman;serif"/>
          <w:b w:val="false"/>
          <w:color w:val="212529"/>
          <w:sz w:val="20"/>
        </w:rPr>
      </w:pPr>
      <w:r>
        <w:rPr>
          <w:rFonts w:ascii="Times New Roman;serif" w:hAnsi="Times New Roman;serif"/>
          <w:b w:val="false"/>
          <w:color w:val="212529"/>
          <w:sz w:val="20"/>
        </w:rPr>
        <w:t xml:space="preserve">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 </w:t>
      </w:r>
    </w:p>
    <w:p>
      <w:pPr>
        <w:pStyle w:val="TextBody"/>
        <w:bidi w:val="0"/>
        <w:spacing w:lineRule="auto" w:line="288" w:before="240" w:after="283"/>
        <w:jc w:val="both"/>
        <w:rPr>
          <w:rFonts w:ascii="Times New Roman;serif" w:hAnsi="Times New Roman;serif"/>
          <w:b w:val="false"/>
          <w:color w:val="212529"/>
          <w:sz w:val="20"/>
        </w:rPr>
      </w:pPr>
      <w:r>
        <w:rPr>
          <w:rFonts w:ascii="Times New Roman;serif" w:hAnsi="Times New Roman;serif"/>
          <w:b w:val="false"/>
          <w:color w:val="212529"/>
          <w:sz w:val="20"/>
        </w:rPr>
        <w:t>Unless otherwise specified or unless the context requires otherwise, all references in this Quarterly Report on Form 10-Q to “InnovAge,” “the Company,” “we,” “us,” and “our,” or similar references, refer to InnovAge Holding Corp. and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989"/>
        <w:gridCol w:w="2409"/>
        <w:gridCol w:w="2439"/>
        <w:gridCol w:w="204"/>
        <w:gridCol w:w="730"/>
        <w:gridCol w:w="122"/>
        <w:gridCol w:w="109"/>
        <w:gridCol w:w="109"/>
        <w:gridCol w:w="109"/>
        <w:gridCol w:w="181"/>
        <w:gridCol w:w="646"/>
        <w:gridCol w:w="158"/>
      </w:tblGrid>
      <w:tr>
        <w:trPr/>
        <w:tc>
          <w:tcPr>
            <w:tcW w:w="2989"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67,146 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64,129 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Short-term investments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42,272 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41,775 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Restricted cash</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23,174 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Prepaid expenses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25,785 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Income tax receivable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3,310 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Assets held for sale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161,698 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176,108 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Noncurrent Assets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166,276 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168,044 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assets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25,841 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26,901 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Deposits and other</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142,046 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142,046 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intangible assets,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3,877 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noncurrent assets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348,536 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350,743 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510,234 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526,851 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Liabilities and Stockholders' Equity</w:t>
            </w:r>
          </w:p>
        </w:tc>
        <w:tc>
          <w:tcPr>
            <w:tcW w:w="1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expenses</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50,798 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76,750 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Reported and estimated claims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58,603 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Due to Medicaid and Medicare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16,291 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14,382 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long-term debt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3,004 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finance lease obligations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5,067 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5,234 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Current portion of operating lease obligations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Liabilities held for sale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2,538 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138,489 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164,807 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Noncurrent Liabilities</w:t>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 liability, net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8,761 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obligations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6,306 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obligations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22,819 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23,918 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noncurrent liabilities</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debt, net of debt issuance costs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56,153 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57,464 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234,468 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263,943 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Commitments and Contingencies (See Note 9)</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Redeemable Noncontrolling Interests (See Note 4)</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25,937 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25,010 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Common stock, $0.001 par value; 500,000,000 authorized as of September 30, 2025 and June 30, 2025; 137,144,410 issued and 135,681,431 outstanding as of September 30, 2025 and 136,903,271 issued and 135,440,292 outstanding as of June 30, 2025</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Treasury stock at cost, 1,462,979 shares as of September 30, 2025 and June 30, 2025</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5"/>
              </w:rPr>
            </w:pPr>
            <w:r>
              <w:rPr>
                <w:rFonts w:ascii="Times New Roman;serif" w:hAnsi="Times New Roman;serif"/>
                <w:b w:val="false"/>
                <w:color w:val="000000"/>
                <w:sz w:val="15"/>
              </w:rPr>
              <w:t>(7,500)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Additional paid-in capital</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345,367 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343,378 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Retained deficit</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(93,028)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(101,047)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Total InnovAge Holding Corp. </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244,976 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234,968 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interests</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stockholders’ equity</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249,829 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237,898 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liabilities and stockholders’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510,234 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526,851 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number of shares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92" w:type="dxa"/>
        <w:jc w:val="left"/>
        <w:tblInd w:w="0" w:type="dxa"/>
        <w:tblLayout w:type="fixed"/>
        <w:tblCellMar>
          <w:top w:w="28" w:type="dxa"/>
          <w:left w:w="28" w:type="dxa"/>
          <w:bottom w:w="28" w:type="dxa"/>
          <w:right w:w="28" w:type="dxa"/>
        </w:tblCellMar>
      </w:tblPr>
      <w:tblGrid>
        <w:gridCol w:w="2076"/>
        <w:gridCol w:w="1816"/>
        <w:gridCol w:w="1838"/>
        <w:gridCol w:w="216"/>
        <w:gridCol w:w="847"/>
        <w:gridCol w:w="111"/>
        <w:gridCol w:w="111"/>
        <w:gridCol w:w="111"/>
        <w:gridCol w:w="111"/>
        <w:gridCol w:w="216"/>
        <w:gridCol w:w="847"/>
        <w:gridCol w:w="111"/>
        <w:gridCol w:w="109"/>
        <w:gridCol w:w="109"/>
        <w:gridCol w:w="109"/>
        <w:gridCol w:w="154"/>
      </w:tblGrid>
      <w:tr>
        <w:trPr/>
        <w:tc>
          <w:tcPr>
            <w:tcW w:w="207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236,105 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227,816 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Provision for Income Taxes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w:t>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InnovAge Holding Corp.</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basic</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135,592,487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135,769,835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number of common shares outstanding - diluted</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136,760,874</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135,769,835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 basic</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 - diluted</w:t>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4160" w:type="dxa"/>
        <w:jc w:val="left"/>
        <w:tblInd w:w="0" w:type="dxa"/>
        <w:tblLayout w:type="fixed"/>
        <w:tblCellMar>
          <w:top w:w="28" w:type="dxa"/>
          <w:left w:w="28" w:type="dxa"/>
          <w:bottom w:w="28" w:type="dxa"/>
          <w:right w:w="28" w:type="dxa"/>
        </w:tblCellMar>
      </w:tblPr>
      <w:tblGrid>
        <w:gridCol w:w="573"/>
        <w:gridCol w:w="253"/>
        <w:gridCol w:w="255"/>
        <w:gridCol w:w="375"/>
        <w:gridCol w:w="376"/>
        <w:gridCol w:w="338"/>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368"/>
        <w:gridCol w:w="368"/>
        <w:gridCol w:w="278"/>
        <w:gridCol w:w="109"/>
        <w:gridCol w:w="109"/>
        <w:gridCol w:w="109"/>
        <w:gridCol w:w="196"/>
        <w:gridCol w:w="571"/>
        <w:gridCol w:w="109"/>
        <w:gridCol w:w="109"/>
        <w:gridCol w:w="109"/>
        <w:gridCol w:w="109"/>
        <w:gridCol w:w="273"/>
        <w:gridCol w:w="775"/>
        <w:gridCol w:w="153"/>
        <w:gridCol w:w="109"/>
        <w:gridCol w:w="109"/>
        <w:gridCol w:w="109"/>
        <w:gridCol w:w="203"/>
        <w:gridCol w:w="764"/>
        <w:gridCol w:w="114"/>
        <w:gridCol w:w="109"/>
        <w:gridCol w:w="109"/>
        <w:gridCol w:w="109"/>
        <w:gridCol w:w="247"/>
        <w:gridCol w:w="815"/>
        <w:gridCol w:w="139"/>
        <w:gridCol w:w="109"/>
        <w:gridCol w:w="109"/>
        <w:gridCol w:w="109"/>
        <w:gridCol w:w="292"/>
        <w:gridCol w:w="279"/>
        <w:gridCol w:w="280"/>
      </w:tblGrid>
      <w:tr>
        <w:trPr/>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w:t>
              <w:br/>
              <w:t>Noncontrolling Interests</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2025</w:t>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135,440,292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237,898 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25,010 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331,599 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(90,460)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joint venture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September 30, 2025</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135,681,431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(93,028)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4,853 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249,829 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25,937 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9" w:type="dxa"/>
            <w:gridSpan w:val="57"/>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1990" w:type="dxa"/>
            <w:gridSpan w:val="54"/>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706"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114" w:type="dxa"/>
            <w:gridSpan w:val="18"/>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 2024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Permanent</w:t>
              <w:br/>
              <w:t xml:space="preserve">Stockholders' Equity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Redeemable </w:t>
              <w:br/>
              <w:t xml:space="preserve">Noncontrolling Interests </w:t>
              <w:br/>
              <w:t>(Temporary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Income</w:t>
              <w:br/>
              <w:t>(Loss)</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June 30, 2024</w:t>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136,116,299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277,608 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(118,407)</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repurchased at cost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800,813 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September 30, 2024</w:t>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135,538,698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837,372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269,053 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1990" w:type="dxa"/>
            <w:gridSpan w:val="54"/>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2706"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4114" w:type="dxa"/>
            <w:gridSpan w:val="18"/>
            <w:tcBorders/>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INNOVAGE HOLDING CORP.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648"/>
        <w:gridCol w:w="2231"/>
        <w:gridCol w:w="2248"/>
        <w:gridCol w:w="264"/>
        <w:gridCol w:w="875"/>
        <w:gridCol w:w="146"/>
        <w:gridCol w:w="146"/>
        <w:gridCol w:w="146"/>
        <w:gridCol w:w="146"/>
        <w:gridCol w:w="264"/>
        <w:gridCol w:w="875"/>
        <w:gridCol w:w="216"/>
      </w:tblGrid>
      <w:tr>
        <w:trPr/>
        <w:tc>
          <w:tcPr>
            <w:tcW w:w="2648"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disposal of assets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uncollectible accounts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rentals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assets held for sale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and other</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Reported and estimated claims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Due to Medicaid and Medicare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operating activities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(7,516)</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 held for sale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2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finance lease obligations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long-term debt</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issuance of long-term debt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financing costs</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equity securities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joint venture partner</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settlements of stock-based compensation awards</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(7,622)</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6"/>
              </w:rPr>
            </w:pPr>
            <w:r>
              <w:rPr>
                <w:rFonts w:ascii="Times New Roman;serif" w:hAnsi="Times New Roman;serif"/>
                <w:b/>
                <w:color w:val="000000"/>
                <w:sz w:val="16"/>
              </w:rPr>
              <w:t>Net change in cash, cash equivalents and restricted cash including cash of $0.08 million reclassified to assets held for sale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Less: change in cash and restricted cash reclassified to assets held for sale</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INCREASE (DECREASE) IN CASH, CASH EQUIVALENTS &amp; RESTRICTED CASH</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BEGINNING OF PERIOD</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56,960 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&amp; RESTRICTED CASH, END OF PERIOD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67,157 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39,032 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included in accounts payable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purchased under finance leases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INNOVAGE HOLDING CORP. AND SUBSIDIARIES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Notes to Condensed Consolidated Financial Statements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Holding Corp. and its subsidiaries (“InnovAge” or the "Company") are headquartered in Denver, Colorado. The purpose of the Company’s participant-centered care delivery approach is to improve the quality of care the Company’s participants receive, while keeping them in their homes for as long as safely possible. Through the Company’s Program of All-Inclusive Care for the Elderly (“PACE”), the Company fulfills a broad range of medical and ancillary services for seniors, including in-center services such as primary care, physical therapy, occupational therapy, speech therapy, dental services, mental health and psychiatric services, meals, and activities; transportation to and from the PACE center and third-party medical appointments; and care management, including pharmacy services. The Company manages its business as one reportable segment, PACE.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served approximately 7,890 PACE participants, making it the largest PACE provider in the United States of America (the “U.S.”) based upon participants served, and operated 20 PACE centers across California, Colorado, Florida, New Mexico, Pennsylvania and Virginia.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PACE is a fully-capitated managed care program, which serves the frail elderly, and predominantly dual-eligible, population in a community-based service model. The Company defines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Administration (“VA”), and private pay sources. Additionally, under the Medicare Prescription Drug Plan, the Centers for Medicare and Medicaid Services (“CMS”) share part of the risk for providing prescription medication to the Company’s participants.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common stock is traded on the Nasdaq Stock Market LLC under the ticker symbol “INNV”.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described its significant accounting policies in Note 2, “Summary of Significant Accounting Policies” of the Notes to Consolidated Financial Statements in its Annual Report on Form 10-K for the year ended June 30, 2025 (“2025 10-K”). There were no significant changes to those accounting policies during the three months ended September 30,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of Preparation and Principles of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2025. In the opinion of management, all adjustments (consisting of all normal and recurring adjustments) considered necessary for a fair presentation have been included. The condensed consolidated financial statements include the accounts of the Company, its wholly owned subsidiaries and variable interest entities (“VIEs”) for which it is the primary beneficiary and entities for which it is the controlling general partner. All intercompany accounts and transactions have been eliminated in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components of comprehensive income (loss) and comprehensive income (loss) is equal to net income (loss) reported in the statements of operations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were comprised of the following as of September 30, 2025 and June 30, 2025:</w:t>
      </w:r>
    </w:p>
    <w:tbl>
      <w:tblPr>
        <w:tblW w:w="8240" w:type="dxa"/>
        <w:jc w:val="left"/>
        <w:tblInd w:w="0" w:type="dxa"/>
        <w:tblLayout w:type="fixed"/>
        <w:tblCellMar>
          <w:top w:w="28" w:type="dxa"/>
          <w:left w:w="28" w:type="dxa"/>
          <w:bottom w:w="28" w:type="dxa"/>
          <w:right w:w="28" w:type="dxa"/>
        </w:tblCellMar>
      </w:tblPr>
      <w:tblGrid>
        <w:gridCol w:w="1488"/>
        <w:gridCol w:w="1308"/>
        <w:gridCol w:w="1314"/>
        <w:gridCol w:w="379"/>
        <w:gridCol w:w="379"/>
        <w:gridCol w:w="381"/>
        <w:gridCol w:w="109"/>
        <w:gridCol w:w="109"/>
        <w:gridCol w:w="109"/>
        <w:gridCol w:w="211"/>
        <w:gridCol w:w="826"/>
        <w:gridCol w:w="109"/>
        <w:gridCol w:w="109"/>
        <w:gridCol w:w="109"/>
        <w:gridCol w:w="109"/>
        <w:gridCol w:w="211"/>
        <w:gridCol w:w="82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10 - 40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vehicles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of $4.9 million and $5.2 million was recorded during the three months ended September 30, 2025 and 2024, respectively.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 foreign taxes, as well as the amount of income taxes paid by individual jurisdiction. For smaller reporting companies, such as the Company, ASU 2023-09 is effective for annual periods beginning after December 15, 2025. The Company plans to adopt ASU 2023-09 prospectively in the first quarter of fiscal 2027 and will include the required disclosures in the Company's annual consolidated financial statements.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Disaggregation of Income Statement Expenses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ASU 2024-03 requires that each interim and annual reporting period, an entity disclose more information about the components of certain expense captions that are currently disclosed in the financial statements. As revised by ASU 2025-01, </w:t>
      </w:r>
      <w:r>
        <w:rPr>
          <w:rFonts w:ascii="Times New Roman;serif" w:hAnsi="Times New Roman;serif"/>
          <w:b w:val="false"/>
          <w:i/>
          <w:color w:val="000000"/>
          <w:sz w:val="20"/>
        </w:rPr>
        <w:t>Income Statement-Reporting Comprehensive Income-Expense Disaggregation Disclosures</w:t>
      </w:r>
      <w:r>
        <w:rPr>
          <w:rFonts w:ascii="Times New Roman;serif" w:hAnsi="Times New Roman;serif"/>
          <w:b w:val="false"/>
          <w:color w:val="000000"/>
          <w:sz w:val="20"/>
        </w:rPr>
        <w:t xml:space="preserve">, the provisions of ASU 2024-03 are effective for annual reporting periods beginning after December 15, 2026, and interim periods within annual reporting periods beginning after December 15, 2027. Early adoption is permitted. The Company is currently evaluating the effects this guidance will have on its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expect that any other recently issued accounting guidance will have a significant effect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Revenue Recognition</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Under ASC 606, -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(iv) allocate the transaction price to the performance obligations in the contract; and (v) recognize revenue as the entity satisfies a performance obligation.</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Capitation Revenue and Accounts Receivable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capitation revenue relates to contracts with participants in which the Company's performance obligation is to provide healthcare services to the participants. Revenues are recorded during the period the Company's obligations to provide healthcare services are satisfied as noted below within each service type. The Company contracts directly with Medicare and Medicaid on a per member, per month (“PMPM”) basis. The Company receives 100% of the pooled capitated payment to directly provide or manage the healthcare needs of its participants.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over time as the Company provides comprehensive care to its participants.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revenues are based on the estimated PMPM amounts the Company expects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the Company's condensed consolidated balance sheets. These costs are amortized over a three-year period which corresponds to the average time a participant is enrolled in the PACE program. As of both September 30, 2025 and June 30, 2025, contract assets included within prepaid expenses and deposits and other were $2.2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capitation revenue from the following sources for the three months ended:</w:t>
      </w:r>
    </w:p>
    <w:tbl>
      <w:tblPr>
        <w:tblW w:w="3691" w:type="dxa"/>
        <w:jc w:val="left"/>
        <w:tblInd w:w="0" w:type="dxa"/>
        <w:tblLayout w:type="fixed"/>
        <w:tblCellMar>
          <w:top w:w="28" w:type="dxa"/>
          <w:left w:w="28" w:type="dxa"/>
          <w:bottom w:w="28" w:type="dxa"/>
          <w:right w:w="28" w:type="dxa"/>
        </w:tblCellMar>
      </w:tblPr>
      <w:tblGrid>
        <w:gridCol w:w="667"/>
        <w:gridCol w:w="588"/>
        <w:gridCol w:w="590"/>
        <w:gridCol w:w="232"/>
        <w:gridCol w:w="234"/>
        <w:gridCol w:w="271"/>
        <w:gridCol w:w="109"/>
        <w:gridCol w:w="109"/>
        <w:gridCol w:w="109"/>
        <w:gridCol w:w="232"/>
        <w:gridCol w:w="234"/>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pay and other</w:t>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the transaction price for these contracts is the amount the Company expects to be entitled to, which is the most likely amount. For certain capitation payments, the Company is subject to retroactive premium risk adjustment payments according to the Centers for Medicare and Medicaid Services ("CMS") risk adjustment payment timeline. Specifically, there is a midyear true up payment based on updated risk score calculations and a final true up payment to allow for complete diagnosis submission. The Company estimates the amount of the adjustment and records it monthly on a straight-line basis. These adjustments are not expected to be material.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capitation revenues are recognized based on the estimated PMPM transaction price to transfer the service for a distinct increment of the series (i.e. month). The Company recognizes revenue over time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provides prescription drug benefits in accordance with Medicare Part D. Monthly payments received from CMS and the participants represent the bid amount for providing prescription drug coverage. The portion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14%</w:t>
      </w:r>
      <w:r>
        <w:rPr>
          <w:color w:val="000000"/>
        </w:rPr>
        <w:t xml:space="preserve"> </w:t>
      </w:r>
      <w:r>
        <w:rPr>
          <w:rFonts w:ascii="Times New Roman;serif" w:hAnsi="Times New Roman;serif"/>
          <w:b w:val="false"/>
          <w:color w:val="000000"/>
          <w:sz w:val="20"/>
        </w:rPr>
        <w:t>and 13% of capitation revenues for the three months ended September 30, 2025 and 2024,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comprehensive healthcare services to participants on the basis of capitated or fixed fees per participant that are paid monthly by Medicare, Medicaid, the VA and private pay sources. The Company's accounts receivable as of September 30, 2025 and June 30, 2025 were primarily from capitation revenue arrangements. The concentration of net receivables from participants and third-party payers was as follows: </w:t>
      </w:r>
    </w:p>
    <w:tbl>
      <w:tblPr>
        <w:tblW w:w="4231" w:type="dxa"/>
        <w:jc w:val="left"/>
        <w:tblInd w:w="0" w:type="dxa"/>
        <w:tblLayout w:type="fixed"/>
        <w:tblCellMar>
          <w:top w:w="28" w:type="dxa"/>
          <w:left w:w="28" w:type="dxa"/>
          <w:bottom w:w="28" w:type="dxa"/>
          <w:right w:w="28" w:type="dxa"/>
        </w:tblCellMar>
      </w:tblPr>
      <w:tblGrid>
        <w:gridCol w:w="667"/>
        <w:gridCol w:w="588"/>
        <w:gridCol w:w="590"/>
        <w:gridCol w:w="254"/>
        <w:gridCol w:w="254"/>
        <w:gridCol w:w="632"/>
        <w:gridCol w:w="109"/>
        <w:gridCol w:w="109"/>
        <w:gridCol w:w="109"/>
        <w:gridCol w:w="232"/>
        <w:gridCol w:w="234"/>
        <w:gridCol w:w="453"/>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Medicaid</w:t>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Medicare</w:t>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pay and other</w:t>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accounts receivable at net realizable value based upon the estimated amounts the Company expects to be entitled to receive from Medicare, Medicaid, the VA and private pay sources. Estimated reimbursement amounts are adjusted in future periods as final settlements are determined.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Other Service Revenue and Accounts Receivable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service revenue primarily consists of revenues derived from state food grants and rent revenues. Accounts receivable related to other service revenue were not significant as of both September 30, 2025 and June 30,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Consolidated Entities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Controlling Interest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InnovAge Florida PACE – Orlando</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the Company entered into a joint venture agreement with Orlando Health (“OHI”) to develop and manage PACE centers to serve communities in Orlando, Florida. In connection with the joint venture, the Company contributed an aggregate of $26.1 million for its controlling membership interest of 90%. OHI contributed $2.9 million in cash for its 10% interest. As a result, the joint venture’s results are consolidated in the Company’s condensed consolidated financial statements.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InnovAge Florida PACE – Tampa</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15, 2025, the Company entered into a joint venture agreement with Tampa General Hospital to develop the Company’s PACE center serving the communities in Tampa, Florida. In connection with the joint venture, the Company contributed an aggregate of $28.8 million for its controlling interest of 90%. Tampa General Hospital contributed $3.2 million in cash for its 10% interest. As a result, the joint venture’s results will be consolidated in the Company’s consolidated financial statements from the JV agreement date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Senior Housing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operations included a 0.01% partnership interest in InnovAge Senior Housing Thornton, LLC (“SH1”), which was organized to develop, construct, own, maintain, and operate certain apartment complexes intended for rental to low-income elderly individuals aged 62 or older.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SH1 is a Variable Interest Entity ("VIE"). The Company was the primary beneficiary of SH1 and consolidated SH1 as it had the power to direct the activities that were most significant to SH1 and had an obligation to absorb losses or the right to receive benefits from SH1. The most significant activity of SH1 was the operation of the senior housing facility. The Company provided a subordinated loan to SH1 and provided a guarantee for a convertible term loan held by SH1.</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an agreement to sell the Company’s managing member interest in SH1 and vacant land adjacent to SH1 senior housing property. As a result, the Company reported the associated assets and liabilities as Assets held for sale and Liabilities held for sale in the Company’s consolidated balance sheets as of June 30, 2025. The Company recorded the Assets held for sale, net of Liabilities held for sale at the fair value, less cost to sell, and as a result recorded a $4.5 million loss on assets held for sale for the year ended June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11, 2025, the Company closed on the sale of the Company’s managing member interest in SH1 and the adjacent vacant land and recorded an additional loss on assets held for sale of $0.1 million.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Redeemable Noncontrolling Interest</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InnovAge Sacramento</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Adventist contributed $5.8 million in cash and Eskaton contributed $3.0 million in cash for membership interests of 26.4% and 13.7%, respectively. In fiscal year 2021, the Company made an additional contribution of $0.1 million and obtained an additional 0.1% membership interest in the joint venture, which resulted in the Company obtaining control and consolidating InnovAge Sacramento as of January 1, 2021.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of September 30, 2025, none of the conditions specified in the JV Agreement had been met. Accordingly, these put rights held by the noncontrolling interests of the joint venture are required to be presented as temporary equity and are recorded as redeemable noncontrolling interests on the Company's condensed consolidated balance sheets. As of September 30, 2025 and June 30, 2025, the Company's redeemable noncontrolling interest was recorded at a fair value of $25.9 million and $25.0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three levels of inputs that may be used to measure fair value are:</w:t>
      </w:r>
    </w:p>
    <w:p>
      <w:pPr>
        <w:pStyle w:val="TextBody"/>
        <w:bidi w:val="0"/>
        <w:spacing w:lineRule="auto" w:line="288" w:before="240" w:after="283"/>
        <w:ind w:left="0" w:right="0" w:hanging="900"/>
        <w:jc w:val="both"/>
        <w:rPr/>
      </w:pPr>
      <w:r>
        <w:rPr>
          <w:rFonts w:ascii="Times New Roman;serif" w:hAnsi="Times New Roman;serif"/>
          <w:b/>
          <w:color w:val="000000"/>
          <w:sz w:val="20"/>
        </w:rPr>
        <w:t>Level 1</w:t>
      </w:r>
      <w:r>
        <w:rPr>
          <w:rFonts w:ascii="Times New Roman;serif" w:hAnsi="Times New Roman;serif"/>
          <w:b w:val="false"/>
          <w:color w:val="000000"/>
          <w:sz w:val="20"/>
        </w:rPr>
        <w:t>Unadjusted quoted prices in active markets for identical assets or liabilities that the entity has the ability to access at the measurement date</w:t>
      </w:r>
    </w:p>
    <w:p>
      <w:pPr>
        <w:pStyle w:val="TextBody"/>
        <w:bidi w:val="0"/>
        <w:spacing w:lineRule="auto" w:line="288" w:before="240" w:after="283"/>
        <w:ind w:left="0" w:right="0" w:hanging="900"/>
        <w:jc w:val="both"/>
        <w:rPr/>
      </w:pPr>
      <w:r>
        <w:rPr>
          <w:rFonts w:ascii="Times New Roman;serif" w:hAnsi="Times New Roman;serif"/>
          <w:b/>
          <w:color w:val="000000"/>
          <w:sz w:val="20"/>
        </w:rPr>
        <w:t>Level 2</w:t>
      </w:r>
      <w:r>
        <w:rPr>
          <w:rFonts w:ascii="Times New Roman;serif" w:hAnsi="Times New Roman;serif"/>
          <w:b w:val="false"/>
          <w:color w:val="000000"/>
          <w:sz w:val="20"/>
        </w:rPr>
        <w:t>Quoted prices in markets that are not active or inputs that are observable, either directly or indirectly, for substantially the full term of the assets or liabilities</w:t>
      </w:r>
    </w:p>
    <w:p>
      <w:pPr>
        <w:pStyle w:val="TextBody"/>
        <w:bidi w:val="0"/>
        <w:spacing w:lineRule="auto" w:line="288" w:before="240" w:after="283"/>
        <w:ind w:left="0" w:right="0" w:hanging="900"/>
        <w:jc w:val="both"/>
        <w:rPr/>
      </w:pPr>
      <w:r>
        <w:rPr>
          <w:rFonts w:ascii="Times New Roman;serif" w:hAnsi="Times New Roman;serif"/>
          <w:b/>
          <w:color w:val="000000"/>
          <w:sz w:val="20"/>
        </w:rPr>
        <w:t>Level 3</w:t>
      </w:r>
      <w:r>
        <w:rPr>
          <w:rFonts w:ascii="Times New Roman;serif" w:hAnsi="Times New Roman;serif"/>
          <w:b w:val="false"/>
          <w:color w:val="000000"/>
          <w:sz w:val="20"/>
        </w:rPr>
        <w:t>Unobservable inputs to the valuation techniques that are significant to the fair value measurements of the assets or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Recurring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Company’s short-term investments that are measured and accounted for at fair value on a recurring basis as of September 30, 2025 and June 30, 2025:</w:t>
      </w:r>
    </w:p>
    <w:tbl>
      <w:tblPr>
        <w:tblW w:w="6746" w:type="dxa"/>
        <w:jc w:val="left"/>
        <w:tblInd w:w="0" w:type="dxa"/>
        <w:tblLayout w:type="fixed"/>
        <w:tblCellMar>
          <w:top w:w="28" w:type="dxa"/>
          <w:left w:w="28" w:type="dxa"/>
          <w:bottom w:w="28" w:type="dxa"/>
          <w:right w:w="28" w:type="dxa"/>
        </w:tblCellMar>
      </w:tblPr>
      <w:tblGrid>
        <w:gridCol w:w="440"/>
        <w:gridCol w:w="387"/>
        <w:gridCol w:w="388"/>
        <w:gridCol w:w="211"/>
        <w:gridCol w:w="721"/>
        <w:gridCol w:w="109"/>
        <w:gridCol w:w="109"/>
        <w:gridCol w:w="109"/>
        <w:gridCol w:w="109"/>
        <w:gridCol w:w="211"/>
        <w:gridCol w:w="721"/>
        <w:gridCol w:w="109"/>
        <w:gridCol w:w="109"/>
        <w:gridCol w:w="109"/>
        <w:gridCol w:w="109"/>
        <w:gridCol w:w="274"/>
        <w:gridCol w:w="529"/>
        <w:gridCol w:w="143"/>
        <w:gridCol w:w="109"/>
        <w:gridCol w:w="109"/>
        <w:gridCol w:w="109"/>
        <w:gridCol w:w="211"/>
        <w:gridCol w:w="721"/>
        <w:gridCol w:w="109"/>
        <w:gridCol w:w="109"/>
        <w:gridCol w:w="109"/>
        <w:gridCol w:w="109"/>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and </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and </w:t>
              <w:br/>
              <w:t>Cash</w:t>
              <w:br/>
              <w:t>Equivalents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w:t>
              <w:br/>
              <w:t>term</w:t>
              <w:br/>
              <w:t>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September 30, 2025 and June 30, 2025, the Company’s redeemable noncontrolling interest was recorded at fair value of $25.9 million and $25.0 million, respectively.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transfers in and out of Level 3 during the three months ended September 30, 2025 and 2024. The Company’s policy is to recognize transfers as of the actual date of the event or change in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Goodwill and Intangible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cost over the fair value of net assets acquired. The Company had goodwill of $142.0 million as of September 30, 2025 and June 30, 2025. Goodwill is not amortized.</w:t>
      </w:r>
    </w:p>
    <w:p>
      <w:pPr>
        <w:pStyle w:val="TextBody"/>
        <w:bidi w:val="0"/>
        <w:spacing w:lineRule="auto" w:line="288" w:before="240" w:after="283"/>
        <w:ind w:left="0" w:right="0" w:firstLine="360"/>
        <w:jc w:val="both"/>
        <w:rPr/>
      </w:pPr>
      <w:r>
        <w:rPr>
          <w:rFonts w:ascii="Times New Roman;serif" w:hAnsi="Times New Roman;serif"/>
          <w:b w:val="false"/>
          <w:color w:val="000000"/>
          <w:sz w:val="20"/>
        </w:rPr>
        <w:t>Pursuant to ASC 350, “</w:t>
      </w:r>
      <w:r>
        <w:rPr>
          <w:rFonts w:ascii="Times New Roman;serif" w:hAnsi="Times New Roman;serif"/>
          <w:b w:val="false"/>
          <w:i/>
          <w:color w:val="000000"/>
          <w:sz w:val="20"/>
        </w:rPr>
        <w:t>Intangibles – Goodwill and Other</w:t>
      </w:r>
      <w:r>
        <w:rPr>
          <w:rFonts w:ascii="Times New Roman;serif" w:hAnsi="Times New Roman;serif"/>
          <w:b w:val="false"/>
          <w:color w:val="000000"/>
          <w:sz w:val="20"/>
        </w:rPr>
        <w:t>,” the Company reviews the recoverability of goodwill annually as of April 1 or whenever significant events or changes occur which might impair the recovery of recorded amounts. For purposes of the annual goodwill impairment assessment, the Company identified two reporting units, East and West. There were no indicators of impairment identified and no goodwill impairment recorded during the three months ended September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 as of:</w:t>
      </w:r>
    </w:p>
    <w:tbl>
      <w:tblPr>
        <w:tblW w:w="5236" w:type="dxa"/>
        <w:jc w:val="left"/>
        <w:tblInd w:w="0" w:type="dxa"/>
        <w:tblLayout w:type="fixed"/>
        <w:tblCellMar>
          <w:top w:w="28" w:type="dxa"/>
          <w:left w:w="28" w:type="dxa"/>
          <w:bottom w:w="28" w:type="dxa"/>
          <w:right w:w="28" w:type="dxa"/>
        </w:tblCellMar>
      </w:tblPr>
      <w:tblGrid>
        <w:gridCol w:w="1009"/>
        <w:gridCol w:w="887"/>
        <w:gridCol w:w="893"/>
        <w:gridCol w:w="257"/>
        <w:gridCol w:w="750"/>
        <w:gridCol w:w="132"/>
        <w:gridCol w:w="109"/>
        <w:gridCol w:w="109"/>
        <w:gridCol w:w="109"/>
        <w:gridCol w:w="211"/>
        <w:gridCol w:w="616"/>
        <w:gridCol w:w="154"/>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Definite-lived intangible assets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 primarily of customer relationships acquired through business acquisitions. The Company recorded amortization expense of $0.2 million for each of the three months ended September 30, 2025 and 2024.</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The Company reviews the recoverability of other intangible assets in conjunction with long-lived assets whenever events or changes in circumstances indicate the carrying amount of such assets may not be recoverable. There were no intangible asset impairments recorded during the three months ended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Leasing Arrangements as Lessee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2025 through 2039. The Company determines if an arrangement is a lease upon commencement of the contract. If an arrangement is determined to be a long-term lease (greater than 12 months), the Company recognizes an ROU asset and lease liability based on the present value of the future minimum lease payments over the lease term at the commencement date. As most of the Company's leases do not provide an implicit rate, the Company uses its incremental borrowing rate based on the information available at commencement date in determining the present value of future payments. The Company's lease terms may also include options to extend or terminate the lease when it is reasonably certain that the Company will exercise those options. Lease expense for minimum lease payments is recognized on a straight-line basis over the lease term.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short-term lease exception for contracts that have a lease term of twelve months or less and do not include an option to purchase the underlying asset. Therefore, the Company does not recognize a ROU asset or lease liability for such contracts. The Company recognizes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ROU assets and their classification in the Company's condensed consolidated balance sheets as of:</w:t>
      </w:r>
    </w:p>
    <w:tbl>
      <w:tblPr>
        <w:tblW w:w="7667" w:type="dxa"/>
        <w:jc w:val="left"/>
        <w:tblInd w:w="0" w:type="dxa"/>
        <w:tblLayout w:type="fixed"/>
        <w:tblCellMar>
          <w:top w:w="28" w:type="dxa"/>
          <w:left w:w="28" w:type="dxa"/>
          <w:bottom w:w="28" w:type="dxa"/>
          <w:right w:w="28" w:type="dxa"/>
        </w:tblCellMar>
      </w:tblPr>
      <w:tblGrid>
        <w:gridCol w:w="962"/>
        <w:gridCol w:w="845"/>
        <w:gridCol w:w="848"/>
        <w:gridCol w:w="799"/>
        <w:gridCol w:w="799"/>
        <w:gridCol w:w="802"/>
        <w:gridCol w:w="243"/>
        <w:gridCol w:w="831"/>
        <w:gridCol w:w="125"/>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 of Lease Balances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Line Items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June 30, </w:t>
              <w:br/>
              <w:t>2025</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2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leased assets</w:t>
            </w:r>
          </w:p>
        </w:tc>
        <w:tc>
          <w:tcPr>
            <w:tcW w:w="2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Company's lease cost and the classification of such costs in the Company's condensed consolidated statements of operations for the three months ended September 30:</w:t>
      </w:r>
    </w:p>
    <w:tbl>
      <w:tblPr>
        <w:tblW w:w="10205" w:type="dxa"/>
        <w:jc w:val="left"/>
        <w:tblInd w:w="0" w:type="dxa"/>
        <w:tblLayout w:type="fixed"/>
        <w:tblCellMar>
          <w:top w:w="28" w:type="dxa"/>
          <w:left w:w="28" w:type="dxa"/>
          <w:bottom w:w="28" w:type="dxa"/>
          <w:right w:w="28" w:type="dxa"/>
        </w:tblCellMar>
      </w:tblPr>
      <w:tblGrid>
        <w:gridCol w:w="754"/>
        <w:gridCol w:w="630"/>
        <w:gridCol w:w="631"/>
        <w:gridCol w:w="1886"/>
        <w:gridCol w:w="1805"/>
        <w:gridCol w:w="1810"/>
        <w:gridCol w:w="252"/>
        <w:gridCol w:w="738"/>
        <w:gridCol w:w="130"/>
        <w:gridCol w:w="130"/>
        <w:gridCol w:w="130"/>
        <w:gridCol w:w="130"/>
        <w:gridCol w:w="252"/>
        <w:gridCol w:w="738"/>
        <w:gridCol w:w="189"/>
      </w:tblGrid>
      <w:tr>
        <w:trPr/>
        <w:tc>
          <w:tcPr>
            <w:tcW w:w="75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 of Lease Cost</w:t>
            </w:r>
          </w:p>
        </w:tc>
        <w:tc>
          <w:tcPr>
            <w:tcW w:w="5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Statements of Operations Line Items </w:t>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5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5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5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leased assets</w:t>
            </w:r>
          </w:p>
        </w:tc>
        <w:tc>
          <w:tcPr>
            <w:tcW w:w="5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5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5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5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 and Corporate, general and administrative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lease expense</w:t>
            </w:r>
          </w:p>
        </w:tc>
        <w:tc>
          <w:tcPr>
            <w:tcW w:w="5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includes the weighted-average lease terms and discount rates for operating and finance leases as of September 30:</w:t>
      </w:r>
    </w:p>
    <w:tbl>
      <w:tblPr>
        <w:tblW w:w="6340" w:type="dxa"/>
        <w:jc w:val="left"/>
        <w:tblInd w:w="0" w:type="dxa"/>
        <w:tblLayout w:type="fixed"/>
        <w:tblCellMar>
          <w:top w:w="28" w:type="dxa"/>
          <w:left w:w="28" w:type="dxa"/>
          <w:bottom w:w="28" w:type="dxa"/>
          <w:right w:w="28" w:type="dxa"/>
        </w:tblCellMar>
      </w:tblPr>
      <w:tblGrid>
        <w:gridCol w:w="1292"/>
        <w:gridCol w:w="1135"/>
        <w:gridCol w:w="1143"/>
        <w:gridCol w:w="399"/>
        <w:gridCol w:w="399"/>
        <w:gridCol w:w="401"/>
        <w:gridCol w:w="109"/>
        <w:gridCol w:w="109"/>
        <w:gridCol w:w="109"/>
        <w:gridCol w:w="363"/>
        <w:gridCol w:w="363"/>
        <w:gridCol w:w="518"/>
      </w:tblGrid>
      <w:tr>
        <w:trPr/>
        <w:tc>
          <w:tcPr>
            <w:tcW w:w="129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years</w:t>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r>
    </w:tbl>
    <w:tbl>
      <w:tblPr>
        <w:tblW w:w="5640" w:type="dxa"/>
        <w:jc w:val="left"/>
        <w:tblInd w:w="0" w:type="dxa"/>
        <w:tblLayout w:type="fixed"/>
        <w:tblCellMar>
          <w:top w:w="28" w:type="dxa"/>
          <w:left w:w="28" w:type="dxa"/>
          <w:bottom w:w="28" w:type="dxa"/>
          <w:right w:w="28" w:type="dxa"/>
        </w:tblCellMar>
      </w:tblPr>
      <w:tblGrid>
        <w:gridCol w:w="1037"/>
        <w:gridCol w:w="911"/>
        <w:gridCol w:w="917"/>
        <w:gridCol w:w="267"/>
        <w:gridCol w:w="267"/>
        <w:gridCol w:w="666"/>
        <w:gridCol w:w="109"/>
        <w:gridCol w:w="109"/>
        <w:gridCol w:w="109"/>
        <w:gridCol w:w="255"/>
        <w:gridCol w:w="256"/>
        <w:gridCol w:w="737"/>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includes the future maturities of lease payments for operating leases and finance leases for periods subsequent to September 30, 2025: </w:t>
      </w:r>
    </w:p>
    <w:tbl>
      <w:tblPr>
        <w:tblW w:w="7166" w:type="dxa"/>
        <w:jc w:val="left"/>
        <w:tblInd w:w="0" w:type="dxa"/>
        <w:tblLayout w:type="fixed"/>
        <w:tblCellMar>
          <w:top w:w="28" w:type="dxa"/>
          <w:left w:w="28" w:type="dxa"/>
          <w:bottom w:w="28" w:type="dxa"/>
          <w:right w:w="28" w:type="dxa"/>
        </w:tblCellMar>
      </w:tblPr>
      <w:tblGrid>
        <w:gridCol w:w="1250"/>
        <w:gridCol w:w="1098"/>
        <w:gridCol w:w="1101"/>
        <w:gridCol w:w="211"/>
        <w:gridCol w:w="721"/>
        <w:gridCol w:w="109"/>
        <w:gridCol w:w="109"/>
        <w:gridCol w:w="109"/>
        <w:gridCol w:w="109"/>
        <w:gridCol w:w="211"/>
        <w:gridCol w:w="616"/>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w:t>
              <w:b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w:t>
              <w:br/>
              <w:t>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remaining in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liability accretion / imputed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Note</w:t>
      </w:r>
      <w:r>
        <w:rPr>
          <w:color w:val="000000"/>
        </w:rPr>
        <w:t xml:space="preserve"> </w:t>
      </w:r>
      <w:r>
        <w:rPr>
          <w:rFonts w:ascii="Times New Roman;serif" w:hAnsi="Times New Roman;serif"/>
          <w:b/>
          <w:color w:val="000000"/>
          <w:sz w:val="20"/>
        </w:rPr>
        <w:t>8. Long-Term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at September 30, 2025 and June 30, 2025:</w:t>
      </w:r>
    </w:p>
    <w:tbl>
      <w:tblPr>
        <w:tblW w:w="5806" w:type="dxa"/>
        <w:jc w:val="left"/>
        <w:tblInd w:w="0" w:type="dxa"/>
        <w:tblLayout w:type="fixed"/>
        <w:tblCellMar>
          <w:top w:w="28" w:type="dxa"/>
          <w:left w:w="28" w:type="dxa"/>
          <w:bottom w:w="28" w:type="dxa"/>
          <w:right w:w="28" w:type="dxa"/>
        </w:tblCellMar>
      </w:tblPr>
      <w:tblGrid>
        <w:gridCol w:w="1156"/>
        <w:gridCol w:w="1017"/>
        <w:gridCol w:w="1021"/>
        <w:gridCol w:w="243"/>
        <w:gridCol w:w="831"/>
        <w:gridCol w:w="125"/>
        <w:gridCol w:w="109"/>
        <w:gridCol w:w="109"/>
        <w:gridCol w:w="109"/>
        <w:gridCol w:w="211"/>
        <w:gridCol w:w="72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borrowings:</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maturities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Credit Agreement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8, 2021, the Company entered into a credit agreement (as amended, the “Credit Agreement”) that replaced its prior credit agreement. The Credit Agreement consisted of a senior secured term loan (the “Term Loan Facility”) of $75.0 million principal amount and a revolving credit facility (the “Revolving Credit Facility”) of $100.0 million maximum borrowing capacity.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Amendment No. 2</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8, 2025, the Company entered into Amendment No. 2 to the Credit Agreement. Amendment No. 2 refinanced the Term Loan Facility with a $50.7 million term loan (the "Term Loan A Facility"), renewed the commitments with respect to the Revolving Credit Facility and extended the maturity date of both the Term Loan A Facility and the Revolving Credit Facility to August 8, 2028 from March 8, 2026.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Terms of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 capacity under the Revolving Credit Facility is subject to (i) any issued amounts under the Company's letters of credit, which as of September 30, 2025 was $5.2 million, and (ii) applicable covenant compliance restrictions and any other conditions precedent to borrowing. Loans under the Credit Agreement are secured by substantially all of the Company’s assets. Principal on the Term Loan A Facility is paid each calendar quarter in an amount equal to 1.25% of the initial term loan on closing date.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principal amounts under the Credit Agreement accrue interest at a variable interest rate. As of September 30, 2025, the interest rate on the Term Loan Facility was 6.63%. Under the terms of the Credit Agreement, the Revolving Credit Facility fee accrues at 0.25% of the average daily unused amount and is paid quarterly. As of September 30, 2025, the Company had $9.4 million borrowings outstanding, $5.2 million of letters of credit issued, and $85.4 million of remaining capacity under the Revolving Credit Facility.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Credit Agreement also provides certain restrictions on dividend payments and other equity transactions and requires the Company to make prepayments under specified circumstances. As of September 30, 2025, the Company was in compliance with the covenants of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financing costs are amortized over the term of the underlying debt and unamortized amounts related to the Term Loan A Facility have been partially offset against long-term debt and unamortized amounts related to the Revolving Credit Facility are recorded in deposits and other in the condensed consolidated balance sheets. Total amortization of deferred financing costs was $0.2 million and $0.1 million for the three months ended September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Convertible 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29, 2015, SH1 entered into a convertible term loan. Principal and interest payments of $0.02 million were due monthly. The loan bore interest at an annual rate of 6.68%, with the remaining principal balance due upon maturity at August 20, 2030. The loan was secured by a deed of trust to Public Trustee, assignment of leases and rents, security agreements, and SH1’s fixture filing. On September 11, 2025, the Company closed on the sale of the Company’s managing member interest in SH1 and no longer consolidates the convertible term loan. The convertible loan is no longer an obligation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9: 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Professional Liability</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legal proceedings and be subject to claims.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Civil Investigative Demands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2021, the Company received a civil investigative demand from the Attorney General for the State of Colorado under the Colorado Medicaid False Claims Act. The demand requested information and documents regarding Medicaid billing, patient services and referrals in connection with the Company’s PACE program in Colorado. The Company continues to fully cooperate with the Attorney General. At this time, the Company is unable to estimate the possible losses or range of losses, if any, from this matter.</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2022, the Company received a civil investigative demand from the Department of Justice (“DOJ”) under the Federal False Claims Act on similar subject matter. The demand requested information and documents regarding audits, billing, orders tracking, and quality and timeliness of patient services in connection with the Company’s PACE programs in the states where the Company operated as of 2022 (California, Colorado, New Mexico, Pennsylvania, and Virginia). In December 2022, the Company received a supplemental civil investigative demand requesting supplemental information on the same matters. The Company and the DOJ remain in discussions to understand their respective positions on this matter. At this time, the Company is unable to estimate the possible losses or range of losses, if any, from this matter.</w:t>
      </w:r>
    </w:p>
    <w:p>
      <w:pPr>
        <w:pStyle w:val="TextBody"/>
        <w:bidi w:val="0"/>
        <w:spacing w:before="0" w:after="0"/>
        <w:jc w:val="left"/>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from the DOJ under the Federal False Claims Act on a similar subject matter. The demand requested information and documents regarding the Company's relationship as a PACE provider with residential care facilities in California, Colorado, Virginia and New Mexico, related housing costs, and enrollment practices. The Company is fully cooperating with the DOJ and has produced the requested information and documentation. At this time, the Company is unable to estimate the possible losses or range of losses, if any, from this matter.</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Stockholder Lawsuits</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14, 2021,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asserted claims against the Company, certain of the Company’s officers and directors, Apax Partners, L.P., Welsh, Carson, Anderson &amp; Stowe and the underwriters in the Company’s IPO, alleging violations of Sections 11, 12(a)(2) and 15 of the Securities Act of 1933 and Sections 10(b) and 20(a) of the Securities Exchange Act of 1934 for making allegedly inaccurate and misleading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and omissions in connection with the Company’s IPO and subsequent earnings calls and public filings, and seeking compensatory damages, among other things.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2025, the Company and the other defendants entered into an agreement with the plaintiffs to settle all claims in exchange for a payment by the Company of $27.0 million. The settlement agreement received preliminary approval from the District Court on June 17, 2025, and the final approval hearing was rescheduled to December 5, 2025. After adjusting for the settlement amounts to be paid directly by the Company's insurers, the Company accrued expenses of $10.1 million representing its share of the settlement amount during fiscal year 2025. Until the District Court grants final approval of the settlement, there can be no assurances that the settlement will be completed on the terms disclosed herein or at all.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20, 2022, the Board received a books and records demand pursuant to Section 220 of the Delaware General Corporation Law from a purported stockholder of the Company, Brian Hall.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January 22, 2024, upon stipulation of the parties, the Court entered an order further staying the litigation pending the close of fact discovery in the Securities Action or upon order of the Court granting a motion to lift the stay. On July 11, 2025, the parties informed the Court of the settlement agreement in the Securities Action and requested until September 10, 2025, to provide a further update. On September 10, 2025, the parties requested an extension until November 10, 2025. The parties are discussing a potential resolution of this matter, including a potential settlement. The Court has not established any further deadlines. At this time, the Company is unable to estimate the possible losses or range of losses, if any, from this matter.</w:t>
      </w:r>
    </w:p>
    <w:p>
      <w:pPr>
        <w:pStyle w:val="TextBody"/>
        <w:bidi w:val="0"/>
        <w:spacing w:before="0" w:after="0"/>
        <w:ind w:left="0" w:right="0" w:firstLine="36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17, 2025, Grane Supply, Inc, d/b/a Grane Rx (“Grane Rx”), the Company’s former pharmacy services vendor, filed an amended demand for arbitration before the American Arbitration Association asserting claims for breach of contract and breach of confidentiality in connection with the Company’s non-renewal and termination of its services agreements with Grane Rx resulting from a discrete Company operational initiative. Grane Rx’s demand seeks various forms of relief, including compensatory damages and injunctive relief. An arbitrator has been appointed and the parties are currently engaged in discovery. Initial mediation took place in May 2025. A final merits hearing in front of the arbitrator is expected to occur in early 2026. At this time, the Company is unable to estimate the possible losses or range of losses, if any, from this matter.</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legal proceedings and claims are inherently unpredictable and uncertain.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Company's aggregate stock-based compensation expense is set forth below. Stock-based compensation expense is included in corporate, general and administrative expenses on the Company's condensed consolidated statements of operations.</w:t>
      </w:r>
    </w:p>
    <w:tbl>
      <w:tblPr>
        <w:tblW w:w="6762" w:type="dxa"/>
        <w:jc w:val="left"/>
        <w:tblInd w:w="0" w:type="dxa"/>
        <w:tblLayout w:type="fixed"/>
        <w:tblCellMar>
          <w:top w:w="28" w:type="dxa"/>
          <w:left w:w="28" w:type="dxa"/>
          <w:bottom w:w="28" w:type="dxa"/>
          <w:right w:w="28" w:type="dxa"/>
        </w:tblCellMar>
      </w:tblPr>
      <w:tblGrid>
        <w:gridCol w:w="1248"/>
        <w:gridCol w:w="1097"/>
        <w:gridCol w:w="1104"/>
        <w:gridCol w:w="272"/>
        <w:gridCol w:w="794"/>
        <w:gridCol w:w="140"/>
        <w:gridCol w:w="140"/>
        <w:gridCol w:w="140"/>
        <w:gridCol w:w="140"/>
        <w:gridCol w:w="272"/>
        <w:gridCol w:w="794"/>
        <w:gridCol w:w="140"/>
        <w:gridCol w:w="109"/>
        <w:gridCol w:w="109"/>
        <w:gridCol w:w="109"/>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units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2020 Equity Incentive Plan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Profits Interests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TCO Group Holdings, L.P. (the “LP”), the Company’s largest stockholder and prior to the IPO, the Company’s parent, maintains the TCO Group Holdings, L.P. Equity Incentive Plan (the "2020 Equity Incentive Plan") pursuant to which interests in the LP in the form of Class B Units (profits interests) may be granted to employees, directors, consultants, advisers, and other services providers (including partners) of the LP or any of its affiliates, including the Company. A maximum number of 16,162,177 Class B Units are authorized for grant under the 2020 Equity Incentive Plan. Both performance-based and time-based units have been issued under the plan. As of September 30, 2025, a total of 22,681,284 profits interests units had been granted under the 2020 Equity Incentive Plan.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used the Monte Carlo option model to determine the fair value of the granted profits interests units at the time of the grant. Expected stock price volatility is based on consideration of indications observed from several publicly traded peer companies. The risk-free interest rate is based on a treasury instrument whose term is consistent with the expected life of the unit. The dividend yield percentage is zero because the Company neither currently pays dividends nor intends to do so during the expected term. The expected term of the units represents the time the units are expected to be outstanding. There were no Class B Units awarded during the three months ended September 30, 2024. A total of 6,808,447 Class B Units were awarded during the three months ended September 30, 2025. The assumptions under the Monte Carlo model related to profit interests units, presented on a weighted-average basis, are provided below: </w:t>
      </w:r>
    </w:p>
    <w:tbl>
      <w:tblPr>
        <w:tblW w:w="6656" w:type="dxa"/>
        <w:jc w:val="left"/>
        <w:tblInd w:w="0" w:type="dxa"/>
        <w:tblLayout w:type="fixed"/>
        <w:tblCellMar>
          <w:top w:w="28" w:type="dxa"/>
          <w:left w:w="28" w:type="dxa"/>
          <w:bottom w:w="28" w:type="dxa"/>
          <w:right w:w="28" w:type="dxa"/>
        </w:tblCellMar>
      </w:tblPr>
      <w:tblGrid>
        <w:gridCol w:w="1229"/>
        <w:gridCol w:w="1078"/>
        <w:gridCol w:w="1082"/>
        <w:gridCol w:w="109"/>
        <w:gridCol w:w="109"/>
        <w:gridCol w:w="109"/>
        <w:gridCol w:w="458"/>
        <w:gridCol w:w="458"/>
        <w:gridCol w:w="458"/>
        <w:gridCol w:w="458"/>
        <w:gridCol w:w="458"/>
        <w:gridCol w:w="650"/>
      </w:tblGrid>
      <w:tr>
        <w:trPr/>
        <w:tc>
          <w:tcPr>
            <w:tcW w:w="122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(years) - time 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profits interests activity for the three months ended September 30, 2025 is as follows:</w:t>
      </w:r>
    </w:p>
    <w:tbl>
      <w:tblPr>
        <w:tblW w:w="6817" w:type="dxa"/>
        <w:jc w:val="left"/>
        <w:tblInd w:w="0" w:type="dxa"/>
        <w:tblLayout w:type="fixed"/>
        <w:tblCellMar>
          <w:top w:w="28" w:type="dxa"/>
          <w:left w:w="28" w:type="dxa"/>
          <w:bottom w:w="28" w:type="dxa"/>
          <w:right w:w="28" w:type="dxa"/>
        </w:tblCellMar>
      </w:tblPr>
      <w:tblGrid>
        <w:gridCol w:w="1272"/>
        <w:gridCol w:w="1117"/>
        <w:gridCol w:w="1120"/>
        <w:gridCol w:w="109"/>
        <w:gridCol w:w="109"/>
        <w:gridCol w:w="109"/>
        <w:gridCol w:w="314"/>
        <w:gridCol w:w="314"/>
        <w:gridCol w:w="316"/>
        <w:gridCol w:w="109"/>
        <w:gridCol w:w="109"/>
        <w:gridCol w:w="109"/>
        <w:gridCol w:w="411"/>
        <w:gridCol w:w="996"/>
        <w:gridCol w:w="303"/>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Time-based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fair value</w:t>
            </w:r>
          </w:p>
        </w:tc>
      </w:tr>
      <w:tr>
        <w:trPr/>
        <w:tc>
          <w:tcPr>
            <w:tcW w:w="3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tbl>
      <w:tblPr>
        <w:tblW w:w="6818" w:type="dxa"/>
        <w:jc w:val="left"/>
        <w:tblInd w:w="0" w:type="dxa"/>
        <w:tblLayout w:type="fixed"/>
        <w:tblCellMar>
          <w:top w:w="28" w:type="dxa"/>
          <w:left w:w="28" w:type="dxa"/>
          <w:bottom w:w="28" w:type="dxa"/>
          <w:right w:w="28" w:type="dxa"/>
        </w:tblCellMar>
      </w:tblPr>
      <w:tblGrid>
        <w:gridCol w:w="1272"/>
        <w:gridCol w:w="1117"/>
        <w:gridCol w:w="1121"/>
        <w:gridCol w:w="109"/>
        <w:gridCol w:w="109"/>
        <w:gridCol w:w="109"/>
        <w:gridCol w:w="314"/>
        <w:gridCol w:w="314"/>
        <w:gridCol w:w="316"/>
        <w:gridCol w:w="109"/>
        <w:gridCol w:w="109"/>
        <w:gridCol w:w="109"/>
        <w:gridCol w:w="411"/>
        <w:gridCol w:w="996"/>
        <w:gridCol w:w="303"/>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Performance-based unit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grant date fair value</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4,538,965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profits interests units outstanding as of September 30, 2025 was $7.6 million, comprised (i) $1.3 million related to time-based unit awards expected to be recognized over a weighted-average period of 2.4 years and (ii) $6.4 million related to performance-based unit awards, which will be recorded when it is probable that the performance-based criteria will be met.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2021 Omnibus Incentive Plan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2021, the Compensation Committee of the Board of Directors approved the InnovAge Holding Corp. 2021 Omnibus Incentive Plan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over a three-year period with one-third vesting on each anniversary of the date of grant. Certain other vesting periods have also been used. The grant date fair value of restricted stock units with time-based vesting is based on the closing market price of the Company's common stock on the date of grant. Certain other awards under this plan, including units and stock options, vest upon achieving specific share price performance criteria and are determined to have performance-based vesting conditions. The Company has also issued time-based vesting stock options under this plan to its employees which generally vest in equal parts over a three-year period.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time-based vesting restricted stock units activity for the three months ended September 30, 2025 is as follows: </w:t>
      </w:r>
    </w:p>
    <w:tbl>
      <w:tblPr>
        <w:tblW w:w="6428" w:type="dxa"/>
        <w:jc w:val="left"/>
        <w:tblInd w:w="0" w:type="dxa"/>
        <w:tblLayout w:type="fixed"/>
        <w:tblCellMar>
          <w:top w:w="28" w:type="dxa"/>
          <w:left w:w="28" w:type="dxa"/>
          <w:bottom w:w="28" w:type="dxa"/>
          <w:right w:w="28" w:type="dxa"/>
        </w:tblCellMar>
      </w:tblPr>
      <w:tblGrid>
        <w:gridCol w:w="1270"/>
        <w:gridCol w:w="1118"/>
        <w:gridCol w:w="1122"/>
        <w:gridCol w:w="109"/>
        <w:gridCol w:w="109"/>
        <w:gridCol w:w="109"/>
        <w:gridCol w:w="314"/>
        <w:gridCol w:w="314"/>
        <w:gridCol w:w="316"/>
        <w:gridCol w:w="109"/>
        <w:gridCol w:w="109"/>
        <w:gridCol w:w="109"/>
        <w:gridCol w:w="284"/>
        <w:gridCol w:w="829"/>
        <w:gridCol w:w="207"/>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time based restricted stock units outstanding as of September 30, 2025 was $12.0 million and is expected to be recognized over a weighted-average period of 1.8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performance based vesting restricted stock units activity for the three months ended September 30, 2025 is as follows: </w:t>
      </w:r>
    </w:p>
    <w:tbl>
      <w:tblPr>
        <w:tblW w:w="6426" w:type="dxa"/>
        <w:jc w:val="left"/>
        <w:tblInd w:w="0" w:type="dxa"/>
        <w:tblLayout w:type="fixed"/>
        <w:tblCellMar>
          <w:top w:w="28" w:type="dxa"/>
          <w:left w:w="28" w:type="dxa"/>
          <w:bottom w:w="28" w:type="dxa"/>
          <w:right w:w="28" w:type="dxa"/>
        </w:tblCellMar>
      </w:tblPr>
      <w:tblGrid>
        <w:gridCol w:w="1271"/>
        <w:gridCol w:w="1116"/>
        <w:gridCol w:w="1122"/>
        <w:gridCol w:w="109"/>
        <w:gridCol w:w="109"/>
        <w:gridCol w:w="109"/>
        <w:gridCol w:w="314"/>
        <w:gridCol w:w="314"/>
        <w:gridCol w:w="316"/>
        <w:gridCol w:w="109"/>
        <w:gridCol w:w="109"/>
        <w:gridCol w:w="109"/>
        <w:gridCol w:w="317"/>
        <w:gridCol w:w="769"/>
        <w:gridCol w:w="233"/>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Restricted stock units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unrecognized compensation cost related to performance based vesting restricted stock units outstanding as of September 30, 2025 was $0.08 million and is expected to be recognized over a weighted-average period of 1.3 years.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Nonqualified Stock Options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time-based vesting stock option activity for the three months ended September 30, 2025 is as follows:</w:t>
      </w:r>
    </w:p>
    <w:tbl>
      <w:tblPr>
        <w:tblW w:w="6426"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314"/>
        <w:gridCol w:w="314"/>
        <w:gridCol w:w="316"/>
        <w:gridCol w:w="109"/>
        <w:gridCol w:w="109"/>
        <w:gridCol w:w="109"/>
        <w:gridCol w:w="317"/>
        <w:gridCol w:w="769"/>
        <w:gridCol w:w="233"/>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 - time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5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total unrecognized compensation costs related to time-based vesting stock options outstanding as of September 30, 2025 was less than $0.1 million and is expected to be recognized over a weighted-average period of 0.2 years.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summary of performance-based vesting stock option activity for the three months ended September 30, 2025 is as follows: </w:t>
      </w:r>
    </w:p>
    <w:tbl>
      <w:tblPr>
        <w:tblW w:w="6427" w:type="dxa"/>
        <w:jc w:val="left"/>
        <w:tblInd w:w="0" w:type="dxa"/>
        <w:tblLayout w:type="fixed"/>
        <w:tblCellMar>
          <w:top w:w="28" w:type="dxa"/>
          <w:left w:w="28" w:type="dxa"/>
          <w:bottom w:w="28" w:type="dxa"/>
          <w:right w:w="28" w:type="dxa"/>
        </w:tblCellMar>
      </w:tblPr>
      <w:tblGrid>
        <w:gridCol w:w="1271"/>
        <w:gridCol w:w="1116"/>
        <w:gridCol w:w="1123"/>
        <w:gridCol w:w="109"/>
        <w:gridCol w:w="109"/>
        <w:gridCol w:w="109"/>
        <w:gridCol w:w="314"/>
        <w:gridCol w:w="314"/>
        <w:gridCol w:w="316"/>
        <w:gridCol w:w="109"/>
        <w:gridCol w:w="109"/>
        <w:gridCol w:w="109"/>
        <w:gridCol w:w="317"/>
        <w:gridCol w:w="769"/>
        <w:gridCol w:w="233"/>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options - performance 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w:t>
              <w:b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grant-date fair</w:t>
              <w:br/>
              <w:t>value per share</w:t>
            </w:r>
          </w:p>
        </w:tc>
      </w:tr>
      <w:tr>
        <w:trPr/>
        <w:tc>
          <w:tcPr>
            <w:tcW w:w="3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unrecognized compensation cost related to performance-based vesting stock options outstanding as of September 30, 2025 was $0.2 million and is expected to be recognized over a weighted-average period of 1.3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11: Acquisitions</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TRHC</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2025, the Company completed the acquisition of certain pharmacy assets from Tabula Rasa HealthCare Group, Inc. ("TRHC"), a leading pharmacy care management company, for a total purchase price of $4.8 million. The acquisition was funded through cash on hand.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TRHC acquisition was accounted for using the purchase method of accounting. The purchase price has been allocated to the assets acquired and liabilities assumed based on their estimated fair values at the date of acquisition. Goodwill represents the excess of the purchase price over the fair value of net assets acquired and the estimated future economic benefits arising from expected growth opportunities for the Company and is not deductible for income tax purposes. </w:t>
      </w:r>
    </w:p>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the preliminary allocation of the purchase price to the assets acquired and liabilities assumed as of the acquisition date, measurement period adjustments and the allocation as of September 30, 2025: </w:t>
      </w:r>
    </w:p>
    <w:tbl>
      <w:tblPr>
        <w:tblW w:w="9507" w:type="dxa"/>
        <w:jc w:val="left"/>
        <w:tblInd w:w="0" w:type="dxa"/>
        <w:tblLayout w:type="fixed"/>
        <w:tblCellMar>
          <w:top w:w="28" w:type="dxa"/>
          <w:left w:w="28" w:type="dxa"/>
          <w:bottom w:w="28" w:type="dxa"/>
          <w:right w:w="28" w:type="dxa"/>
        </w:tblCellMar>
      </w:tblPr>
      <w:tblGrid>
        <w:gridCol w:w="1471"/>
        <w:gridCol w:w="1295"/>
        <w:gridCol w:w="1299"/>
        <w:gridCol w:w="109"/>
        <w:gridCol w:w="109"/>
        <w:gridCol w:w="109"/>
        <w:gridCol w:w="270"/>
        <w:gridCol w:w="789"/>
        <w:gridCol w:w="141"/>
        <w:gridCol w:w="844"/>
        <w:gridCol w:w="1627"/>
        <w:gridCol w:w="438"/>
        <w:gridCol w:w="216"/>
        <w:gridCol w:w="631"/>
        <w:gridCol w:w="159"/>
      </w:tblGrid>
      <w:tr>
        <w:trPr/>
        <w:tc>
          <w:tcPr>
            <w:tcW w:w="14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Preliminary </w:t>
              <w:br/>
              <w:t>allocation</w:t>
            </w:r>
          </w:p>
        </w:tc>
        <w:tc>
          <w:tcPr>
            <w:tcW w:w="2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w:t>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Adjusted </w:t>
              <w:br/>
              <w:t>allocation</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measurement period has closed, and the Company has not recognized any measurement period adjustments.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12: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an income tax expense of $0.2 million and $0.4 million for the three months ended September 30, 2025 and 2024, respectively. This represents an effective tax rate of 3.1% and (7.6)% for the three months ended September 30, 2025 and 2024,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rate for the three months ended September 30, 2025 was different from the federal statutory rate primarily due to the Company’s book income offset partially by disallowed officers’ compensation under Internal Revenue Code (“IRC”) Section 162(m), disallowed stock options related to the profit interest units, exclusion of losses from entities not subject to tax, lobbying expenses, the impact of the One Big Beautiful Bill Act ("OBBBA"), and the decrease in the Company's valuation allowance against net operating losses which occurred during the three-month period ended September 30,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valuation allowance recorded against deferred tax assets at each reporting date. The determination of whether a valuation allowance for deferred tax assets is appropriate requires the evaluation of positive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three-month period ended September 30, 2025,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$15.8 million at September 30, 2025 and $23.0 million at June 30, 2025, as a valuation allowance against its deferred tax assets for federal and state net operating losses and state 163(j) interest expense limitations where there is not sufficient positive evidence to substantiate that these deferred tax assets will be realized at a more-likely-than-not level of assurance.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Note 13: Earnings per Share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(loss) per share (“EPS”) is computed using the weighted-average number of common shares outstanding during the period. Diluted EPS is computed using the weighted-average number of common shares outstanding during the period, plus the dilutive effect of outstanding options and other equity awards,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months ended September 30, 2025 and September 30, 2024, there were 258,767 and 102,985, respectively, performance-based awards excluded from the calculation of diluted EPS.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common share:</w:t>
      </w:r>
    </w:p>
    <w:tbl>
      <w:tblPr>
        <w:tblW w:w="7973" w:type="dxa"/>
        <w:jc w:val="left"/>
        <w:tblInd w:w="0" w:type="dxa"/>
        <w:tblLayout w:type="fixed"/>
        <w:tblCellMar>
          <w:top w:w="28" w:type="dxa"/>
          <w:left w:w="28" w:type="dxa"/>
          <w:bottom w:w="28" w:type="dxa"/>
          <w:right w:w="28" w:type="dxa"/>
        </w:tblCellMar>
      </w:tblPr>
      <w:tblGrid>
        <w:gridCol w:w="1736"/>
        <w:gridCol w:w="1527"/>
        <w:gridCol w:w="1537"/>
        <w:gridCol w:w="257"/>
        <w:gridCol w:w="750"/>
        <w:gridCol w:w="134"/>
        <w:gridCol w:w="126"/>
        <w:gridCol w:w="126"/>
        <w:gridCol w:w="126"/>
        <w:gridCol w:w="245"/>
        <w:gridCol w:w="802"/>
        <w:gridCol w:w="126"/>
        <w:gridCol w:w="109"/>
        <w:gridCol w:w="109"/>
        <w:gridCol w:w="109"/>
        <w:gridCol w:w="154"/>
      </w:tblGrid>
      <w:tr>
        <w:trPr/>
        <w:tc>
          <w:tcPr>
            <w:tcW w:w="1736"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values</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InnovAge Holding Corp.</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135,592,487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135,769,835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(basic)</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shares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1,168,387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136,760,874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135,769,835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EPS (diluted)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0.06</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Segment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Company had three operating segments, two of which are related to the Company’s PACE offering. The PACE-related operating segments are based on two geographic divisions, which are East and West. Due to the similar economic characteristics, nature of services, and customers, the Company has aggregated its East and West operating segments into one reportable segment for PACE. The Company’s remaining operating segment primarily relates to Senior Housing, which is an immaterial operating segment, and shown below as "Other" along with certain corporate unallocated expenses. </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 (“CODM”) is the chief executive officer. The CODM uses Center-Level Contribution Margin as the measure for assessing performance of its operating segments and allocating resources, predominantly in the annual budget and forecasting process. The Company evaluates performance and allocates capital resources to each segment based on an operating model that is designed to maximize the quality of care provided and profitability. The CODM considers forecast-to-actual Center-Level Contribution Margin variances on a monthly basis when making decisions about allocating capital and personnel to the segments. Center-Level Contribution Margin is defined as total segment revenues less external provider costs and cost of care (excluding depreciation and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review assets by segment and therefore assets by segment are not disclosed below. For the periods presented, all of the Company’s long-lived assets were located in the United States and all revenue was earned in the United States.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operating results regularly provided to the CODM by segment for the three months ended September 30, 2025 and 2024:</w:t>
      </w:r>
    </w:p>
    <w:tbl>
      <w:tblPr>
        <w:tblW w:w="10205" w:type="dxa"/>
        <w:jc w:val="left"/>
        <w:tblInd w:w="0" w:type="dxa"/>
        <w:tblLayout w:type="fixed"/>
        <w:tblCellMar>
          <w:top w:w="28" w:type="dxa"/>
          <w:left w:w="28" w:type="dxa"/>
          <w:bottom w:w="28" w:type="dxa"/>
          <w:right w:w="28" w:type="dxa"/>
        </w:tblCellMar>
      </w:tblPr>
      <w:tblGrid>
        <w:gridCol w:w="1016"/>
        <w:gridCol w:w="684"/>
        <w:gridCol w:w="651"/>
        <w:gridCol w:w="211"/>
        <w:gridCol w:w="826"/>
        <w:gridCol w:w="109"/>
        <w:gridCol w:w="109"/>
        <w:gridCol w:w="109"/>
        <w:gridCol w:w="109"/>
        <w:gridCol w:w="224"/>
        <w:gridCol w:w="432"/>
        <w:gridCol w:w="115"/>
        <w:gridCol w:w="109"/>
        <w:gridCol w:w="109"/>
        <w:gridCol w:w="109"/>
        <w:gridCol w:w="211"/>
        <w:gridCol w:w="826"/>
        <w:gridCol w:w="109"/>
        <w:gridCol w:w="109"/>
        <w:gridCol w:w="109"/>
        <w:gridCol w:w="109"/>
        <w:gridCol w:w="211"/>
        <w:gridCol w:w="826"/>
        <w:gridCol w:w="109"/>
        <w:gridCol w:w="109"/>
        <w:gridCol w:w="109"/>
        <w:gridCol w:w="109"/>
        <w:gridCol w:w="218"/>
        <w:gridCol w:w="482"/>
        <w:gridCol w:w="112"/>
        <w:gridCol w:w="109"/>
        <w:gridCol w:w="109"/>
        <w:gridCol w:w="109"/>
        <w:gridCol w:w="211"/>
        <w:gridCol w:w="826"/>
        <w:gridCol w:w="161"/>
      </w:tblGrid>
      <w:tr>
        <w:trPr/>
        <w:tc>
          <w:tcPr>
            <w:tcW w:w="101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7854" w:type="dxa"/>
            <w:gridSpan w:val="33"/>
            <w:tcBorders/>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5610" w:type="dxa"/>
            <w:gridSpan w:val="24"/>
            <w:tcBorders/>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(1)Center-level Contribution Margin from a segment below the quantitative thresholds was attributable to the Senior Housing operating segment of the Company. This segment has never met any of the quantitative thresholds for determining reportable segments.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subsequent events through November 4, 2025, the date on which the condensed consolidated financial statements were issued and noted there were none.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our Annual Report on Form 10-K for the fiscal year ended June 30, 2025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InnovAge Holding Corp. (“InnovAge”) became a public company in March 2021. As of September 30, 2025, the Company served approximately 7,890 PACE participants, and operated 20 PACE centers across California, Colorado, Florida, New Mexico, Pennsylvania, and Virginia.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Trends and Uncertainties Affecting the Company</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Increased cost of care and external provider costs. </w:t>
      </w:r>
      <w:r>
        <w:rPr>
          <w:rFonts w:ascii="Times New Roman;serif" w:hAnsi="Times New Roman;serif"/>
          <w:b w:val="false"/>
          <w:color w:val="000000"/>
          <w:sz w:val="20"/>
        </w:rPr>
        <w:t>We anticipate increased cost of care from our third-party service providers in an effort to offset their heightened expenses resulting, in part, from budget pressures due to the OBBBA as well as budget cuts to providers from state Medicaid programs, as well as possible increases in cost of medical and other supplies used in order to provide healthcare services. While we did not experience a material increase to our cost of care during the first quarter of fiscal year 2026, we continue to monitor the situation. We believe that our clinical value initiatives and operational value initiatives, which continue to be developed, may assist us in offsetting the increased cost of care anticipated for fiscal year 2026.</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Labor market and access to supportive housing facilities</w:t>
      </w:r>
      <w:r>
        <w:rPr>
          <w:rFonts w:ascii="Times New Roman;serif" w:hAnsi="Times New Roman;serif"/>
          <w:b w:val="false"/>
          <w:color w:val="000000"/>
          <w:sz w:val="20"/>
        </w:rPr>
        <w:t>. The healthcare sector continues to experience workforce shortages, particularly in geriatrics, primary care and direct care roles, as well as a complex set of challenges in hiring additional professionals, which continued through the first quarter of fiscal year 2026. Competition from health systems and home health providers for nurses, drivers and caregivers has intensified, further challenging the Company’s ability to recruit and retain staff. In addition, there are systemic challenges related to workforce training and the pipeline of qualified professionals, which have not kept pace with this growing demand. These labor market pressures have increased wage and benefit costs, and have also affected our staffing ability which could impact our enrollment capacity and services. To mitigate these challenges, we implemented targeted compensation and retention initiatives, along with operational measures to help improve productivity and reduce reliance on agency staffing. Partially as a result of increased competition and other market trends, in conjunction with increased staffing related to our growth, there was an increase in the cost of care for the first quarter of fiscal year 2026 compared to the comparable period for fiscal year 2025, as discussed in "Results of Operations" below.</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shortage of clinicians combined with an aging population creates increased demand on the limited number of existing residential facilities. As a result, the access of our participants to such facilities is uncertain, as such facilities may prioritize private payors or may be unable to accept participants at pre-determined rates. If we are unable to access residential facilities, we could be unable to continue providing PACE services to participants who require such facilities.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Census and capitation revenue.</w:t>
      </w:r>
      <w:r>
        <w:rPr>
          <w:color w:val="000000"/>
        </w:rPr>
        <w:t xml:space="preserve"> </w:t>
      </w:r>
      <w:r>
        <w:rPr>
          <w:rFonts w:ascii="Times New Roman;serif" w:hAnsi="Times New Roman;serif"/>
          <w:b w:val="false"/>
          <w:color w:val="000000"/>
          <w:sz w:val="20"/>
        </w:rPr>
        <w:t>The delays and increased gaps in eligibility both for new enrollments and Medicaid redetermination applications that we experienced during fiscal years 2025 and 2024 due to processing delays and other enrollment and redetermination procedures that vary by State and county continued into the first quarter of fiscal year 2026, though to a lesser degree. While processing delays generally reduced in measure during the first quarter of fiscal year 2026, it is possible that these delays could persist or be exacerbated due to potential impacts of the OBBBA. This has not yet had a material effect on the Company’s financial statements or operations; however, we continue to monitor the effects.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Medicaid Spending. </w:t>
      </w:r>
      <w:r>
        <w:rPr>
          <w:rFonts w:ascii="Times New Roman;serif" w:hAnsi="Times New Roman;serif"/>
          <w:b w:val="false"/>
          <w:color w:val="000000"/>
          <w:sz w:val="20"/>
        </w:rPr>
        <w:t xml:space="preserve">The OBBBA adopted in July 2025, mandates significant reductions in federal Medicaid spending, introduces new work requirements for Medicaid beneficiaries aged 19 to 64 and cost-sharing measures for certain Medicaid beneficiaries, and requires states to conduct bi-annual eligibility verifications of Medicaid enrollees in the expansion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population. These changes may lead to decreased Medicaid enrollment among existing and prospective PACE participants, potentially reducing our funding and decreasing margins. With the federal funding cuts and states being prohibited from increasing provider taxes to finance their share of Medicaid spending, states may also face budgetary pressures. Such budgetary pressure may potentially lead to reductions in certain optional Medicaid benefits, reductions in the workforce for the government entities that oversee and administer Medicaid and PACE, causing delays, and downward pressure on rates, including our capitated fee payment. Finally, the new requirements may necessitate adjustments in our administrative processes to ensure compliance with more frequent eligibility verifications and other reporting standards mandated by federal and state regulatory agencies. Changes in verification requirements have not yet taken effect and we expect more information to be available following each states' confirmed budgeting process.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federal government entered a partial shutdown effective October 1, 2025. While we have not experienced any direct impact to date, we may experience delays related to government agencies operating in this reduced capacity.</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Macroeconomic Trends. </w:t>
      </w:r>
      <w:r>
        <w:rPr>
          <w:rFonts w:ascii="Times New Roman;serif" w:hAnsi="Times New Roman;serif"/>
          <w:b w:val="false"/>
          <w:color w:val="000000"/>
          <w:sz w:val="20"/>
        </w:rPr>
        <w:t>Recent U.S. tariff announcements, retaliatory measures by other countries, and significant uncertainty surrounding trade tensions may result in higher prices for medical and other supplies and lead to supply chain disruptions and additional costs. The degree to which tariffs affect the global supply chain and our business will depend on their timing, duration and magnitude, which may be changed at any time and with little or no prior notice. We did not experience a material effect as result of these trade disputes during the first quarter of fiscal year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on the various risks posed by macroeconomic events, regulation, and employee matters, please see the section entitled “Risk Factors” included in Part I, Item 1A of our 2025 10-K. </w:t>
      </w:r>
    </w:p>
    <w:p>
      <w:pPr>
        <w:pStyle w:val="TextBody"/>
        <w:bidi w:val="0"/>
        <w:spacing w:lineRule="auto" w:line="288" w:before="24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Key Factors Affecting Our Performance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historical financial performance has been, and we expect our financial performance in the future to be, driven by the following factors: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participants.</w:t>
      </w:r>
      <w:r>
        <w:rPr>
          <w:color w:val="000000"/>
        </w:rPr>
        <w:t xml:space="preserve"> </w:t>
      </w:r>
      <w:r>
        <w:rPr>
          <w:rFonts w:ascii="Times New Roman;serif" w:hAnsi="Times New Roman;serif"/>
          <w:b w:val="false"/>
          <w:color w:val="000000"/>
          <w:sz w:val="20"/>
        </w:rPr>
        <w:t>We focus on providing all-inclusive care to frail, high-cost, dual-eligible seniors. We directly contract with government 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believe we manage a higher acuity population, with an average risk adjustment factor (“RAF”) score of 2.43 based on InnovAge data as of September 30, 2025; and (ii) we have Medicaid spend in addition to Medicare. Our participants are managed on a capitated, or at-risk basis, where InnovAge is financially responsible for all participant medical costs. Our comprehensive care model and globally capitated payments are designed to cover participants from enrollment until the end of life, including coverage for participants requiring hospice and palliative care. For dual-eligible participants, we receive PMPM payments directly from Medicare and Medicaid, which provides recurring revenue streams and significant visibility into our revenue. The Medicare portion of our capitated payment is risk-based on the underlying medical conditions and frailty of each participant. We continue to strengthen our encounter data submission process so that our revenue more accurately reflects the acuity of the populations we serve.</w:t>
      </w:r>
      <w:r>
        <w:rPr>
          <w:color w:val="000000"/>
        </w:rPr>
        <w:t xml:space="preserv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grow enrollment and capacity within existing centers. </w:t>
      </w:r>
      <w:r>
        <w:rPr>
          <w:rFonts w:ascii="Times New Roman;serif" w:hAnsi="Times New Roman;serif"/>
          <w:b w:val="false"/>
          <w:color w:val="000000"/>
          <w:sz w:val="20"/>
        </w:rPr>
        <w:t xml:space="preserve">We believe all seniors should have access to the type of all-inclusive care offered by the PACE model. Several factors can affect our ability to grow enrollment and capacity within existing centers, including competition, costs and sanctions issued by regulators or suspensions of State attestations required to open new de novo centers.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maintain high participant satisfaction and retention. </w:t>
      </w:r>
      <w:r>
        <w:rPr>
          <w:rFonts w:ascii="Times New Roman;serif" w:hAnsi="Times New Roman;serif"/>
          <w:b w:val="false"/>
          <w:color w:val="000000"/>
          <w:sz w:val="20"/>
        </w:rPr>
        <w:t xml:space="preserve">Our comprehensive individualized care model and frequency of interaction with participants generates high levels of participant satisfaction. Our average participant tenure was 3.2 years as of September 30, 2025, measured as tenure from enrollment to disenrollment, among our centers that have been operated by us for at least five years. Furthermore, we experience low levels of voluntary disenrollment, averaging 7.0% annually over the last three fiscal years.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Effectively managing the cost of care for our participants</w:t>
      </w:r>
      <w:r>
        <w:rPr>
          <w:rFonts w:ascii="Times New Roman;serif" w:hAnsi="Times New Roman;serif"/>
          <w:b w:val="false"/>
          <w:color w:val="000000"/>
          <w:sz w:val="20"/>
        </w:rPr>
        <w:t xml:space="preserve">. We receive capitated payments to manage the totality of a participant’s medical care across all settings. The risk pool of our population is highly acute.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Various factors, including increased salaries, wages and benefits, increased staffing, annual increases in assisted living and nursing facility unit cost and general medical inflation have affected our external provider costs and cost of care, excluding depreciation and amortization, which represented approximately 78% of our revenue in the three months ended September 30, 2025.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Center-level Contribution Margin</w:t>
      </w:r>
      <w:r>
        <w:rPr>
          <w:rFonts w:ascii="Times New Roman;serif" w:hAnsi="Times New Roman;serif"/>
          <w:b w:val="false"/>
          <w:color w:val="000000"/>
          <w:sz w:val="20"/>
        </w:rPr>
        <w:t xml:space="preserve">. The Company's management uses Center-level Contribution Margin as the measure for assessing performance of its operating segments. As we serve more participants in existing centers, we expect to leverage our fixed cost base at those centers and increase the value of a center to our business over time.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Our ability to expand via de novo centers within existing and new markets. </w:t>
      </w:r>
      <w:r>
        <w:rPr>
          <w:rFonts w:ascii="Times New Roman;serif" w:hAnsi="Times New Roman;serif"/>
          <w:b w:val="false"/>
          <w:color w:val="000000"/>
          <w:sz w:val="20"/>
        </w:rPr>
        <w:t xml:space="preserve">Several factors can affect our ability to open de novo centers, including sanctions issued by regulators, legal, community or other obstacles in the construction of such centers, and our ability to hire and train enough workers to ramp up these centers to maturity.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response to an audit to our Sacramento center and a medical review of our San Bernardino center, which have been previously disclosed, the California Department of Health Care Services (“DHCS") notified us that it was suspending its attestations in support of the planned de novo center in Downey and the recently acquired planned de novo center in Bakersfield. CMS has closed its process and DHCS's process is ongoing. While the planned California de novo centers are precluded from opening at this time, DHCS notified us that it would consider restoring the State Attestations upon our successful remediation of the deficiencies raised in our Sacramento center and its completion of the medical review (and any potential resultant remediation that may be required) in our San Bernardino center.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Execute tuck-in acquisitions, strategic transactions and partnerships.</w:t>
      </w:r>
      <w:r>
        <w:rPr>
          <w:color w:val="000000"/>
        </w:rPr>
        <w:t xml:space="preserve"> </w:t>
      </w:r>
      <w:r>
        <w:rPr>
          <w:rFonts w:ascii="Times New Roman;serif" w:hAnsi="Times New Roman;serif"/>
          <w:b w:val="false"/>
          <w:color w:val="000000"/>
          <w:sz w:val="20"/>
        </w:rPr>
        <w:t xml:space="preserve">Since fiscal year 2019, we have acquired and integrated four PACE organizations for a total of eight operational centers (excluding the PACE center in Bakersfield, California, which is not yet operational). These acquisitions represent expansion of our InnovAge Platform into one new state and five new markets. By bringing acquired organizations under the InnovAge Platform, we hope to further realize revenue growth and improve operational efficiency and care delivery post-integration. We also have pursued and intend to continue pursuing additional relationships with key stakeholders, existing organizations and other care providers in order to form partnerships in target geographies, such as the joint venture with Orlando Health relating to our Orlando PACE center and the joint venture with Tampa General Hospital relating to our Tampa PACE center. In fiscal year 2025, we acquired certain pharmacy assets from Tabula Rasa HealthCare Group, Inc. (“TRHC”), with the goal of supporting our growth and improving pharmacy cost-management.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Our ability to maintain high quality of regulatory compliance</w:t>
      </w:r>
      <w:r>
        <w:rPr>
          <w:rFonts w:ascii="Times New Roman;serif" w:hAnsi="Times New Roman;serif"/>
          <w:b w:val="false"/>
          <w:color w:val="000000"/>
          <w:sz w:val="20"/>
        </w:rPr>
        <w:t xml:space="preserve">. The Company's priority is to continue to maintain high quality of regulatory compliance in all its centers.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Contracting with government payors</w:t>
      </w:r>
      <w:r>
        <w:rPr>
          <w:rFonts w:ascii="Times New Roman;serif" w:hAnsi="Times New Roman;serif"/>
          <w:b w:val="false"/>
          <w:color w:val="000000"/>
          <w:sz w:val="20"/>
        </w:rPr>
        <w:t>. Our economic model relies on our capitated arrangements with government payors, namely Medicare 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Investing to support growth</w:t>
      </w:r>
      <w:r>
        <w:rPr>
          <w:rFonts w:ascii="Times New Roman;serif" w:hAnsi="Times New Roman;serif"/>
          <w:b w:val="false"/>
          <w:color w:val="000000"/>
          <w:sz w:val="20"/>
        </w:rPr>
        <w:t>. We intend to continue investing in our centers, value-based care model, and sales and marketing organization to support long-term growth. We expect our expenses to increase in absolute dollars for the foreseeable future to support our growth due, partially, to additional costs we incur in connection with our audits to our centers, remediation plans and current and potential legal and regulatory proceedings. We plan to invest in future growth judiciously and maintain focus on managing our results of operations. During fiscal years 2024 and 2025, we made investments to increase our sophistication as a payor to drive clinical value, improve outcomes, and manage cost trends. We plan to continue investing in such activities in fiscal year 2026. Accordingly, in the short term, we expect these activities to increase our expenses as a percentage of revenue, but in the longer term, we anticipate that these investments will positively impact our business and results of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Seasonality of our business</w:t>
      </w:r>
      <w:r>
        <w:rPr>
          <w:rFonts w:ascii="Times New Roman;serif" w:hAnsi="Times New Roman;serif"/>
          <w:b w:val="false"/>
          <w:color w:val="000000"/>
          <w:sz w:val="20"/>
        </w:rPr>
        <w:t xml:space="preserve">. Our operational and financial results, including medical costs and per-participant revenue true-ups, experience some variability depending upon the time of year in which they are measured.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Medical costs vary most significantly as a result of (i) the weather, with certain illnesses, such as the influenza and COVID-19 viruses, being more prevalent during colder months of the year, which generally increases per-participant costs, and (ii) the number of business days in a period, with shorter periods generally having lower medical costs, all else equal. Per-participant revenue true-ups represent the difference between our estimate of per-participant capitation revenue to be received and actual revenue received from CMS, which is based on CMS’s determination of a participant’s RAF score as measured twice per year and is based on the evolving acuity of a participant. Where there is a difference between our estimate and the final determination from CMS, we may record either an increase or decrease in true-up revenue. Historically, these true-up payments typically occur between May and August, but the timing of these payments is determined by CMS, and we have neither visibility into nor control over the timing of such payments. The variability of participant enrollments and voluntary disenrollments has also been impacted by additional offerings by MA and other competitors including PACE organizations in select markets.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Components of Results of Operations</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Capitation Revenue</w:t>
      </w:r>
      <w:r>
        <w:rPr>
          <w:rFonts w:ascii="Times New Roman;serif" w:hAnsi="Times New Roman;serif"/>
          <w:b w:val="false"/>
          <w:color w:val="000000"/>
          <w:sz w:val="20"/>
          <w:shd w:fill="FFFFFF" w:val="clear"/>
        </w:rPr>
        <w:t xml:space="preserve">. In order to provide comprehensive services to manage the totality of a participant’s medical care across all settings, we receive fixed or capitated fees per participant that are paid monthly by Medicare, Medicaid, Veterans Affairs (“VA”) and private pay sources.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Medicaid and Medicare capitation revenues are based on PMPM capitation rates under the PACE program. The PACE state contracts between us and the respective state Medicaid administering agency are renewed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serif" w:hAnsi="Times New Roman;serif"/>
          <w:b w:val="false"/>
          <w:i/>
          <w:color w:val="000000"/>
          <w:sz w:val="20"/>
          <w:shd w:fill="FFFFFF" w:val="clear"/>
        </w:rPr>
        <w:t>Critical Accounting Estimates</w:t>
      </w:r>
      <w:r>
        <w:rPr>
          <w:color w:val="000000"/>
          <w:shd w:fill="FFFFFF" w:val="clear"/>
        </w:rPr>
        <w:t xml:space="preserve">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Other Service Revenue.</w:t>
      </w:r>
      <w:r>
        <w:rPr>
          <w:color w:val="000000"/>
          <w:shd w:fill="FFFFFF" w:val="clear"/>
        </w:rPr>
        <w:t xml:space="preserve"> </w:t>
      </w:r>
      <w:r>
        <w:rPr>
          <w:rFonts w:ascii="Times New Roman;serif" w:hAnsi="Times New Roman;serif"/>
          <w:b w:val="false"/>
          <w:color w:val="000000"/>
          <w:sz w:val="20"/>
          <w:shd w:fill="FFFFFF" w:val="clear"/>
        </w:rPr>
        <w:t xml:space="preserve">Other service revenue primarily consists of revenues derived from state food grants and rent revenues. For a discussion of our revenue recognition policies, please see </w:t>
      </w:r>
      <w:r>
        <w:rPr>
          <w:rFonts w:ascii="Times New Roman;serif" w:hAnsi="Times New Roman;serif"/>
          <w:b w:val="false"/>
          <w:i/>
          <w:color w:val="000000"/>
          <w:sz w:val="20"/>
          <w:shd w:fill="FFFFFF" w:val="clear"/>
        </w:rPr>
        <w:t>Critical Accounting Estimates</w:t>
      </w:r>
      <w:r>
        <w:rPr>
          <w:color w:val="000000"/>
          <w:shd w:fill="FFFFFF" w:val="clear"/>
        </w:rPr>
        <w:t xml:space="preserve">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Operating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External Provider Costs.</w:t>
      </w:r>
      <w:r>
        <w:rPr>
          <w:color w:val="000000"/>
          <w:shd w:fill="FFFFFF" w:val="clear"/>
        </w:rPr>
        <w:t xml:space="preserve"> </w:t>
      </w:r>
      <w:r>
        <w:rPr>
          <w:rFonts w:ascii="Times New Roman;serif" w:hAnsi="Times New Roman;serif"/>
          <w:b w:val="false"/>
          <w:color w:val="000000"/>
          <w:sz w:val="20"/>
          <w:shd w:fill="FFFFFF" w:val="clear"/>
        </w:rPr>
        <w:t>External provider costs consist primarily of the costs for medical care provided by non-InnovAge providers. We separate external provider costs into four categories: inpatient (e.g., hospital), housing (e.g., assisted living and skilled nursing facility), outpatient and pharmacy. In aggregate, external provider costs represent the largest portion of our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Cost of Care, Excluding Depreciation and Amortization.</w:t>
      </w:r>
      <w:r>
        <w:rPr>
          <w:color w:val="000000"/>
          <w:shd w:fill="FFFFFF" w:val="clear"/>
        </w:rPr>
        <w:t xml:space="preserve"> </w:t>
      </w:r>
      <w:r>
        <w:rPr>
          <w:rFonts w:ascii="Times New Roman;serif" w:hAnsi="Times New Roman;serif"/>
          <w:b w:val="false"/>
          <w:color w:val="000000"/>
          <w:sz w:val="20"/>
          <w:shd w:fill="FFFFFF" w:val="clear"/>
        </w:rPr>
        <w:t>Cost of care, excluding depreciation and amortization, includes the costs we incur to operate 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Sales and Marketing.</w:t>
      </w:r>
      <w:r>
        <w:rPr>
          <w:color w:val="000000"/>
          <w:shd w:fill="FFFFFF" w:val="clear"/>
        </w:rPr>
        <w:t xml:space="preserve"> </w:t>
      </w:r>
      <w:r>
        <w:rPr>
          <w:rFonts w:ascii="Times New Roman;serif" w:hAnsi="Times New Roman;serif"/>
          <w:b w:val="false"/>
          <w:color w:val="000000"/>
          <w:sz w:val="20"/>
          <w:shd w:fill="FFFFFF" w:val="clear"/>
        </w:rPr>
        <w:t xml:space="preserve">Sales and marketing expenses consist of employee-related expenses, including salaries, commissions, and employee benefits costs, for all employees engaged in marketing, sales, community outreach and sales support as well as financial eligibility support for both prospective and existing participants.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continue to grow our participant census. We evaluate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sales and marketing expenses relative to our participant growth and will invest more heavily in sales and marketing from time-to-time to the extent we believe such investment can accelerate our growth without negatively affecting profitability.</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Corporate, General and Administrative Expenses.</w:t>
      </w:r>
      <w:r>
        <w:rPr>
          <w:color w:val="000000"/>
          <w:shd w:fill="FFFFFF" w:val="clear"/>
        </w:rPr>
        <w:t xml:space="preserve"> </w:t>
      </w:r>
      <w:r>
        <w:rPr>
          <w:rFonts w:ascii="Times New Roman;serif" w:hAnsi="Times New Roman;serif"/>
          <w:b w:val="false"/>
          <w:color w:val="000000"/>
          <w:sz w:val="20"/>
          <w:shd w:fill="FFFFFF" w:val="clear"/>
        </w:rPr>
        <w:t>Corporate, general and administrative expenses include employee-related expenses, including salaries and 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 although such expenses may fluctuate as a percentage of revenue from period to period due to the timing and amount of these expenses.</w:t>
      </w:r>
    </w:p>
    <w:p>
      <w:pPr>
        <w:pStyle w:val="TextBody"/>
        <w:bidi w:val="0"/>
        <w:spacing w:lineRule="auto" w:line="288" w:before="240" w:after="283"/>
        <w:ind w:left="0" w:right="0" w:firstLine="360"/>
        <w:jc w:val="both"/>
        <w:rPr/>
      </w:pPr>
      <w:r>
        <w:rPr>
          <w:rFonts w:ascii="Times New Roman;serif" w:hAnsi="Times New Roman;serif"/>
          <w:b w:val="false"/>
          <w:i/>
          <w:color w:val="000000"/>
          <w:sz w:val="20"/>
          <w:shd w:fill="FFFFFF" w:val="clear"/>
        </w:rPr>
        <w:t xml:space="preserve">Depreciation and Amortization. </w:t>
      </w:r>
      <w:r>
        <w:rPr>
          <w:rFonts w:ascii="Times New Roman;serif" w:hAnsi="Times New Roman;serif"/>
          <w:b w:val="false"/>
          <w:color w:val="000000"/>
          <w:sz w:val="20"/>
          <w:shd w:fill="FFFFFF" w:val="clear"/>
        </w:rPr>
        <w:t>Depreciation and amortization expenses are primarily attributable to our buildings and leasehold improvements and our equipment and vehicles. Depreciation and amortization are recorded using the straight-line method over the shorter of estimated useful life or lease terms, to the extent the assets are being leased.</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For more information relating to the components of our results of operations, see </w:t>
      </w:r>
      <w:r>
        <w:rPr>
          <w:rFonts w:ascii="Times New Roman;serif" w:hAnsi="Times New Roman;serif"/>
          <w:b w:val="false"/>
          <w:i/>
          <w:color w:val="000000"/>
          <w:sz w:val="20"/>
          <w:shd w:fill="FFFFFF" w:val="clear"/>
        </w:rPr>
        <w:t xml:space="preserve">Results of Operations </w:t>
      </w:r>
      <w:r>
        <w:rPr>
          <w:rFonts w:ascii="Times New Roman;serif" w:hAnsi="Times New Roman;serif"/>
          <w:b w:val="false"/>
          <w:color w:val="000000"/>
          <w:sz w:val="20"/>
          <w:shd w:fill="FFFFFF" w:val="clear"/>
        </w:rPr>
        <w:t xml:space="preserve">below and Note 2 “Summary of Significant Accounting Policies” to our consolidated financial statements included in our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results of operations for the periods presented:</w:t>
      </w:r>
    </w:p>
    <w:tbl>
      <w:tblPr>
        <w:tblW w:w="7857" w:type="dxa"/>
        <w:jc w:val="left"/>
        <w:tblInd w:w="0" w:type="dxa"/>
        <w:tblLayout w:type="fixed"/>
        <w:tblCellMar>
          <w:top w:w="28" w:type="dxa"/>
          <w:left w:w="28" w:type="dxa"/>
          <w:bottom w:w="28" w:type="dxa"/>
          <w:right w:w="28" w:type="dxa"/>
        </w:tblCellMar>
      </w:tblPr>
      <w:tblGrid>
        <w:gridCol w:w="1700"/>
        <w:gridCol w:w="1493"/>
        <w:gridCol w:w="1502"/>
        <w:gridCol w:w="218"/>
        <w:gridCol w:w="820"/>
        <w:gridCol w:w="121"/>
        <w:gridCol w:w="121"/>
        <w:gridCol w:w="121"/>
        <w:gridCol w:w="121"/>
        <w:gridCol w:w="218"/>
        <w:gridCol w:w="820"/>
        <w:gridCol w:w="121"/>
        <w:gridCol w:w="109"/>
        <w:gridCol w:w="109"/>
        <w:gridCol w:w="109"/>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235,751 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204,800 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236,105 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205,142 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provider costs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108,863 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care, excluding 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general and administrative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assets held for sale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227,816 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210,038 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7,916 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(5,306)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Provision for Income Taxes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7,669 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(5,710)</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InnovAge Holding Corp.</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tbl>
      <w:tblPr>
        <w:tblW w:w="7960" w:type="dxa"/>
        <w:jc w:val="left"/>
        <w:tblInd w:w="0" w:type="dxa"/>
        <w:tblLayout w:type="fixed"/>
        <w:tblCellMar>
          <w:top w:w="28" w:type="dxa"/>
          <w:left w:w="28" w:type="dxa"/>
          <w:bottom w:w="28" w:type="dxa"/>
          <w:right w:w="28" w:type="dxa"/>
        </w:tblCellMar>
      </w:tblPr>
      <w:tblGrid>
        <w:gridCol w:w="603"/>
        <w:gridCol w:w="530"/>
        <w:gridCol w:w="532"/>
        <w:gridCol w:w="455"/>
        <w:gridCol w:w="345"/>
        <w:gridCol w:w="346"/>
        <w:gridCol w:w="253"/>
        <w:gridCol w:w="253"/>
        <w:gridCol w:w="253"/>
        <w:gridCol w:w="455"/>
        <w:gridCol w:w="345"/>
        <w:gridCol w:w="346"/>
        <w:gridCol w:w="109"/>
        <w:gridCol w:w="109"/>
        <w:gridCol w:w="109"/>
        <w:gridCol w:w="196"/>
        <w:gridCol w:w="646"/>
        <w:gridCol w:w="109"/>
        <w:gridCol w:w="109"/>
        <w:gridCol w:w="109"/>
        <w:gridCol w:w="109"/>
        <w:gridCol w:w="233"/>
        <w:gridCol w:w="233"/>
        <w:gridCol w:w="256"/>
        <w:gridCol w:w="109"/>
        <w:gridCol w:w="109"/>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Capitation revenue</w:t>
            </w:r>
          </w:p>
        </w:tc>
        <w:tc>
          <w:tcPr>
            <w:tcW w:w="4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235,751</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service revenue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236,105</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Capitation revenue. </w:t>
      </w:r>
      <w:r>
        <w:rPr>
          <w:rFonts w:ascii="Times New Roman;serif" w:hAnsi="Times New Roman;serif"/>
          <w:b w:val="false"/>
          <w:color w:val="000000"/>
          <w:sz w:val="20"/>
        </w:rPr>
        <w:t xml:space="preserve">Capitation revenue was $235.8 million for the three months ended September 30, 2025, an increase of $31.0 million, or 15.1%, compared to $204.8 million for the three months ended September 30, 2024. This increase was driven by a $10.6 million, or 4.7%, increase in capitation rates coupled with $20.3 million, or 9.9%, increase in member months for the three months ended September 30, 2025 as compared to the three months ended September 30, 2024. The increase in capitation rates for the three months ended September 30, 2025 was primarily driven by (i) a 7.9% annual increase in Medicaid capitation rates as determined by the States partially offset by revenue reserve and (ii) a 3.7% increase in Medicare capitation rates. The increase in member months was primarily due to growth in our California, Florida, and Colorado centers.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tbl>
      <w:tblPr>
        <w:tblW w:w="10205" w:type="dxa"/>
        <w:jc w:val="left"/>
        <w:tblInd w:w="0" w:type="dxa"/>
        <w:tblLayout w:type="fixed"/>
        <w:tblCellMar>
          <w:top w:w="28" w:type="dxa"/>
          <w:left w:w="28" w:type="dxa"/>
          <w:bottom w:w="28" w:type="dxa"/>
          <w:right w:w="28" w:type="dxa"/>
        </w:tblCellMar>
      </w:tblPr>
      <w:tblGrid>
        <w:gridCol w:w="1440"/>
        <w:gridCol w:w="1264"/>
        <w:gridCol w:w="1266"/>
        <w:gridCol w:w="453"/>
        <w:gridCol w:w="345"/>
        <w:gridCol w:w="346"/>
        <w:gridCol w:w="252"/>
        <w:gridCol w:w="252"/>
        <w:gridCol w:w="252"/>
        <w:gridCol w:w="453"/>
        <w:gridCol w:w="345"/>
        <w:gridCol w:w="346"/>
        <w:gridCol w:w="109"/>
        <w:gridCol w:w="109"/>
        <w:gridCol w:w="109"/>
        <w:gridCol w:w="241"/>
        <w:gridCol w:w="331"/>
        <w:gridCol w:w="270"/>
        <w:gridCol w:w="109"/>
        <w:gridCol w:w="109"/>
        <w:gridCol w:w="109"/>
        <w:gridCol w:w="233"/>
        <w:gridCol w:w="233"/>
        <w:gridCol w:w="307"/>
        <w:gridCol w:w="109"/>
        <w:gridCol w:w="109"/>
        <w:gridCol w:w="109"/>
        <w:gridCol w:w="109"/>
        <w:gridCol w:w="109"/>
        <w:gridCol w:w="109"/>
        <w:gridCol w:w="109"/>
        <w:gridCol w:w="159"/>
      </w:tblGrid>
      <w:tr>
        <w:trPr/>
        <w:tc>
          <w:tcPr>
            <w:tcW w:w="144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gridSpan w:val="4"/>
            <w:tcBorders/>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provider costs</w:t>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108,863</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care (excluding depreciation and amortization) </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75,886</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Sales and marketing </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7,605</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general, and administrative </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30,273</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5,085</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assets held for sale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expenses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227,816</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210,038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External provider costs. </w:t>
      </w:r>
      <w:r>
        <w:rPr>
          <w:rFonts w:ascii="Times New Roman;serif" w:hAnsi="Times New Roman;serif"/>
          <w:b w:val="false"/>
          <w:color w:val="000000"/>
          <w:sz w:val="20"/>
        </w:rPr>
        <w:t>External provider costs were $108.9 million for the three months ended September 30, 2025, an increase of $1.6 million, or 1.5%, compared to $107.2 million for the three months ended September 30, 2024. The increase was driven by an increase of $10.7 million, or 9.9%, in member months partially offset by a decrease of $9.0 million, or 7.6% in cost per participant for the three months ended September 30, 2025 as compared to the three months ended September 30, 2024. The decrease in cost per participant for the three months ended September 30, 2025 was primarily driven by a decrease in permanent nursing facility and short stay skilled nursing facility utilization, and a decrease in pharmacy expense associated with higher rebates and the transition to in-house pharmacy services. The decrease in cost per participant was partially offset by an annual increase in assisted living and permanent nursing facility unit cost.</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Cost of care (excluding depreciation and amortization). </w:t>
      </w:r>
      <w:r>
        <w:rPr>
          <w:rFonts w:ascii="Times New Roman;serif" w:hAnsi="Times New Roman;serif"/>
          <w:b w:val="false"/>
          <w:color w:val="000000"/>
          <w:sz w:val="20"/>
        </w:rPr>
        <w:t>Cost of care (excluding depreciation and amortization) expense was $75.9 million for the three months ended September 30, 2025, an increase of $12.5 million, or 19.7%, compared to $63.4 million for the three months ended September 30, 2024, due to an increase of $6.2 million, or 8.9%, in cost per participant coupled with an increase of $6.3 million, or 9.9%, in member months. The overall increase for the three months ended September 30, 2025 as compared to the three months ended September 30, 2024 was primarily driven by (i) a $4.5 million increase in salaries, wages and benefits associated with increased headcount and higher wage rates, (ii) $4.9 million in third party fees and shipping costs associated with in-house pharmacy services, and (iii) $2.1 million in fleet costs including contract transportation.</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were $7.6 million for the three months ended September 30, 2025, an increase of $1.1 million, or 17.1%, compared to $6.5 million for the three months ended September 30, 2024, primarily due to increased headcount and wage rates to support growth coupled with increased marketing spend.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Corporate, general and administrative. </w:t>
      </w:r>
      <w:r>
        <w:rPr>
          <w:rFonts w:ascii="Times New Roman;serif" w:hAnsi="Times New Roman;serif"/>
          <w:b w:val="false"/>
          <w:color w:val="000000"/>
          <w:sz w:val="20"/>
        </w:rPr>
        <w:t>Corporate, general and administrative expenses were $30.3 million for the three months ended September 30, 2025, an increase of $2.7 million, or 9.9%, compared to $27.5 million for the three months ended September 30, 2024. This increase for the three months ended September 30, 2025 as compared to the three months ended September 30, 2024 was primarily due to (i) $1.4 million increase in employee compensation and benefits as the result of an increase in headcount and wage rates to support compliance and bolster organizational capabilities, (ii) $1.1 million in software license fees, and (iii) $1.1 million in contract and professional services. These increases were partially offset by a $1.4 million decrease in legal fees.</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Loss on assets held for sale. </w:t>
      </w:r>
      <w:r>
        <w:rPr>
          <w:rFonts w:ascii="Times New Roman;serif" w:hAnsi="Times New Roman;serif"/>
          <w:b w:val="false"/>
          <w:color w:val="000000"/>
          <w:sz w:val="20"/>
        </w:rPr>
        <w:t>On September 11, 2025, the Company closed on the sale of SH1 and the adjacent vacant land and recorded an additional loss on assets held for sale of $0.1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7677" w:type="dxa"/>
        <w:jc w:val="left"/>
        <w:tblInd w:w="0" w:type="dxa"/>
        <w:tblLayout w:type="fixed"/>
        <w:tblCellMar>
          <w:top w:w="28" w:type="dxa"/>
          <w:left w:w="28" w:type="dxa"/>
          <w:bottom w:w="28" w:type="dxa"/>
          <w:right w:w="28" w:type="dxa"/>
        </w:tblCellMar>
      </w:tblPr>
      <w:tblGrid>
        <w:gridCol w:w="565"/>
        <w:gridCol w:w="497"/>
        <w:gridCol w:w="498"/>
        <w:gridCol w:w="239"/>
        <w:gridCol w:w="770"/>
        <w:gridCol w:w="133"/>
        <w:gridCol w:w="133"/>
        <w:gridCol w:w="133"/>
        <w:gridCol w:w="133"/>
        <w:gridCol w:w="239"/>
        <w:gridCol w:w="770"/>
        <w:gridCol w:w="133"/>
        <w:gridCol w:w="109"/>
        <w:gridCol w:w="109"/>
        <w:gridCol w:w="109"/>
        <w:gridCol w:w="196"/>
        <w:gridCol w:w="158"/>
        <w:gridCol w:w="158"/>
        <w:gridCol w:w="109"/>
        <w:gridCol w:w="109"/>
        <w:gridCol w:w="109"/>
        <w:gridCol w:w="159"/>
        <w:gridCol w:w="159"/>
        <w:gridCol w:w="161"/>
        <w:gridCol w:w="109"/>
        <w:gridCol w:w="109"/>
        <w:gridCol w:w="109"/>
        <w:gridCol w:w="109"/>
        <w:gridCol w:w="109"/>
        <w:gridCol w:w="109"/>
        <w:gridCol w:w="109"/>
        <w:gridCol w:w="109"/>
        <w:gridCol w:w="109"/>
        <w:gridCol w:w="109"/>
        <w:gridCol w:w="109"/>
        <w:gridCol w:w="109"/>
        <w:gridCol w:w="109"/>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Interest expense, net. </w:t>
      </w:r>
      <w:r>
        <w:rPr>
          <w:rFonts w:ascii="Times New Roman;serif" w:hAnsi="Times New Roman;serif"/>
          <w:b w:val="false"/>
          <w:color w:val="000000"/>
          <w:sz w:val="20"/>
        </w:rPr>
        <w:t>Interest expense, net, consists primarily of interest payments on our outstanding borrowings, net of interest income earned on our cash and cash equivalents and restricted cash. Interest expense, net was $1.3 million for the three months ended September 30, 2025, compared to $1.2 million for the three months ended September 30, 2024. The increase in interest expense, net for the three months ended March 31, 2025 as compared to the three months ended March 31, 2024 was primarily due to interest expense of $1.4 million, which was partially offset by interest income of $0.3 million from money market funds for the three months ended September 30, 2025. Interest expense of $1.8 million was partially offset by interest income of $0.7 million during the three months ended September 30, 2024.</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Other income (expense).</w:t>
      </w:r>
      <w:r>
        <w:rPr>
          <w:color w:val="000000"/>
        </w:rPr>
        <w:t xml:space="preserve"> </w:t>
      </w:r>
      <w:r>
        <w:rPr>
          <w:rFonts w:ascii="Times New Roman;serif" w:hAnsi="Times New Roman;serif"/>
          <w:b w:val="false"/>
          <w:color w:val="000000"/>
          <w:sz w:val="20"/>
        </w:rPr>
        <w:t>Other income (expense)</w:t>
      </w:r>
      <w:r>
        <w:rPr>
          <w:color w:val="000000"/>
        </w:rPr>
        <w:t xml:space="preserve"> </w:t>
      </w:r>
      <w:r>
        <w:rPr>
          <w:rFonts w:ascii="Times New Roman;serif" w:hAnsi="Times New Roman;serif"/>
          <w:b w:val="false"/>
          <w:color w:val="000000"/>
          <w:sz w:val="20"/>
        </w:rPr>
        <w:t>consists primarily of the net proceeds received from the sale of or disposal of property and equipment and unrealized gains and losses related to short-term investments. The increase in other income was due to dividends received of $0.5 million and a gain on disposal of assets of $0.4 million for the three months ended September 30, 2025, compared to dividends received of $0.6 million for the three months ended September 30, 2024.</w:t>
      </w:r>
    </w:p>
    <w:p>
      <w:pPr>
        <w:pStyle w:val="TextBody"/>
        <w:bidi w:val="0"/>
        <w:spacing w:lineRule="auto" w:line="288" w:before="240" w:after="283"/>
        <w:jc w:val="both"/>
        <w:rPr/>
      </w:pPr>
      <w:r>
        <w:rPr>
          <w:rFonts w:ascii="Times New Roman;serif" w:hAnsi="Times New Roman;serif"/>
          <w:b/>
          <w:i/>
          <w:color w:val="000000"/>
          <w:sz w:val="20"/>
        </w:rPr>
        <w:t>Provision for Income Taxes</w:t>
      </w:r>
      <w:r>
        <w:rPr>
          <w:color w:val="000000"/>
        </w:rPr>
        <w:t xml:space="preserv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InnovAge Sacramento, and InnovAge Orlando have elected to be taxed as partnerships, and no provision (benefit) for income taxes for SH1, InnovAge Sacramento, or InnovAge Orlando is included in the condensed consolidated financial statements. The Company entered into a joint venture called InnovAge Florida PACE II – Tampa on August 15, 2025 and its members elected to be taxed as a partnership. No provision (benefit) for income taxes for InnovAge Tampa is included in the condensed consolidated financial statements for activity occurring from joint venture formation date through the balance of the fiscal year. Further, on September 11, 2025, the Company sold its partnership interest in SH1.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(benefit) for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rPr>
        <w:t>During the three months ended September 30, 2025 and 2024, we reported an income tax expense of $0.2 million and $0.4 million, respectively.</w:t>
      </w:r>
      <w:r>
        <w:rPr>
          <w:color w:val="000000"/>
        </w:rPr>
        <w:t xml:space="preserve"> </w:t>
      </w:r>
      <w:r>
        <w:rPr>
          <w:rFonts w:ascii="Times New Roman;serif" w:hAnsi="Times New Roman;serif"/>
          <w:b w:val="false"/>
          <w:color w:val="000000"/>
          <w:sz w:val="20"/>
        </w:rPr>
        <w:t>The decrease of $0.2 million for the three months ended September 30, 2025 compared to the three months ended September 30, 2024, was primarily due to (i) our pretax book income recognized during the three months ended September 30, 2025, as compared to pretax book loss recognized during the three months ended September 30, 2024, (ii) a discrete item to account for the impact of the OBBBA, and (iii) the change in our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Business Metrics and Non-GAAP Measures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 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tbl>
      <w:tblPr>
        <w:tblW w:w="7362" w:type="dxa"/>
        <w:jc w:val="left"/>
        <w:tblInd w:w="0" w:type="dxa"/>
        <w:tblLayout w:type="fixed"/>
        <w:tblCellMar>
          <w:top w:w="28" w:type="dxa"/>
          <w:left w:w="28" w:type="dxa"/>
          <w:bottom w:w="28" w:type="dxa"/>
          <w:right w:w="28" w:type="dxa"/>
        </w:tblCellMar>
      </w:tblPr>
      <w:tblGrid>
        <w:gridCol w:w="1621"/>
        <w:gridCol w:w="1428"/>
        <w:gridCol w:w="1436"/>
        <w:gridCol w:w="218"/>
        <w:gridCol w:w="747"/>
        <w:gridCol w:w="281"/>
        <w:gridCol w:w="113"/>
        <w:gridCol w:w="113"/>
        <w:gridCol w:w="113"/>
        <w:gridCol w:w="218"/>
        <w:gridCol w:w="747"/>
        <w:gridCol w:w="327"/>
      </w:tblGrid>
      <w:tr>
        <w:trPr/>
        <w:tc>
          <w:tcPr>
            <w:tcW w:w="1621"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Business Metrics:</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Centers</w:t>
            </w:r>
            <w:r>
              <w:rPr>
                <w:rFonts w:ascii="Times New Roman;serif" w:hAnsi="Times New Roman;serif"/>
                <w:b w:val="false"/>
                <w:color w:val="000000"/>
                <w:sz w:val="13"/>
              </w:rPr>
              <w:t>(a)</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Census</w:t>
            </w:r>
            <w:r>
              <w:rPr>
                <w:rFonts w:ascii="Times New Roman;serif" w:hAnsi="Times New Roman;serif"/>
                <w:b w:val="false"/>
                <w:color w:val="000000"/>
                <w:sz w:val="13"/>
              </w:rPr>
              <w:t>(a)(b)</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Member Months</w:t>
            </w:r>
            <w:r>
              <w:rPr>
                <w:rFonts w:ascii="Times New Roman;serif" w:hAnsi="Times New Roman;serif"/>
                <w:b w:val="false"/>
                <w:color w:val="000000"/>
                <w:sz w:val="13"/>
              </w:rPr>
              <w:t>(a)(b)</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21,380</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w:t>
            </w:r>
            <w:r>
              <w:rPr>
                <w:rFonts w:ascii="Times New Roman;serif" w:hAnsi="Times New Roman;serif"/>
                <w:b w:val="false"/>
                <w:color w:val="000000"/>
                <w:sz w:val="13"/>
              </w:rPr>
              <w:t>(c)</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Center-level Contribution Margin as a % of revenue</w:t>
            </w:r>
            <w:r>
              <w:rPr>
                <w:rFonts w:ascii="Times New Roman;serif" w:hAnsi="Times New Roman;serif"/>
                <w:b w:val="false"/>
                <w:color w:val="000000"/>
                <w:sz w:val="13"/>
              </w:rPr>
              <w:t>(c)</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Measures: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margin</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Measures: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(c)</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EBITDA Margin</w:t>
            </w:r>
            <w:r>
              <w:rPr>
                <w:rFonts w:ascii="Times New Roman;serif" w:hAnsi="Times New Roman;serif"/>
                <w:b w:val="false"/>
                <w:color w:val="000000"/>
                <w:sz w:val="13"/>
              </w:rPr>
              <w:t>(c)</w:t>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pPr>
      <w:r>
        <w:rPr>
          <w:rFonts w:ascii="Times New Roman;serif" w:hAnsi="Times New Roman;serif"/>
          <w:b w:val="false"/>
          <w:color w:val="000000"/>
          <w:sz w:val="12"/>
        </w:rPr>
        <w:t>(a)</w:t>
      </w:r>
      <w:r>
        <w:rPr>
          <w:rFonts w:ascii="Times New Roman;serif" w:hAnsi="Times New Roman;serif"/>
          <w:b w:val="false"/>
          <w:color w:val="000000"/>
          <w:sz w:val="18"/>
        </w:rPr>
        <w:t>Includes InnovAge Sacramento, InnovAge Orlando and, as of August 15, 2025, InnovAge Tampa, which the Company owns and controls through joint ventures and are consolidated in our financial statements.</w:t>
      </w:r>
    </w:p>
    <w:p>
      <w:pPr>
        <w:pStyle w:val="TextBody"/>
        <w:bidi w:val="0"/>
        <w:spacing w:lineRule="auto" w:line="288" w:before="0" w:after="0"/>
        <w:ind w:left="0" w:right="0" w:hanging="360"/>
        <w:jc w:val="both"/>
        <w:rPr/>
      </w:pPr>
      <w:r>
        <w:rPr>
          <w:rFonts w:ascii="Times New Roman;serif" w:hAnsi="Times New Roman;serif"/>
          <w:b w:val="false"/>
          <w:color w:val="000000"/>
          <w:sz w:val="12"/>
        </w:rPr>
        <w:t>(b)</w:t>
      </w:r>
      <w:r>
        <w:rPr>
          <w:rFonts w:ascii="Times New Roman;serif" w:hAnsi="Times New Roman;serif"/>
          <w:b w:val="false"/>
          <w:color w:val="000000"/>
          <w:sz w:val="18"/>
        </w:rPr>
        <w:t>Amounts are approximate.</w:t>
      </w:r>
    </w:p>
    <w:p>
      <w:pPr>
        <w:pStyle w:val="TextBody"/>
        <w:bidi w:val="0"/>
        <w:spacing w:lineRule="auto" w:line="288" w:before="0" w:after="0"/>
        <w:ind w:left="0" w:right="0" w:hanging="360"/>
        <w:jc w:val="both"/>
        <w:rPr/>
      </w:pPr>
      <w:r>
        <w:rPr>
          <w:rFonts w:ascii="Times New Roman;serif" w:hAnsi="Times New Roman;serif"/>
          <w:b w:val="false"/>
          <w:color w:val="000000"/>
          <w:sz w:val="12"/>
        </w:rPr>
        <w:t>(c)</w:t>
      </w:r>
      <w:r>
        <w:rPr>
          <w:rFonts w:ascii="Times New Roman;serif" w:hAnsi="Times New Roman;serif"/>
          <w:b w:val="false"/>
          <w:color w:val="000000"/>
          <w:sz w:val="18"/>
        </w:rPr>
        <w:t>Center-level Contribution Margin, Center-level Contribution Margin as a percentage of revenue, Adjusted EBITDA and Adjusted EBITDA margin are non-GAAP measures. For a definition and reconciliation of these non-GAAP measures to the most closely comparable GAAP measures for the period indicated, see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our centers as those centers open for business and attending to participants at the end of a particular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Census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census is comprised of our capitated participants for whom we are financially responsible for their total healthcare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Total Member Months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Center-level Contribution Margin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$51.4 million and $34.5 million for the three months ended September 30, 2025 and 2024, respectively. The increase in Center-level Contribution Margin for the three months ended September 30, 2025 compared to the three months ended September 30, 2024 was primarily due to a 15.1% increase in total revenue, offset by a 8.3% increase in external provider costs and cost of care, excluding depreciation and amortization, during the same period. For more information relating to Center-level Contribution Margin, see Note 14 “Segment Reporting” to our condensed consolidated financial statements. A reconciliation of Center-level Contribution Margin to income (loss) before income taxes, the most directly comparable GAAP measure, for each of the periods is as follows:</w:t>
      </w:r>
    </w:p>
    <w:tbl>
      <w:tblPr>
        <w:tblW w:w="10205" w:type="dxa"/>
        <w:jc w:val="left"/>
        <w:tblInd w:w="0" w:type="dxa"/>
        <w:tblLayout w:type="fixed"/>
        <w:tblCellMar>
          <w:top w:w="28" w:type="dxa"/>
          <w:left w:w="28" w:type="dxa"/>
          <w:bottom w:w="28" w:type="dxa"/>
          <w:right w:w="28" w:type="dxa"/>
        </w:tblCellMar>
      </w:tblPr>
      <w:tblGrid>
        <w:gridCol w:w="934"/>
        <w:gridCol w:w="578"/>
        <w:gridCol w:w="540"/>
        <w:gridCol w:w="211"/>
        <w:gridCol w:w="826"/>
        <w:gridCol w:w="109"/>
        <w:gridCol w:w="109"/>
        <w:gridCol w:w="109"/>
        <w:gridCol w:w="109"/>
        <w:gridCol w:w="220"/>
        <w:gridCol w:w="424"/>
        <w:gridCol w:w="113"/>
        <w:gridCol w:w="109"/>
        <w:gridCol w:w="109"/>
        <w:gridCol w:w="109"/>
        <w:gridCol w:w="211"/>
        <w:gridCol w:w="826"/>
        <w:gridCol w:w="271"/>
        <w:gridCol w:w="109"/>
        <w:gridCol w:w="109"/>
        <w:gridCol w:w="109"/>
        <w:gridCol w:w="211"/>
        <w:gridCol w:w="826"/>
        <w:gridCol w:w="109"/>
        <w:gridCol w:w="109"/>
        <w:gridCol w:w="109"/>
        <w:gridCol w:w="109"/>
        <w:gridCol w:w="215"/>
        <w:gridCol w:w="477"/>
        <w:gridCol w:w="111"/>
        <w:gridCol w:w="109"/>
        <w:gridCol w:w="109"/>
        <w:gridCol w:w="109"/>
        <w:gridCol w:w="211"/>
        <w:gridCol w:w="826"/>
        <w:gridCol w:w="321"/>
      </w:tblGrid>
      <w:tr>
        <w:trPr/>
        <w:tc>
          <w:tcPr>
            <w:tcW w:w="93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5923" w:type="dxa"/>
            <w:gridSpan w:val="24"/>
            <w:tcBorders/>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r>
      <w:tr>
        <w:trPr/>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All other</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Capitation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204,800 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service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205,142 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provider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care, excluding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63,387 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Center-Level Contribution Margin</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34,541 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general and administrative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held for sale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 as a % of revenue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Center- Level Contribution Margin as a %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before="0" w:after="0"/>
        <w:jc w:val="both"/>
        <w:rPr/>
      </w:pPr>
      <w:r>
        <w:rPr/>
      </w:r>
    </w:p>
    <w:p>
      <w:pPr>
        <w:pStyle w:val="TextBody"/>
        <w:bidi w:val="0"/>
        <w:spacing w:lineRule="auto" w:line="276"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(a)Center-level Contribution Margin from a segment below the quantitative thresholds is attributable to the Senior Housing operating segment of the Company. This segment has never met any of the quantitative thresholds for determining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before="0" w:after="0"/>
        <w:jc w:val="both"/>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as net income (loss) adjusted for interest expense, net, other investment income, depreciation and amortization, and provision (benefit) for income tax as well as addbacks for non-recurring expenses or exceptional items, including charges relating to management equity compensation, litigation costs and settlements, M&amp;A diligence, transaction and integration, business optimization, loss on assets held for sale and gain on sale of assets. Adjusted EBITDA margin is Adjusted EBITDA expressed as a percentage of our total revenue. For the three months ended September 30, 2025 and 2024, net income (loss) was $7.7 million and $(5.7) million, respectively, representing a year-over-year decrease of (234.3)%. For the three months ended September 30, 2025, net income margin was 3.2%, as compared to net loss margin of 2.8% for the three months ended September 30, 2024. The increase in Adjusted EBITDA and Adjusted EBITDA margin was primarily due to (i) increased census, (ii) increased capitation rates and (iii) lower per participant external provider costs, partially offset by (i) increased center-level headcount and wage rates associated with census growth and a competitive labor market and (ii) increased costs associated with transition to in-house pharmacy services.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 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 Effective for the year ended June 30, 2024 and going forward, the Company revised its calculation of Adjusted EBITDA to no longer exclude de novo center development costs and to reflect the impact of other investment income. The presentation for the three months ended September 30, 2024 has been recast to conform to the current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net income (loss) to Adjusted EBITDA, the most directly comparable GAAP measure, for each of the periods is as follows:</w:t>
      </w:r>
    </w:p>
    <w:tbl>
      <w:tblPr>
        <w:tblW w:w="7134" w:type="dxa"/>
        <w:jc w:val="left"/>
        <w:tblInd w:w="0" w:type="dxa"/>
        <w:tblLayout w:type="fixed"/>
        <w:tblCellMar>
          <w:top w:w="28" w:type="dxa"/>
          <w:left w:w="28" w:type="dxa"/>
          <w:bottom w:w="28" w:type="dxa"/>
          <w:right w:w="28" w:type="dxa"/>
        </w:tblCellMar>
      </w:tblPr>
      <w:tblGrid>
        <w:gridCol w:w="1385"/>
        <w:gridCol w:w="1214"/>
        <w:gridCol w:w="1225"/>
        <w:gridCol w:w="251"/>
        <w:gridCol w:w="859"/>
        <w:gridCol w:w="129"/>
        <w:gridCol w:w="129"/>
        <w:gridCol w:w="129"/>
        <w:gridCol w:w="129"/>
        <w:gridCol w:w="251"/>
        <w:gridCol w:w="823"/>
        <w:gridCol w:w="129"/>
        <w:gridCol w:w="109"/>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investment income</w:t>
            </w:r>
            <w:r>
              <w:rPr>
                <w:rFonts w:ascii="Times New Roman;serif" w:hAnsi="Times New Roman;serif"/>
                <w:b w:val="false"/>
                <w:color w:val="000000"/>
                <w:sz w:val="13"/>
              </w:rPr>
              <w:t>(a)</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Litigation costs and settlement</w:t>
            </w:r>
            <w:r>
              <w:rPr>
                <w:rFonts w:ascii="Times New Roman;serif" w:hAnsi="Times New Roman;serif"/>
                <w:b w:val="false"/>
                <w:color w:val="000000"/>
                <w:sz w:val="13"/>
              </w:rPr>
              <w:t>(b)</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M&amp;A diligence, transaction and integration</w:t>
            </w:r>
            <w:r>
              <w:rPr>
                <w:rFonts w:ascii="Times New Roman;serif" w:hAnsi="Times New Roman;serif"/>
                <w:b w:val="false"/>
                <w:color w:val="000000"/>
                <w:sz w:val="13"/>
              </w:rPr>
              <w:t>(c)</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Business optimization</w:t>
            </w:r>
            <w:r>
              <w:rPr>
                <w:rFonts w:ascii="Times New Roman;serif" w:hAnsi="Times New Roman;serif"/>
                <w:b w:val="false"/>
                <w:color w:val="000000"/>
                <w:sz w:val="13"/>
              </w:rPr>
              <w:t>(d)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assets held for sale</w:t>
            </w:r>
            <w:r>
              <w:rPr>
                <w:rFonts w:ascii="Times New Roman;serif" w:hAnsi="Times New Roman;serif"/>
                <w:b w:val="false"/>
                <w:color w:val="000000"/>
                <w:sz w:val="13"/>
              </w:rPr>
              <w:t>(e)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assets</w:t>
            </w:r>
            <w:r>
              <w:rPr>
                <w:rFonts w:ascii="Times New Roman;serif" w:hAnsi="Times New Roman;serif"/>
                <w:b w:val="false"/>
                <w:color w:val="000000"/>
                <w:sz w:val="13"/>
              </w:rPr>
              <w:t>(f)</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(a)Reflects investment income related to short-term investments included in our consolidated statement of operations.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(b)Reflects charges/(credits) related to litigation by stockholders, civil investigative demands, and arbitration with our former pharmacy provider.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(c)Reflects charges related to M&amp;A diligence, transaction and integrations.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(d)Reflects charges related to business optimization initiatives. Such charges relate to one-time investments in projects designed to enhance our technology and compliance systems and improve and support the efficiency and effectiveness of our operations. For the three months ended September 30, 2025, this consists of costs related to organizational restructure and executive severance. For the three months ended September 30, 2024, this includes (i) $0.4 million of organizational restructure and (ii) $0.2 million related to other non-recurring projects aimed at reducing costs and improving efficiencies.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(e)Reflects additional loss related to the Company's sale of its managing member interest in SH1 and the adjacent vacant land. </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(f)Reflects gain on sale of center equipment that was originally purchased for the center in Louisville, Kentucky.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180"/>
        <w:jc w:val="left"/>
        <w:rPr>
          <w:rFonts w:ascii="Times New Roman;serif" w:hAnsi="Times New Roman;serif"/>
          <w:b w:val="false"/>
          <w:i/>
          <w:color w:val="000000"/>
          <w:sz w:val="20"/>
        </w:rPr>
      </w:pPr>
      <w:r>
        <w:rPr>
          <w:rFonts w:ascii="Times New Roman;serif" w:hAnsi="Times New Roman;serif"/>
          <w:b w:val="false"/>
          <w:i/>
          <w:color w:val="000000"/>
          <w:sz w:val="20"/>
        </w:rPr>
        <w:t>General</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financed our operations principally through cash flows from operations and through borrowings under our credit facilities. As of September 30, 2025, we had cash and cash equivalents of $67.1 million, an increase of $3.0 million from June 30, 2025, and short-term investments of $42.3 million, an increase of $0.5 million from June 30, 2025. The increase in cash and cash equivalents and short-term investments was primarily due to timing of cash receipts for services provided and share repurchase activity. Our cash and cash equivalents primarily consist of highly liquid investments in demand deposit accounts and cash. Our short-term investments primarily consist of investments in mutual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capital resources are generally used to fund (i) debt service requirements, the majority of which relate to the quarterly principal payments of the Term Loan A Facility (as defined below) due 2028, (ii) finance and operating lease obligations, which are generally paid on a monthly basis and expire on various terms from calendar year 2025 through 2039, (iii) the operations of our business, (iv) income tax payments, which are generally due on a quarterly and annual basis, (v) capital additions, which include acquisitions and de novo centers, and (vi) share repurchases authorized under the Board approved program, if any. We also will continue investing in resources and initiatives to provide necessary and quality services to our participants. Collectively, these obligations are expected to represent a significant liquidity requirement of our Company on both a short-term (next 12 months) and long-term (beyond 12 months)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8, 2021, the Company entered into a credit agreement (as amended, the "Credit Agreement") that consisted of a senior secured term loan (the “Term Loan Facility”) of $75.0 million principal amount and a revolving credit facility (the “Revolving Credit Facility”) of $100.0 million maximum borrowing capacity. On August 8, 2025, the Company entered into Amendment No. 2 to the Credit Agreement. Following entry into Amendment No. 2 to the Credit Agreement, the Term Loan Facility was replaced by a $50.7 million term loan (the "Term Loan A Facility"), the commitments with respect to the Revolving Credit Facility were renewed, and the maturity dates for both the Term Loan A Facility and the Revolving Credit Facility were extended. As of September 30, 2025, we had $60.1 million of debt outstanding, which includes $50.7 million under our Term Loan A Facility and $9.4 million draw on our Revolving Credit Facility, each of which matures on August 8, 2028.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future minimum operating lease payments under non-cancellable leases through the year 2039 of $36.4 million. We also had non-cancellable finance lease agreements with third parties through the year 2029 with future minimum payments of $15.4 million. For additional information, see Note 7, “Leases”, Note 8, “Long-Term Debt”, and Note 9, “Commitments and Contingencies” to our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our cash flows from operations, available funds, and access to financing sources, including our Revolving Credit Facility,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borrowing capacity under the Revolving Credit Facility is subject (i) any issued amounts under our letters of credit and (ii) applicable covenant compliance restrictions and any other conditions precedent to borrowing. Principal on the Term Loan A Facility is paid each calendar quarter in an amount equal to 1.25% of the initial term loan on closing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Outstanding principal amounts under the Credit Agreement accrue interest at a variable interest rate. As of September 30, 2025, the interest rate on the Term Loan A Facility was 6.63%. Under the terms of the Credit Agreement, the Revolving Credit Facility fee accrues at 0.25% of the average daily unused amount and is paid quarterly. As of September 30, 2025, we had $9.4 million of borrowings outstanding, $5.2 million of letters of credit issued, and $85.4 million of remaining borrowing capacity under the Revolving Credit Facility.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more information about our debt, see Note 8 “Long-Term Debt” to our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with respect to Board-approved share repurchase programs, if any, we currently intend to retain substantially all available funds and any future earnings to fund the development and growth of our business and to repay indebtedness, and do not anticipate paying any cash dividends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ind w:left="0" w:right="0" w:firstLine="180"/>
        <w:jc w:val="both"/>
        <w:rPr>
          <w:rFonts w:ascii="Times New Roman;serif" w:hAnsi="Times New Roman;serif"/>
          <w:b/>
          <w:i/>
          <w:color w:val="000000"/>
          <w:sz w:val="20"/>
        </w:rPr>
      </w:pPr>
      <w:r>
        <w:rPr>
          <w:rFonts w:ascii="Times New Roman;serif" w:hAnsi="Times New Roman;serif"/>
          <w:b/>
          <w:i/>
          <w:color w:val="000000"/>
          <w:sz w:val="20"/>
        </w:rPr>
        <w:t>Condensed Consolidated Statements of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statements of cash flows for the three months ended September 30, 2025 and 2024 are summarized as follows:</w:t>
      </w:r>
    </w:p>
    <w:tbl>
      <w:tblPr>
        <w:tblW w:w="8876" w:type="dxa"/>
        <w:jc w:val="left"/>
        <w:tblInd w:w="0" w:type="dxa"/>
        <w:tblLayout w:type="fixed"/>
        <w:tblCellMar>
          <w:top w:w="28" w:type="dxa"/>
          <w:left w:w="28" w:type="dxa"/>
          <w:bottom w:w="28" w:type="dxa"/>
          <w:right w:w="28" w:type="dxa"/>
        </w:tblCellMar>
      </w:tblPr>
      <w:tblGrid>
        <w:gridCol w:w="1679"/>
        <w:gridCol w:w="1473"/>
        <w:gridCol w:w="1482"/>
        <w:gridCol w:w="251"/>
        <w:gridCol w:w="734"/>
        <w:gridCol w:w="129"/>
        <w:gridCol w:w="129"/>
        <w:gridCol w:w="129"/>
        <w:gridCol w:w="129"/>
        <w:gridCol w:w="251"/>
        <w:gridCol w:w="948"/>
        <w:gridCol w:w="129"/>
        <w:gridCol w:w="109"/>
        <w:gridCol w:w="109"/>
        <w:gridCol w:w="109"/>
        <w:gridCol w:w="211"/>
        <w:gridCol w:w="721"/>
        <w:gridCol w:w="154"/>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Operating Activities. </w:t>
      </w:r>
      <w:r>
        <w:rPr>
          <w:rFonts w:ascii="Times New Roman;serif" w:hAnsi="Times New Roman;serif"/>
          <w:b w:val="false"/>
          <w:color w:val="000000"/>
          <w:sz w:val="20"/>
        </w:rPr>
        <w:t xml:space="preserve">The change in net cash provided by (used in) operating activities for the three months ended September 30, 2025 compared to the three months ended September 30, 2024 was driven primarily by $13.2 million increase in net income, net of non-cash adjustments.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Investing Activities. </w:t>
      </w:r>
      <w:r>
        <w:rPr>
          <w:rFonts w:ascii="Times New Roman;serif" w:hAnsi="Times New Roman;serif"/>
          <w:b w:val="false"/>
          <w:color w:val="000000"/>
          <w:sz w:val="20"/>
        </w:rPr>
        <w:t xml:space="preserve">The change in net cash used in investing activities for the three months ended September 30, 2025 compared to the three months ended September 30, 2024 was primarily due to $3.7 million of net proceeds from the sale of assets held for sale, partially offset by a $1.9 million increase in purchases of property and equipment to support growth.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Financing activities. </w:t>
      </w:r>
      <w:r>
        <w:rPr>
          <w:rFonts w:ascii="Times New Roman;serif" w:hAnsi="Times New Roman;serif"/>
          <w:b w:val="false"/>
          <w:color w:val="000000"/>
          <w:sz w:val="20"/>
        </w:rPr>
        <w:t xml:space="preserve">The increase in net cash used in financing activities for the three months ended September 30, 2025 compared to the three months ended September 30, 2024 was primarily due to the $3.2 million contribution from the InnovAge Tampa JV partner and $4.8 million of share repurchases that occurred in the prior year and did not reoccur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qualify as an “emerging growth company” pursuant to the provisions of the Jumpstart Our Business Startups (“JOBS”) Act and a “smaller reporting company” as defined by the Exchange Act. For as long as we are an “emerging growth company” or a “smaller reporting company,” which we expect to be through the end of fiscal year 2026,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reported amounts of revenues and expenses during the reporting period. Actual results may differ from these estimates under different assumptions or conditions, impacting our reported results of operations and financial condition.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a description of our estimates regarding our critical accounting estimates, see “Critical Accounting Estimates” in the 2025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quantitative and qualitative disclosures about market risk for the three months ended September 30, 2025. See Part II, Item 7A of our 2025 Form 10-K for a detailed discussion of our market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212529"/>
          <w:sz w:val="20"/>
        </w:rPr>
      </w:pPr>
      <w:r>
        <w:rPr>
          <w:rFonts w:ascii="Times New Roman;serif" w:hAnsi="Times New Roman;serif"/>
          <w:b/>
          <w:color w:val="212529"/>
          <w:sz w:val="20"/>
        </w:rPr>
        <w:t xml:space="preserve">Evaluation of Disclosure Controls and Procedures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September 30, 2025.</w:t>
      </w:r>
    </w:p>
    <w:p>
      <w:pPr>
        <w:pStyle w:val="TextBody"/>
        <w:bidi w:val="0"/>
        <w:spacing w:lineRule="auto" w:line="288" w:before="240" w:after="283"/>
        <w:jc w:val="both"/>
        <w:rPr>
          <w:rFonts w:ascii="Times New Roman;serif" w:hAnsi="Times New Roman;serif"/>
          <w:b/>
          <w:color w:val="212529"/>
          <w:sz w:val="20"/>
        </w:rPr>
      </w:pPr>
      <w:r>
        <w:rPr>
          <w:rFonts w:ascii="Times New Roman;serif" w:hAnsi="Times New Roman;serif"/>
          <w:b/>
          <w:color w:val="212529"/>
          <w:sz w:val="20"/>
        </w:rPr>
        <w:t xml:space="preserve">Changes in Internal Control Over Financial Reporting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changes in internal control over financial reporting during the quarter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information regarding our material pending legal proceedings, refer to Note 9 “Commitments and Contingencies” to our Condensed Consolidated Financial Statements located in Item 1 of Part I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Information regarding our risk factors is disclosed in Item 1A of our</w:t>
      </w:r>
      <w:r>
        <w:rPr>
          <w:color w:val="212529"/>
        </w:rPr>
        <w:t xml:space="preserve"> </w:t>
      </w:r>
      <w:r>
        <w:rPr>
          <w:rFonts w:ascii="Times New Roman;serif" w:hAnsi="Times New Roman;serif"/>
          <w:b w:val="false"/>
          <w:color w:val="000000"/>
          <w:sz w:val="20"/>
        </w:rPr>
        <w:t>2025</w:t>
      </w:r>
      <w:r>
        <w:rPr>
          <w:color w:val="212529"/>
        </w:rPr>
        <w:t xml:space="preserve"> </w:t>
      </w:r>
      <w:r>
        <w:rPr>
          <w:rFonts w:ascii="Times New Roman;serif" w:hAnsi="Times New Roman;serif"/>
          <w:b w:val="false"/>
          <w:color w:val="212529"/>
          <w:sz w:val="20"/>
        </w:rPr>
        <w:t>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all exhibits filed or furnished as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91"/>
        <w:gridCol w:w="2654"/>
        <w:gridCol w:w="3787"/>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Second Amended and Restated Certificate of Incorporation of InnovAge Holding Corp., filed March 3, 2021 (incorporated by reference to Exhibit 3.1 to the Company’s Current Report on Form 8-K filed with the SEC on March 8,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 xml:space="preserve">Certificate of Amendment to the Second Amended and Restated Certificate of Incorporation of InnovAge Holding Corp. (incorporated by reference to Exhibit 3.2 to the Company's Quarterly Report on Form 10-Q filed with the SEC on February 2, 2025). </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InnovAge Holding Corp., effective March 3, 2021 (incorporated by reference to Exhibit 3.2 to the Company’s Current Report on Form 8-K filed with the SEC on March 8, 2021).</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6">
              <w:r>
                <w:rPr>
                  <w:rStyle w:val="InternetLink"/>
                  <w:rFonts w:ascii="Times New Roman;serif" w:hAnsi="Times New Roman;serif"/>
                  <w:b w:val="false"/>
                  <w:color w:val="000080"/>
                  <w:sz w:val="20"/>
                  <w:u w:val="single"/>
                </w:rPr>
                <w:t>A</w:t>
              </w:r>
            </w:hyperlink>
            <w:hyperlink r:id="rId7">
              <w:r>
                <w:rPr>
                  <w:rStyle w:val="InternetLink"/>
                  <w:rFonts w:ascii="Times New Roman;serif" w:hAnsi="Times New Roman;serif"/>
                  <w:b w:val="false"/>
                  <w:color w:val="000080"/>
                  <w:sz w:val="20"/>
                  <w:u w:val="single"/>
                </w:rPr>
                <w:t>mendment No. 2</w:t>
              </w:r>
            </w:hyperlink>
            <w:hyperlink r:id="rId8">
              <w:r>
                <w:rPr>
                  <w:rStyle w:val="InternetLink"/>
                  <w:rFonts w:ascii="Times New Roman;serif" w:hAnsi="Times New Roman;serif"/>
                  <w:b w:val="false"/>
                  <w:color w:val="000080"/>
                  <w:sz w:val="20"/>
                  <w:u w:val="single"/>
                </w:rPr>
                <w:t xml:space="preserve"> to the Credit Agreement, dated as of August 8, 2025, by and among Total Community Options, Inc., TCO Intermediate Holdings, Inc., JPMorgan Chase Bank, N.A., as administrative agent, and the other parties thereto (including Exhi</w:t>
              </w:r>
            </w:hyperlink>
            <w:hyperlink r:id="rId9">
              <w:r>
                <w:rPr>
                  <w:rStyle w:val="InternetLink"/>
                  <w:rFonts w:ascii="Times New Roman;serif" w:hAnsi="Times New Roman;serif"/>
                  <w:b w:val="false"/>
                  <w:color w:val="000080"/>
                  <w:sz w:val="20"/>
                  <w:u w:val="single"/>
                </w:rPr>
                <w:t xml:space="preserve">bit A, which is a conformed copy of the Credit Agreement) (incorporated by reference to Exhibit 10.1 to the Company's Current Report on Form 8-K filed with the SEC on August 11, 2025).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novage-meredithdelkea922.htm">
              <w:r>
                <w:rPr>
                  <w:rStyle w:val="InternetLink"/>
                  <w:rFonts w:ascii="Times New Roman;serif" w:hAnsi="Times New Roman;serif"/>
                  <w:b w:val="false"/>
                  <w:color w:val="000080"/>
                  <w:sz w:val="20"/>
                  <w:u w:val="single"/>
                </w:rPr>
                <w:t>E</w:t>
              </w:r>
            </w:hyperlink>
            <w:hyperlink w:anchor="innovage-meredithdelkea922.htm">
              <w:r>
                <w:rPr>
                  <w:rStyle w:val="InternetLink"/>
                  <w:rFonts w:ascii="Times New Roman;serif" w:hAnsi="Times New Roman;serif"/>
                  <w:b w:val="false"/>
                  <w:color w:val="000080"/>
                  <w:sz w:val="20"/>
                  <w:u w:val="single"/>
                </w:rPr>
                <w:t>mployment A</w:t>
              </w:r>
            </w:hyperlink>
            <w:hyperlink w:anchor="innovage-meredithdelkea922.htm">
              <w:r>
                <w:rPr>
                  <w:rStyle w:val="InternetLink"/>
                  <w:rFonts w:ascii="Times New Roman;serif" w:hAnsi="Times New Roman;serif"/>
                  <w:b w:val="false"/>
                  <w:color w:val="000080"/>
                  <w:sz w:val="20"/>
                  <w:u w:val="single"/>
                </w:rPr>
                <w:t>g</w:t>
              </w:r>
            </w:hyperlink>
            <w:hyperlink w:anchor="innovage-meredithdelkea922.htm">
              <w:r>
                <w:rPr>
                  <w:rStyle w:val="InternetLink"/>
                  <w:rFonts w:ascii="Times New Roman;serif" w:hAnsi="Times New Roman;serif"/>
                  <w:b w:val="false"/>
                  <w:color w:val="000080"/>
                  <w:sz w:val="20"/>
                  <w:u w:val="single"/>
                </w:rPr>
                <w:t xml:space="preserve">reement, </w:t>
              </w:r>
            </w:hyperlink>
            <w:hyperlink w:anchor="innovage-meredithdelkea922.htm">
              <w:r>
                <w:rPr>
                  <w:rStyle w:val="InternetLink"/>
                  <w:rFonts w:ascii="Times New Roman;serif" w:hAnsi="Times New Roman;serif"/>
                  <w:b w:val="false"/>
                  <w:color w:val="000080"/>
                  <w:sz w:val="20"/>
                  <w:u w:val="single"/>
                </w:rPr>
                <w:t>effective</w:t>
              </w:r>
            </w:hyperlink>
            <w:hyperlink w:anchor="innovage-meredithdelkea922.htm">
              <w:r>
                <w:rPr>
                  <w:rStyle w:val="InternetLink"/>
                  <w:rFonts w:ascii="Times New Roman;serif" w:hAnsi="Times New Roman;serif"/>
                  <w:b w:val="false"/>
                  <w:color w:val="000080"/>
                  <w:sz w:val="20"/>
                  <w:u w:val="single"/>
                </w:rPr>
                <w:t xml:space="preserve"> Septe</w:t>
              </w:r>
            </w:hyperlink>
            <w:hyperlink w:anchor="innovage-meredithdelkea922.htm">
              <w:r>
                <w:rPr>
                  <w:rStyle w:val="InternetLink"/>
                  <w:rFonts w:ascii="Times New Roman;serif" w:hAnsi="Times New Roman;serif"/>
                  <w:b w:val="false"/>
                  <w:color w:val="000080"/>
                  <w:sz w:val="20"/>
                  <w:u w:val="single"/>
                </w:rPr>
                <w:t xml:space="preserve">mber </w:t>
              </w:r>
            </w:hyperlink>
            <w:hyperlink w:anchor="innovage-meredithdelkea922.htm">
              <w:r>
                <w:rPr>
                  <w:rStyle w:val="InternetLink"/>
                  <w:rFonts w:ascii="Times New Roman;serif" w:hAnsi="Times New Roman;serif"/>
                  <w:b w:val="false"/>
                  <w:color w:val="000080"/>
                  <w:sz w:val="20"/>
                  <w:u w:val="single"/>
                </w:rPr>
                <w:t>30</w:t>
              </w:r>
            </w:hyperlink>
            <w:hyperlink w:anchor="innovage-meredithdelkea922.htm">
              <w:r>
                <w:rPr>
                  <w:rStyle w:val="InternetLink"/>
                  <w:rFonts w:ascii="Times New Roman;serif" w:hAnsi="Times New Roman;serif"/>
                  <w:b w:val="false"/>
                  <w:color w:val="000080"/>
                  <w:sz w:val="20"/>
                  <w:u w:val="single"/>
                </w:rPr>
                <w:t>, 2025</w:t>
              </w:r>
            </w:hyperlink>
            <w:hyperlink w:anchor="innovage-meredithdelkea922.htm">
              <w:r>
                <w:rPr>
                  <w:rStyle w:val="InternetLink"/>
                  <w:rFonts w:ascii="Times New Roman;serif" w:hAnsi="Times New Roman;serif"/>
                  <w:b w:val="false"/>
                  <w:color w:val="000080"/>
                  <w:sz w:val="20"/>
                  <w:u w:val="single"/>
                </w:rPr>
                <w:t xml:space="preserve">, </w:t>
              </w:r>
            </w:hyperlink>
            <w:hyperlink w:anchor="innovage-meredithdelkea922.htm">
              <w:r>
                <w:rPr>
                  <w:rStyle w:val="InternetLink"/>
                  <w:rFonts w:ascii="Times New Roman;serif" w:hAnsi="Times New Roman;serif"/>
                  <w:b w:val="false"/>
                  <w:color w:val="000080"/>
                  <w:sz w:val="20"/>
                  <w:u w:val="single"/>
                </w:rPr>
                <w:t>by and between Total Community Options, Inc. and Meredith Delk</w:t>
              </w:r>
            </w:hyperlink>
            <w:hyperlink w:anchor="innovage-meredithdelkea922.htm">
              <w:r>
                <w:rPr>
                  <w:rStyle w:val="InternetLink"/>
                  <w:rFonts w:ascii="Times New Roman;serif" w:hAnsi="Times New Roman;serif"/>
                  <w:b w:val="false"/>
                  <w:color w:val="000080"/>
                  <w:sz w:val="20"/>
                  <w:u w:val="single"/>
                </w:rPr>
                <w:t>.</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0">
              <w:r>
                <w:rPr>
                  <w:rStyle w:val="InternetLink"/>
                  <w:rFonts w:ascii="Times New Roman;serif" w:hAnsi="Times New Roman;serif"/>
                  <w:b w:val="false"/>
                  <w:color w:val="000080"/>
                  <w:sz w:val="20"/>
                  <w:u w:val="single"/>
                </w:rPr>
                <w:t>C</w:t>
              </w:r>
            </w:hyperlink>
            <w:hyperlink r:id="rId11">
              <w:r>
                <w:rPr>
                  <w:rStyle w:val="InternetLink"/>
                  <w:rFonts w:ascii="Times New Roman;serif" w:hAnsi="Times New Roman;serif"/>
                  <w:b w:val="false"/>
                  <w:color w:val="000080"/>
                  <w:sz w:val="20"/>
                  <w:u w:val="single"/>
                </w:rPr>
                <w:t xml:space="preserve">lass B Unit Award Agreement, dated </w:t>
              </w:r>
            </w:hyperlink>
            <w:hyperlink r:id="rId12">
              <w:r>
                <w:rPr>
                  <w:rStyle w:val="InternetLink"/>
                  <w:rFonts w:ascii="Times New Roman;serif" w:hAnsi="Times New Roman;serif"/>
                  <w:b w:val="false"/>
                  <w:color w:val="000080"/>
                  <w:sz w:val="20"/>
                  <w:u w:val="single"/>
                </w:rPr>
                <w:t xml:space="preserve">as of </w:t>
              </w:r>
            </w:hyperlink>
            <w:hyperlink r:id="rId13">
              <w:r>
                <w:rPr>
                  <w:rStyle w:val="InternetLink"/>
                  <w:rFonts w:ascii="Times New Roman;serif" w:hAnsi="Times New Roman;serif"/>
                  <w:b w:val="false"/>
                  <w:color w:val="000080"/>
                  <w:sz w:val="20"/>
                  <w:u w:val="single"/>
                </w:rPr>
                <w:t>September 5, 2025, by and between TCO Group Holdings, L.P. and Patrick Blair (incorporated by reference to Exhibit 10.9 to the Company's Annual Report on Form 10-K filed with the SEC on August , 2025).</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4">
              <w:r>
                <w:rPr>
                  <w:rStyle w:val="InternetLink"/>
                  <w:rFonts w:ascii="Times New Roman;serif" w:hAnsi="Times New Roman;serif"/>
                  <w:b w:val="false"/>
                  <w:color w:val="0000FF"/>
                  <w:sz w:val="20"/>
                  <w:u w:val="single"/>
                </w:rPr>
                <w:t xml:space="preserve">Class B Unit Award Agreement, dated as of September 5, 2025, by and between TCO Group Holdings, L.P. and Benjamin C. Adams (incorporated by reference to Exhibit 10.14 to the Company's Annual Report on Form 10-K filed with the SEC on September 9, 2025).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5">
              <w:r>
                <w:rPr>
                  <w:rStyle w:val="InternetLink"/>
                  <w:rFonts w:ascii="Times New Roman;serif" w:hAnsi="Times New Roman;serif"/>
                  <w:b w:val="false"/>
                  <w:color w:val="000080"/>
                  <w:sz w:val="20"/>
                  <w:u w:val="single"/>
                </w:rPr>
                <w:t>C</w:t>
              </w:r>
            </w:hyperlink>
            <w:hyperlink r:id="rId16">
              <w:r>
                <w:rPr>
                  <w:rStyle w:val="InternetLink"/>
                  <w:rFonts w:ascii="Times New Roman;serif" w:hAnsi="Times New Roman;serif"/>
                  <w:b w:val="false"/>
                  <w:color w:val="000080"/>
                  <w:sz w:val="20"/>
                  <w:u w:val="single"/>
                </w:rPr>
                <w:t>lass B Unit Award Agreement, dated as of Septem</w:t>
              </w:r>
            </w:hyperlink>
            <w:hyperlink r:id="rId17">
              <w:r>
                <w:rPr>
                  <w:rStyle w:val="InternetLink"/>
                  <w:rFonts w:ascii="Times New Roman;serif" w:hAnsi="Times New Roman;serif"/>
                  <w:b w:val="false"/>
                  <w:color w:val="000080"/>
                  <w:sz w:val="20"/>
                  <w:u w:val="single"/>
                </w:rPr>
                <w:t>b</w:t>
              </w:r>
            </w:hyperlink>
            <w:hyperlink r:id="rId18">
              <w:r>
                <w:rPr>
                  <w:rStyle w:val="InternetLink"/>
                  <w:rFonts w:ascii="Times New Roman;serif" w:hAnsi="Times New Roman;serif"/>
                  <w:b w:val="false"/>
                  <w:color w:val="000080"/>
                  <w:sz w:val="20"/>
                  <w:u w:val="single"/>
                </w:rPr>
                <w:t xml:space="preserve">er 5, 2025, by and between TCO Group Holdings, L.P. and Nicole D'Amato (incorporated by reference to Exhibit 10.17 to the Company's Annual Report on Form 10-K filed with the SEC on September 9, 2025).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tcogroupholdings_lp-profit.htm">
              <w:r>
                <w:rPr>
                  <w:rStyle w:val="InternetLink"/>
                  <w:rFonts w:ascii="Times New Roman;serif" w:hAnsi="Times New Roman;serif"/>
                  <w:b w:val="false"/>
                  <w:color w:val="000080"/>
                  <w:sz w:val="20"/>
                  <w:u w:val="single"/>
                </w:rPr>
                <w:t xml:space="preserve">Class B Unit Award Agreement, dated as of September 5, 2025, by and between TCO Group Holdings, L.P. and </w:t>
              </w:r>
            </w:hyperlink>
            <w:hyperlink w:anchor="tcogroupholdings_lp-profit.htm">
              <w:r>
                <w:rPr>
                  <w:rStyle w:val="InternetLink"/>
                  <w:rFonts w:ascii="Times New Roman;serif" w:hAnsi="Times New Roman;serif"/>
                  <w:b w:val="false"/>
                  <w:color w:val="000080"/>
                  <w:sz w:val="20"/>
                  <w:u w:val="single"/>
                </w:rPr>
                <w:t>Meredith Delk</w:t>
              </w:r>
            </w:hyperlink>
            <w:hyperlink w:anchor="tcogroupholdings_lp-profit.htm">
              <w:r>
                <w:rPr>
                  <w:rStyle w:val="InternetLink"/>
                  <w:rFonts w:ascii="Times New Roman;serif" w:hAnsi="Times New Roman;serif"/>
                  <w:b w:val="false"/>
                  <w:color w:val="000080"/>
                  <w:sz w:val="20"/>
                  <w:u w:val="single"/>
                </w:rPr>
                <w:t xml:space="preserve">. </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nv-2025930xe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innv-2025930xe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5930x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nnv-2025930x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InnovAge Holding Corp's Quarterly Report on Form 10-Q for the quarter ended September 30, 2025 formatted in Inline XBRL (Extensible Business Reporting Language) includes: (i) the Condensed Consolidated Balance Sheets (unaudited), (ii) the Condensed Consolidated Statements of Operations (unaudited), (iii) the Condensed Consolidated Statements of Stockholders' Equity (unaudited), (iv) the Condensed Consolidated Statements of Cash Flows (unaudited), and (v) Notes to the Condensed Consolidated Financial Statements (unaudited).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tbl>
      <w:tblPr>
        <w:tblW w:w="8218"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183"/>
        <w:gridCol w:w="2183"/>
        <w:gridCol w:w="308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4c5d1e6c5524ceb8c1951675e442d9a_7">
        <w:r>
          <w:rPr>
            <w:rStyle w:val="InternetLink"/>
            <w:rFonts w:ascii="Times New Roman;serif" w:hAnsi="Times New Roman;serif"/>
            <w:b w:val="false"/>
            <w:color w:val="0000EE"/>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duly authorized.</w:t>
      </w:r>
    </w:p>
    <w:tbl>
      <w:tblPr>
        <w:tblW w:w="10205" w:type="dxa"/>
        <w:jc w:val="left"/>
        <w:tblInd w:w="0" w:type="dxa"/>
        <w:tblLayout w:type="fixed"/>
        <w:tblCellMar>
          <w:top w:w="28" w:type="dxa"/>
          <w:left w:w="28" w:type="dxa"/>
          <w:bottom w:w="28" w:type="dxa"/>
          <w:right w:w="28" w:type="dxa"/>
        </w:tblCellMar>
      </w:tblPr>
      <w:tblGrid>
        <w:gridCol w:w="684"/>
        <w:gridCol w:w="602"/>
        <w:gridCol w:w="606"/>
        <w:gridCol w:w="404"/>
        <w:gridCol w:w="402"/>
        <w:gridCol w:w="402"/>
        <w:gridCol w:w="2108"/>
        <w:gridCol w:w="2064"/>
        <w:gridCol w:w="2933"/>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INNOVAGE HOLDING CORP.</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10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10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74" w:after="283"/>
        <w:jc w:val="center"/>
        <w:rPr>
          <w:rFonts w:ascii="Times New Roman;serif" w:hAnsi="Times New Roman;serif"/>
          <w:b/>
          <w:color w:val="000000"/>
          <w:sz w:val="22"/>
          <w:u w:val="single"/>
        </w:rPr>
      </w:pPr>
      <w:r>
        <w:rPr>
          <w:rFonts w:ascii="Times New Roman;serif" w:hAnsi="Times New Roman;serif"/>
          <w:b/>
          <w:color w:val="000000"/>
          <w:sz w:val="22"/>
          <w:u w:val="single"/>
        </w:rPr>
        <w:t>EMPLOYMENT AGREEMENT</w:t>
      </w:r>
    </w:p>
    <w:p>
      <w:pPr>
        <w:pStyle w:val="TextBody"/>
        <w:bidi w:val="0"/>
        <w:spacing w:lineRule="auto" w:line="309"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EMPLOYMENT AGREEMENT (this “Agreement”) is made and entered into as of this 22nd day of September 2025, by and between Total Community Options, Inc., d/b/a InnovAge, a Colorado corporation (the “Company”), and Meredith Delk (the “Executive”), and will become effective on the Executive’s employment start date of September 30, 2025 (the “Effective Date”).</w:t>
      </w:r>
    </w:p>
    <w:p>
      <w:pPr>
        <w:pStyle w:val="TextBody"/>
        <w:bidi w:val="0"/>
        <w:spacing w:lineRule="auto" w:line="288" w:before="219" w:after="283"/>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307" w:before="245"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desires to offer to the Executive employment on the terms and conditions set forth in this Agreement. In consideration of the foregoing premises and the mutual promises, terms, provisions and conditions set forth in this Agreement, the parties hereby agree:</w:t>
      </w:r>
    </w:p>
    <w:p>
      <w:pPr>
        <w:pStyle w:val="TextBody"/>
        <w:bidi w:val="0"/>
        <w:spacing w:lineRule="auto" w:line="307" w:before="220" w:after="283"/>
        <w:ind w:left="0" w:right="0" w:firstLine="144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Employment</w:t>
      </w:r>
      <w:r>
        <w:rPr>
          <w:rFonts w:ascii="Times New Roman;serif" w:hAnsi="Times New Roman;serif"/>
          <w:b w:val="false"/>
          <w:color w:val="000000"/>
          <w:sz w:val="22"/>
        </w:rPr>
        <w:t>. The Executive’s employment shall be subject to the terms and conditions set forth in this Agreement.</w:t>
      </w:r>
    </w:p>
    <w:p>
      <w:pPr>
        <w:pStyle w:val="TextBody"/>
        <w:bidi w:val="0"/>
        <w:spacing w:lineRule="auto" w:line="307" w:before="219" w:after="283"/>
        <w:ind w:left="0" w:right="0" w:firstLine="144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Term</w:t>
      </w:r>
      <w:r>
        <w:rPr>
          <w:rFonts w:ascii="Times New Roman;serif" w:hAnsi="Times New Roman;serif"/>
          <w:b w:val="false"/>
          <w:color w:val="000000"/>
          <w:sz w:val="22"/>
        </w:rPr>
        <w:t xml:space="preserve">. This Agreement will continue in effect from the Effective Date until terminated in accordance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The term of this Agreement is hereafter referred to as “the term of this Agreement” or “the term hereof”. In the event the Executive does not commence employment on the Effective Date, this Agreement shall terminate ab initio.</w:t>
      </w:r>
    </w:p>
    <w:p>
      <w:pPr>
        <w:pStyle w:val="TextBody"/>
        <w:bidi w:val="0"/>
        <w:spacing w:lineRule="auto" w:line="288" w:before="221" w:after="283"/>
        <w:ind w:left="0" w:right="0" w:hanging="90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Capacities and Performance</w:t>
      </w:r>
      <w:r>
        <w:rPr>
          <w:rFonts w:ascii="Times New Roman;serif" w:hAnsi="Times New Roman;serif"/>
          <w:b w:val="false"/>
          <w:color w:val="000000"/>
          <w:sz w:val="22"/>
        </w:rPr>
        <w:t>.</w:t>
      </w:r>
    </w:p>
    <w:p>
      <w:pPr>
        <w:pStyle w:val="TextBody"/>
        <w:bidi w:val="0"/>
        <w:spacing w:lineRule="auto" w:line="307" w:before="245" w:after="283"/>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(a)During the term hereof, the Executive shall be employed by the Company on a full-time basis and shall serve the Company as its Chief Administrative Officer. In such capacity, the Executive shall report directly to the Chief Executive Officer of the Company (the “Chief Executive Officer”), and the Executive shall have such duties as are consistent with the Executive’s position and as may from time to time be assigned to the Executive by the Chief Executive Officer or the Board of Directors of the Company (the “Board”).</w:t>
      </w:r>
    </w:p>
    <w:p>
      <w:pPr>
        <w:pStyle w:val="TextBody"/>
        <w:bidi w:val="0"/>
        <w:spacing w:lineRule="auto" w:line="307" w:before="221" w:after="283"/>
        <w:ind w:left="0" w:right="0" w:firstLine="2160"/>
        <w:jc w:val="both"/>
        <w:rPr/>
      </w:pPr>
      <w:r>
        <w:rPr>
          <w:rFonts w:ascii="Times New Roman;serif" w:hAnsi="Times New Roman;serif"/>
          <w:b w:val="false"/>
          <w:color w:val="000000"/>
          <w:sz w:val="22"/>
        </w:rPr>
        <w:t xml:space="preserve">(b)During the term hereof, the Executive shall devote substantially all of the Executive’s full business time and the Executive’s best efforts, business judgment, skill and knowledge to the advancement of the business and interests of the Company and its Affiliates (as defined below) and to the discharge of the Executive’s duties and responsibilities hereunder. The Executive shall not engage in any other business activity or serve in any industry, trade, professional, governmental or academic position during the term of this Agreement, except as may be expressly approved in advance by the Chief Executive Officer in writing, which approval shall not be unreasonably withheld; provided, however, that the Executive may without advance consent participate in charitable activities and passive personal investment activities and manage his personal financial affairs, provided that such activities do not, individually or in the aggregate, interfere with the performance of the Executive’s duties under this Agreement, are not in conflict with the business interests of the Company or any of its Affiliates and do not violate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of this Agreement.</w:t>
      </w:r>
    </w:p>
    <w:p>
      <w:pPr>
        <w:pStyle w:val="TextBody"/>
        <w:bidi w:val="0"/>
        <w:spacing w:lineRule="auto" w:line="307" w:before="221" w:after="283"/>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(c)During the term hereof, the Executive shall comply with all of the Company’s written policies, practices and codes of conduct applicable to the Executive’s position, as in effect from time to time.</w:t>
      </w:r>
    </w:p>
    <w:p>
      <w:pPr>
        <w:pStyle w:val="TextBody"/>
        <w:bidi w:val="0"/>
        <w:spacing w:lineRule="auto" w:line="307" w:before="221" w:after="283"/>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(d)The Executive’s principal place of employment will be in Austin, Texas, in the Executive’s home office (or such other location chosen by the Executive, subject to the Company’s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47"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7" w:before="221" w:after="283"/>
        <w:jc w:val="both"/>
        <w:rPr>
          <w:rFonts w:ascii="Times New Roman;serif" w:hAnsi="Times New Roman;serif"/>
          <w:b w:val="false"/>
          <w:color w:val="000000"/>
          <w:sz w:val="22"/>
        </w:rPr>
      </w:pPr>
      <w:r>
        <w:rPr>
          <w:rFonts w:ascii="Times New Roman;serif" w:hAnsi="Times New Roman;serif"/>
          <w:b w:val="false"/>
          <w:color w:val="000000"/>
          <w:sz w:val="22"/>
        </w:rPr>
        <w:t xml:space="preserve">approval, with such approval to not be unreasonably withheld), subject to any required travel to the Company’s offices or such other locations from time to time, which Executive acknowledges is reasonable. </w:t>
      </w:r>
    </w:p>
    <w:p>
      <w:pPr>
        <w:pStyle w:val="TextBody"/>
        <w:bidi w:val="0"/>
        <w:spacing w:lineRule="auto" w:line="300" w:before="219" w:after="283"/>
        <w:ind w:left="0" w:right="0" w:firstLine="144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Compensation and Benefits</w:t>
      </w:r>
      <w:r>
        <w:rPr>
          <w:color w:val="000000"/>
        </w:rPr>
        <w:t xml:space="preserve"> </w:t>
      </w:r>
      <w:r>
        <w:rPr>
          <w:rFonts w:ascii="Times New Roman;serif" w:hAnsi="Times New Roman;serif"/>
          <w:b w:val="false"/>
          <w:color w:val="000000"/>
          <w:sz w:val="22"/>
        </w:rPr>
        <w:t>As compensation for all services performed by the Executive hereunder during the term hereof, and subject to performance of the Executive’s duties and responsibilities to the Company and its Affiliates, pursuant to this Agreement or otherwise, the Company shall pay certain compensation and provide certain benefits to the Executive, as follows:</w:t>
      </w:r>
    </w:p>
    <w:p>
      <w:pPr>
        <w:pStyle w:val="TextBody"/>
        <w:bidi w:val="0"/>
        <w:spacing w:lineRule="auto" w:line="307" w:before="2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Base Salary</w:t>
      </w:r>
      <w:r>
        <w:rPr>
          <w:rFonts w:ascii="Times New Roman;serif" w:hAnsi="Times New Roman;serif"/>
          <w:b w:val="false"/>
          <w:color w:val="000000"/>
          <w:sz w:val="22"/>
        </w:rPr>
        <w:t>. During the term of this Agreement, the Company will pay the Executive an annual base salary commensurate with the Executive’s performance and experience within the compensation philosophy established by the Company; the Executive’s initial annual base salary rate will be $450,000. The Executive will be paid the Executive’s annual base salary in accordance with the normal payroll practices of the Company as in effect from time to time (but no less frequently than monthly); the Executive’s annual base salary, as from time to time adjusted, is hereafter referred to as the “Base Salary”. The Chief Executive Officer, following consultation with the Board, shall review the Base Salary each year for increase, but shall not decrease the Base Salary.</w:t>
      </w:r>
    </w:p>
    <w:p>
      <w:pPr>
        <w:pStyle w:val="TextBody"/>
        <w:bidi w:val="0"/>
        <w:spacing w:lineRule="auto" w:line="302" w:before="220" w:after="283"/>
        <w:ind w:left="0" w:right="0" w:firstLine="216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Annual Bonus Compensation</w:t>
      </w:r>
      <w:r>
        <w:rPr>
          <w:rFonts w:ascii="Times New Roman;serif" w:hAnsi="Times New Roman;serif"/>
          <w:b w:val="false"/>
          <w:color w:val="000000"/>
          <w:sz w:val="22"/>
        </w:rPr>
        <w:t>. For each fiscal year occurring during the term hereof, beginning with the 2026 fiscal year, the Executive shall be eligible, but not entitled, to receive a discretionary annual bonus (the “Annual Bonus”), targeted at sixty percent (60%) of the Executive’s Base Salary (the “Target Bonus”). The actual amount of the Annual Bonus due for a given fiscal year, if any, will be determined by the Chief Executive Officer, in consultation with the Board, acting in good faith and based on the achievement of pre-established performance criteria. The performance criteria shall be based on criteria established by the Board in consultation with the Chief Executive Officer no later than the sixtieth (60</w:t>
      </w:r>
      <w:r>
        <w:rPr>
          <w:rFonts w:ascii="Times New Roman;serif" w:hAnsi="Times New Roman;serif"/>
          <w:b w:val="false"/>
          <w:color w:val="000000"/>
          <w:sz w:val="14"/>
        </w:rPr>
        <w:t>th</w:t>
      </w:r>
      <w:r>
        <w:rPr>
          <w:rFonts w:ascii="Times New Roman;serif" w:hAnsi="Times New Roman;serif"/>
          <w:b w:val="false"/>
          <w:color w:val="000000"/>
          <w:sz w:val="22"/>
        </w:rPr>
        <w:t>) day of the fiscal year. Any Annual Bonus earned for a fiscal year shall be paid within thirty (30) days after the Board has received, reviewed, and approved the applicable fiscal year’s final audited statements, and in any event no later than December 31</w:t>
      </w:r>
      <w:r>
        <w:rPr>
          <w:rFonts w:ascii="Times New Roman;serif" w:hAnsi="Times New Roman;serif"/>
          <w:b w:val="false"/>
          <w:color w:val="000000"/>
          <w:sz w:val="14"/>
        </w:rPr>
        <w:t>st</w:t>
      </w:r>
      <w:r>
        <w:rPr>
          <w:color w:val="000000"/>
        </w:rPr>
        <w:t xml:space="preserve"> </w:t>
      </w:r>
      <w:r>
        <w:rPr>
          <w:rFonts w:ascii="Times New Roman;serif" w:hAnsi="Times New Roman;serif"/>
          <w:b w:val="false"/>
          <w:color w:val="000000"/>
          <w:sz w:val="22"/>
        </w:rPr>
        <w:t xml:space="preserve">of the calendar year in which such fiscal year ends. Subject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hereof, in order to receive the Annual Bonus for any fiscal year, the Executive must be continuously employed by the Company both through the last day of the fiscal year to which performance relates and the date of payment. Notwithstanding the foregoing, Executive’s Annual Bonus in respect of the 2026 fiscal year will be pro-rated for the partial year worked.</w:t>
      </w:r>
    </w:p>
    <w:p>
      <w:pPr>
        <w:pStyle w:val="TextBody"/>
        <w:bidi w:val="0"/>
        <w:spacing w:lineRule="auto" w:line="302" w:before="220" w:after="283"/>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Long Term Incentive Plan</w:t>
      </w:r>
      <w:r>
        <w:rPr>
          <w:rFonts w:ascii="Times New Roman;serif" w:hAnsi="Times New Roman;serif"/>
          <w:b w:val="false"/>
          <w:color w:val="000000"/>
          <w:sz w:val="22"/>
        </w:rPr>
        <w:t xml:space="preserve">. For each fiscal year occurring during the term hereof, beginning with the 2026 fiscal year, the Executive shall be eligible, but not entitled, to receive a discretionary annual award of restricted stock units (“RSUs”) with a target value of approximately $400,000, which will vest in equal one-third (1/3) installments on each of the first three (3) anniversaries of the date of grant, subject to the Executive’s continued employment with the Company on each applicable vesting date. The actual amount of the RSUs due for a given fiscal year, if any, will be determined by the Chief Executive Officer, in consultation with the Board, acting in good faith. The RSU award will be subject to an RSU agreement, substantially in the form approved by the compensation committee of the Board, the InnovAge Holding Corp. 2021 Omnibus Incentive Plan (as the same may be amended from time to time) and any other restrictions and limitations generally applicable to the equity of the Company or otherwise imposed by law. </w:t>
      </w:r>
    </w:p>
    <w:p>
      <w:pPr>
        <w:pStyle w:val="TextBody"/>
        <w:bidi w:val="0"/>
        <w:spacing w:lineRule="auto" w:line="302" w:before="220" w:after="283"/>
        <w:ind w:left="0" w:right="0" w:firstLine="216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Paid Time Off</w:t>
      </w:r>
      <w:r>
        <w:rPr>
          <w:rFonts w:ascii="Times New Roman;serif" w:hAnsi="Times New Roman;serif"/>
          <w:b w:val="false"/>
          <w:color w:val="000000"/>
          <w:sz w:val="22"/>
        </w:rPr>
        <w:t xml:space="preserve">. Executive shall be eligible to use paid time off pursuant to the Company’s Flexible Time Away policy. This time may be used at such times and intervals as shall be determined by the Executive, subject to the reasonable business needs of the Company. Executive’s entitlement to paid time off is subject to change, at any time without advance notice, should the Company revise its policy relating to time off entitlements for executives. Paid time off usage and other terms and </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48" name="Frame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20" w:after="283"/>
        <w:jc w:val="both"/>
        <w:rPr>
          <w:rFonts w:ascii="Times New Roman;serif" w:hAnsi="Times New Roman;serif"/>
          <w:b w:val="false"/>
          <w:color w:val="000000"/>
          <w:sz w:val="22"/>
        </w:rPr>
      </w:pPr>
      <w:r>
        <w:rPr>
          <w:rFonts w:ascii="Times New Roman;serif" w:hAnsi="Times New Roman;serif"/>
          <w:b w:val="false"/>
          <w:color w:val="000000"/>
          <w:sz w:val="22"/>
        </w:rPr>
        <w:t>conditions is otherwise be governed by the policies of the Company, as may be amended, and modified from time to time.</w:t>
      </w:r>
    </w:p>
    <w:p>
      <w:pPr>
        <w:pStyle w:val="TextBody"/>
        <w:bidi w:val="0"/>
        <w:spacing w:before="0" w:after="0"/>
        <w:jc w:val="left"/>
        <w:rPr/>
      </w:pPr>
      <w:r>
        <w:rPr/>
      </w:r>
    </w:p>
    <w:p>
      <w:pPr>
        <w:pStyle w:val="TextBody"/>
        <w:bidi w:val="0"/>
        <w:spacing w:lineRule="auto" w:line="302" w:before="74" w:after="283"/>
        <w:ind w:left="0" w:right="0" w:firstLine="2160"/>
        <w:jc w:val="left"/>
        <w:rPr/>
      </w:pPr>
      <w:r>
        <w:rPr>
          <w:rFonts w:ascii="Times New Roman;serif" w:hAnsi="Times New Roman;serif"/>
          <w:b w:val="false"/>
          <w:color w:val="000000"/>
          <w:sz w:val="22"/>
        </w:rPr>
        <w:t>(e)</w:t>
      </w:r>
      <w:r>
        <w:rPr>
          <w:rFonts w:ascii="Times New Roman;serif" w:hAnsi="Times New Roman;serif"/>
          <w:b w:val="false"/>
          <w:color w:val="000000"/>
          <w:sz w:val="22"/>
          <w:u w:val="single"/>
        </w:rPr>
        <w:t>Employee Benefit Plans</w:t>
      </w:r>
      <w:r>
        <w:rPr>
          <w:rFonts w:ascii="Times New Roman;serif" w:hAnsi="Times New Roman;serif"/>
          <w:b w:val="false"/>
          <w:color w:val="000000"/>
          <w:sz w:val="22"/>
        </w:rPr>
        <w:t>. During the term hereof and subject to any contribution therefore generally required of similarly-situated employees of the Company, the Executive shall be entitled to participate in any and all employee benefit plans from time to time in effect for employees of the Company generally (the “Employee Benefit Plans”), except to the extent any Employee Benefit Plan provides for benefits otherwise provided to the Executive hereunder (e.g., a severance pay plan). Such participation shall be subject to (i) the terms of the applicable Employee Benefit Plan documents, (ii) generally applicable Company policies and (iii) the discretion of the Company or any administrative or other committee provided for under, or contemplated by, such Employee Benefit Plan.</w:t>
      </w:r>
    </w:p>
    <w:p>
      <w:pPr>
        <w:pStyle w:val="TextBody"/>
        <w:bidi w:val="0"/>
        <w:spacing w:lineRule="auto" w:line="302" w:before="220" w:after="283"/>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Business Expenses</w:t>
      </w:r>
      <w:r>
        <w:rPr>
          <w:rFonts w:ascii="Times New Roman;serif" w:hAnsi="Times New Roman;serif"/>
          <w:b w:val="false"/>
          <w:color w:val="000000"/>
          <w:sz w:val="22"/>
        </w:rPr>
        <w:t>. The Company shall pay or reimburse the Executive for reasonable, customary, and necessary business expenses incurred or paid by the Executive in the performance of the Executive’s duties and responsibilities hereunder, subject to such reasonable substantiation and documentation and to travel and other policies as may be required by the Company from time to time.</w:t>
      </w:r>
    </w:p>
    <w:p>
      <w:pPr>
        <w:pStyle w:val="TextBody"/>
        <w:bidi w:val="0"/>
        <w:spacing w:lineRule="auto" w:line="302" w:before="222" w:after="283"/>
        <w:ind w:left="0" w:right="0" w:firstLine="209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Equity Based Incentive Compensation</w:t>
      </w:r>
      <w:r>
        <w:rPr>
          <w:rFonts w:ascii="Times New Roman;serif" w:hAnsi="Times New Roman;serif"/>
          <w:b w:val="false"/>
          <w:color w:val="000000"/>
          <w:sz w:val="22"/>
        </w:rPr>
        <w:t xml:space="preserve">. The Executive shall be eligible to participate in the TCO Group Holdings, L.P. Management Incentive Plan (the “MIP”) and, in anticipation of the Executive’s appointment as Chief Administrative Officer of the Company, Executive received an award of 366,602 Class B Units of TCO Group Holdings, L.P., which are subject to the terms and conditions of the LP Agreement (as defined in the MIP), the MIP and the Class B Unit Award Agreement, which became effective on the Effective Date and is attached hereto as Exhibit A. </w:t>
      </w:r>
    </w:p>
    <w:p>
      <w:pPr>
        <w:pStyle w:val="TextBody"/>
        <w:bidi w:val="0"/>
        <w:spacing w:lineRule="auto" w:line="312" w:before="224" w:after="283"/>
        <w:ind w:left="0" w:right="0" w:firstLine="144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Termination of Employment and Severance Benefits</w:t>
      </w:r>
      <w:r>
        <w:rPr>
          <w:rFonts w:ascii="Times New Roman;serif" w:hAnsi="Times New Roman;serif"/>
          <w:b w:val="false"/>
          <w:color w:val="000000"/>
          <w:sz w:val="22"/>
        </w:rPr>
        <w:t>. The Executive’s employment hereunder shall terminate under the following circumstances:</w:t>
      </w:r>
    </w:p>
    <w:p>
      <w:pPr>
        <w:pStyle w:val="TextBody"/>
        <w:bidi w:val="0"/>
        <w:spacing w:lineRule="auto" w:line="302" w:before="220" w:after="283"/>
        <w:ind w:left="0" w:right="0" w:firstLine="21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Death</w:t>
      </w:r>
      <w:r>
        <w:rPr>
          <w:rFonts w:ascii="Times New Roman;serif" w:hAnsi="Times New Roman;serif"/>
          <w:b w:val="false"/>
          <w:color w:val="000000"/>
          <w:sz w:val="22"/>
        </w:rPr>
        <w:t xml:space="preserve">. In the event of the Executive’s death during the term hereof, the date of death shall be the date of termination, and the Company shall pay or provide to the Executive’s designated beneficiary or, if no beneficiary has been designated by the Executive in a notice received by the Company, to the Executive’s estate: (i) any Base Salary earned but not paid through the date of termination, (ii) pay in lieu of any PTO accrued but not used as of the date of termination, (iii) any business expenses incurred by the Executive but unreimbursed as of the date of termination,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expenses and required substantiation and documentation are submitted no later than one hundred twenty (120) days following the date of termination, that such expenses are reimbursable under Company policy and that any such expenses subject to </w:t>
      </w:r>
      <w:r>
        <w:rPr>
          <w:rFonts w:ascii="Times New Roman;serif" w:hAnsi="Times New Roman;serif"/>
          <w:b w:val="false"/>
          <w:color w:val="000000"/>
          <w:sz w:val="22"/>
          <w:u w:val="single"/>
        </w:rPr>
        <w:t>Section 5(g)(iv)</w:t>
      </w:r>
      <w:r>
        <w:rPr>
          <w:color w:val="000000"/>
        </w:rPr>
        <w:t xml:space="preserve"> </w:t>
      </w:r>
      <w:r>
        <w:rPr>
          <w:rFonts w:ascii="Times New Roman;serif" w:hAnsi="Times New Roman;serif"/>
          <w:b w:val="false"/>
          <w:color w:val="000000"/>
          <w:sz w:val="22"/>
        </w:rPr>
        <w:t xml:space="preserve">shall be paid not later than the deadline specified therein, (iv) any Annual Bonus earned but unpaid in respect of the fiscal year completed immediately prior to the date of termination (the “Prior Year Bonus”), and all of the foregoing, payable subject to the timing limitations described herein, (“Final Compensation”). In the event of such termination, the Company shall have no further obligation or liability to the Executive under this Agreement, other than for payment of any Final Compensation due to the Executive. Other than business expenses described in </w:t>
      </w:r>
      <w:r>
        <w:rPr>
          <w:rFonts w:ascii="Times New Roman;serif" w:hAnsi="Times New Roman;serif"/>
          <w:b w:val="false"/>
          <w:color w:val="000000"/>
          <w:sz w:val="22"/>
          <w:u w:val="single"/>
        </w:rPr>
        <w:t>Section 5(a)(iii)</w:t>
      </w:r>
      <w:r>
        <w:rPr>
          <w:rFonts w:ascii="Times New Roman;serif" w:hAnsi="Times New Roman;serif"/>
          <w:b w:val="false"/>
          <w:color w:val="000000"/>
          <w:sz w:val="22"/>
        </w:rPr>
        <w:t>, Final Compensation shall be paid to the Executive’s designated beneficiary or estate at the time prescribed by applicable law and in all events within thirty (30) days following the date of death.</w:t>
      </w:r>
    </w:p>
    <w:p>
      <w:pPr>
        <w:pStyle w:val="TextBody"/>
        <w:bidi w:val="0"/>
        <w:spacing w:lineRule="auto" w:line="288" w:before="232" w:after="283"/>
        <w:ind w:left="0" w:right="0" w:hanging="959"/>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Disability</w:t>
      </w:r>
      <w:r>
        <w:rPr>
          <w:rFonts w:ascii="Times New Roman;serif" w:hAnsi="Times New Roman;serif"/>
          <w:b w:val="false"/>
          <w:color w:val="000000"/>
          <w:sz w:val="22"/>
        </w:rPr>
        <w:t>.</w:t>
      </w:r>
    </w:p>
    <w:p>
      <w:pPr>
        <w:pStyle w:val="TextBody"/>
        <w:bidi w:val="0"/>
        <w:spacing w:lineRule="auto" w:line="302" w:before="245" w:after="283"/>
        <w:ind w:left="0" w:right="0" w:firstLine="2790"/>
        <w:jc w:val="both"/>
        <w:rPr>
          <w:rFonts w:ascii="Times New Roman;serif" w:hAnsi="Times New Roman;serif"/>
          <w:b w:val="false"/>
          <w:color w:val="000000"/>
          <w:sz w:val="22"/>
        </w:rPr>
      </w:pPr>
      <w:r>
        <w:rPr>
          <w:rFonts w:ascii="Times New Roman;serif" w:hAnsi="Times New Roman;serif"/>
          <w:b w:val="false"/>
          <w:color w:val="000000"/>
          <w:sz w:val="22"/>
        </w:rPr>
        <w:t xml:space="preserve">(i)The Company may terminate the Executive’s employment hereunder, upon notice to the Executive, in the event that the Executive becomes disabled during the Executive’s employment hereunder through any illness, injury, accident or condition of either a physical or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49" name="Frame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45" w:after="283"/>
        <w:jc w:val="both"/>
        <w:rPr/>
      </w:pPr>
      <w:r>
        <w:rPr>
          <w:rFonts w:ascii="Times New Roman;serif" w:hAnsi="Times New Roman;serif"/>
          <w:b w:val="false"/>
          <w:color w:val="000000"/>
          <w:sz w:val="22"/>
        </w:rPr>
        <w:t xml:space="preserve">psychological nature and, as a result, is unable to perform substantially all of the Executive’s duties and responsibilities hereunder (notwithstanding the provision of any reasonable accommodation exclusive of the leave of absence provided hereunder) for one hundred twenty (120) consecutive days, or two hundred (270) non-consecutive days during any period of three hundred and sixty-five (365) consecutive calendar days (“Disability”). In the event of such termination, the Company shall have no further obligation or liability to the Executive under this Agreement, other than for payment of any Final Compensation due to the Executive. Any determination of Disability shall be made by a qualified physician as mutually agreed between the Company and the Executive. Other than business expenses described in </w:t>
      </w:r>
      <w:r>
        <w:rPr>
          <w:rFonts w:ascii="Times New Roman;serif" w:hAnsi="Times New Roman;serif"/>
          <w:b w:val="false"/>
          <w:color w:val="000000"/>
          <w:sz w:val="22"/>
          <w:u w:val="single"/>
        </w:rPr>
        <w:t>Section 5(a)(iii),</w:t>
      </w:r>
      <w:r>
        <w:rPr>
          <w:color w:val="000000"/>
        </w:rPr>
        <w:t xml:space="preserve"> </w:t>
      </w:r>
      <w:r>
        <w:rPr>
          <w:rFonts w:ascii="Times New Roman;serif" w:hAnsi="Times New Roman;serif"/>
          <w:b w:val="false"/>
          <w:color w:val="000000"/>
          <w:sz w:val="22"/>
        </w:rPr>
        <w:t>Final Compensation shall be paid to the Executive at the time prescribed by applicable law and in all events within thirty (30) days following the date of termination of employment.</w:t>
      </w:r>
    </w:p>
    <w:p>
      <w:pPr>
        <w:pStyle w:val="TextBody"/>
        <w:bidi w:val="0"/>
        <w:spacing w:lineRule="auto" w:line="307" w:before="222" w:after="283"/>
        <w:ind w:left="0" w:right="0" w:firstLine="2549"/>
        <w:jc w:val="both"/>
        <w:rPr/>
      </w:pPr>
      <w:r>
        <w:rPr>
          <w:rFonts w:ascii="Times New Roman;serif" w:hAnsi="Times New Roman;serif"/>
          <w:b w:val="false"/>
          <w:color w:val="000000"/>
          <w:sz w:val="22"/>
        </w:rPr>
        <w:t xml:space="preserve">(ii)The Chief Executive Officer may designate another employee to act in the Executive’s place during any period of the Executive’s Disability. Notwithstanding any such designation, the Executive shall continue to receive the Base Salary in accordance with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and to participate in Employee Benefit Plans in accordance with </w:t>
      </w:r>
      <w:r>
        <w:rPr>
          <w:rFonts w:ascii="Times New Roman;serif" w:hAnsi="Times New Roman;serif"/>
          <w:b w:val="false"/>
          <w:color w:val="000000"/>
          <w:sz w:val="22"/>
          <w:u w:val="single"/>
        </w:rPr>
        <w:t>Section 4(e)</w:t>
      </w:r>
      <w:r>
        <w:rPr>
          <w:rFonts w:ascii="Times New Roman;serif" w:hAnsi="Times New Roman;serif"/>
          <w:b w:val="false"/>
          <w:color w:val="000000"/>
          <w:sz w:val="22"/>
        </w:rPr>
        <w:t xml:space="preserve">, to the extent permitted by the then-current terms of the applicable Employee Benefit Plans, until the Executive becomes eligible for disability income benefits under the Company’s disability income plan, if any, or until the termination of the Executive’s employment, whichever shall first occur. If the Executive receives any disability income payments under the Company’s disability income plan, the Base Salary under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 xml:space="preserve">shall be reduced by the amount of such disability income, but only to the extent permitted without adverse tax consequences to the Executive under Section 409A. The Executive shall continue to participate in the Employee Benefit Plans in accordance with </w:t>
      </w:r>
      <w:r>
        <w:rPr>
          <w:rFonts w:ascii="Times New Roman;serif" w:hAnsi="Times New Roman;serif"/>
          <w:b w:val="false"/>
          <w:color w:val="000000"/>
          <w:sz w:val="22"/>
          <w:u w:val="single"/>
        </w:rPr>
        <w:t>Section 4(e)</w:t>
      </w:r>
      <w:r>
        <w:rPr>
          <w:color w:val="000000"/>
        </w:rPr>
        <w:t xml:space="preserve"> </w:t>
      </w:r>
      <w:r>
        <w:rPr>
          <w:rFonts w:ascii="Times New Roman;serif" w:hAnsi="Times New Roman;serif"/>
          <w:b w:val="false"/>
          <w:color w:val="000000"/>
          <w:sz w:val="22"/>
        </w:rPr>
        <w:t>and to the extent permitted by and subject to the then-current terms of such Employee Benefit Plans, until the termination of the Executive’s employment hereunder.</w:t>
      </w:r>
    </w:p>
    <w:p>
      <w:pPr>
        <w:pStyle w:val="TextBody"/>
        <w:bidi w:val="0"/>
        <w:spacing w:lineRule="auto" w:line="307" w:before="214"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(iii)If any question shall arise as to whether the Executive is disabled through any illness, injury, accident or condition of either a physical or psychological nature so as to be unable to perform substantially all of the Executive’s duties and responsibilities hereunder, the Executive may, and at the reasonable request of the Company shall, submit to a medical examination by a physician mutually agreed to by the Company and the Executive (or the Executive’s duly appointed guardian, if any), and such determination for the purposes of this Agreement shall be conclusive. If such question shall arise and the Executive shall fail to submit to such medical examination, the Company’s determination of the issue shall be binding on the Executive.</w:t>
      </w:r>
    </w:p>
    <w:p>
      <w:pPr>
        <w:pStyle w:val="TextBody"/>
        <w:bidi w:val="0"/>
        <w:spacing w:lineRule="auto" w:line="307" w:before="221" w:after="283"/>
        <w:ind w:left="0" w:right="0" w:firstLine="218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By the Company for Cause</w:t>
      </w:r>
      <w:r>
        <w:rPr>
          <w:rFonts w:ascii="Times New Roman;serif" w:hAnsi="Times New Roman;serif"/>
          <w:b w:val="false"/>
          <w:color w:val="000000"/>
          <w:sz w:val="22"/>
        </w:rPr>
        <w:t>. The Company may terminate the Executive’s employment hereunder for Cause at any time upon delivery of written notice to the Executive. The following, as determined in the Company’s reasonable discretion, shall constitute Cause for termination:</w:t>
      </w:r>
    </w:p>
    <w:p>
      <w:pPr>
        <w:pStyle w:val="TextBody"/>
        <w:bidi w:val="0"/>
        <w:spacing w:lineRule="auto" w:line="309" w:before="220"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(i)The Executive’s failure to perform the Executive’s duties and responsibilities to the Company or any of its Affiliates that are consistent with Executive’s title and authorities;</w:t>
      </w:r>
    </w:p>
    <w:p>
      <w:pPr>
        <w:pStyle w:val="TextBody"/>
        <w:bidi w:val="0"/>
        <w:spacing w:lineRule="auto" w:line="307" w:before="219"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(ii)The Executive’s material breach of any of the provisions of this Agreement or any other written agreement between the Executive and the Company or any of its Affiliates, resulting in material harm to the Company or any of its Affiliates;</w:t>
      </w:r>
    </w:p>
    <w:p>
      <w:pPr>
        <w:pStyle w:val="TextBody"/>
        <w:bidi w:val="0"/>
        <w:spacing w:lineRule="auto" w:line="312" w:before="221"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(iii)The Executive’s material breach of any fiduciary duty that the Executive has to the Company or any of its Affiliates;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50" name="Frame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7" w:before="219"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(iv)The Executive’s gross negligence, intentional misconduct or unethical or improper behavior by the Executive resulting in material harm to the business, interests or reputation of the Company or any of its Affiliates;</w:t>
      </w:r>
    </w:p>
    <w:p>
      <w:pPr>
        <w:pStyle w:val="TextBody"/>
        <w:bidi w:val="0"/>
        <w:spacing w:lineRule="auto" w:line="307" w:before="220"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(v)The Executive’s intentional or willful failure to comply with applicable PACE, Medicare or Medicaid rules or regulations;</w:t>
      </w:r>
    </w:p>
    <w:p>
      <w:pPr>
        <w:pStyle w:val="TextBody"/>
        <w:bidi w:val="0"/>
        <w:spacing w:before="0" w:after="0"/>
        <w:ind w:left="0" w:right="0" w:firstLine="2520"/>
        <w:jc w:val="left"/>
        <w:rPr/>
      </w:pPr>
      <w:r>
        <w:rPr/>
      </w:r>
    </w:p>
    <w:p>
      <w:pPr>
        <w:pStyle w:val="TextBody"/>
        <w:bidi w:val="0"/>
        <w:spacing w:lineRule="auto" w:line="307" w:before="74"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(vi)The Executive’s failure to comply with the Company’s Code of Conduct or Corporate Compliance Program;</w:t>
      </w:r>
    </w:p>
    <w:p>
      <w:pPr>
        <w:pStyle w:val="TextBody"/>
        <w:bidi w:val="0"/>
        <w:spacing w:lineRule="auto" w:line="288" w:before="219" w:after="283"/>
        <w:ind w:left="0" w:right="0" w:firstLine="2520"/>
        <w:jc w:val="both"/>
        <w:rPr/>
      </w:pPr>
      <w:r>
        <w:rPr>
          <w:rFonts w:ascii="Times New Roman;serif" w:hAnsi="Times New Roman;serif"/>
          <w:b w:val="false"/>
          <w:color w:val="000000"/>
          <w:sz w:val="22"/>
        </w:rPr>
        <w:t>(vii)</w:t>
      </w:r>
      <w:r>
        <w:rPr>
          <w:rFonts w:ascii="Times New Roman;serif" w:hAnsi="Times New Roman;serif"/>
          <w:b w:val="false"/>
          <w:color w:val="000000"/>
          <w:sz w:val="22"/>
        </w:rPr>
        <w:t>The Executive’s commission of a felony or any other crime</w:t>
      </w:r>
    </w:p>
    <w:p>
      <w:pPr>
        <w:pStyle w:val="TextBody"/>
        <w:bidi w:val="0"/>
        <w:spacing w:lineRule="auto" w:line="288" w:before="26" w:after="283"/>
        <w:jc w:val="left"/>
        <w:rPr>
          <w:rFonts w:ascii="Times New Roman;serif" w:hAnsi="Times New Roman;serif"/>
          <w:b w:val="false"/>
          <w:color w:val="000000"/>
          <w:sz w:val="22"/>
        </w:rPr>
      </w:pPr>
      <w:r>
        <w:rPr>
          <w:rFonts w:ascii="Times New Roman;serif" w:hAnsi="Times New Roman;serif"/>
          <w:b w:val="false"/>
          <w:color w:val="000000"/>
          <w:sz w:val="22"/>
        </w:rPr>
        <w:t>involving moral turpitude; or</w:t>
      </w:r>
    </w:p>
    <w:p>
      <w:pPr>
        <w:pStyle w:val="TextBody"/>
        <w:bidi w:val="0"/>
        <w:spacing w:lineRule="auto" w:line="309" w:before="245"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(viii)The Executive’s commission of conduct involving fraud, embezzlement, sexual harassment, material misappropriation of property or other substantial misconduct with respect to the Company or any of its Affiliates.</w:t>
      </w:r>
    </w:p>
    <w:p>
      <w:pPr>
        <w:pStyle w:val="TextBody"/>
        <w:bidi w:val="0"/>
        <w:spacing w:lineRule="auto" w:line="307" w:before="219" w:after="283"/>
        <w:ind w:left="0" w:right="0" w:firstLine="720"/>
        <w:jc w:val="both"/>
        <w:rPr/>
      </w:pPr>
      <w:r>
        <w:rPr>
          <w:rFonts w:ascii="Times New Roman;serif" w:hAnsi="Times New Roman;serif"/>
          <w:b w:val="false"/>
          <w:color w:val="000000"/>
          <w:sz w:val="22"/>
        </w:rPr>
        <w:t xml:space="preserve">Any termination of the Executive’s employment for bases set forth in clauses (i) - (iii) and (vi) shall not constitute a termination for Cause unless the Company shall have provided written notice to the Executive no later than fifteen (15) calendar days after the Board first obtained actual knowledge of the Executive’s act or omission constituting Cause, setting forth in reasonable detail such acts or omissions, and the Executive shall have failed to cure (to the extent capable of cure) such acts or omissions within fifteen (15) calendar days following receipt of written notice. In the event of a termination of the Executive’s employment hereunder for Cause, the Company shall have no further obligation or liability to the Executive under this Agreement, other than for any Final Compensation (excluding the Prior Year Bonus) due to the Executive. Other than business expenses described in </w:t>
      </w:r>
      <w:r>
        <w:rPr>
          <w:rFonts w:ascii="Times New Roman;serif" w:hAnsi="Times New Roman;serif"/>
          <w:b w:val="false"/>
          <w:color w:val="000000"/>
          <w:sz w:val="22"/>
          <w:u w:val="single"/>
        </w:rPr>
        <w:t>Section 5(a)(iii),</w:t>
      </w:r>
      <w:r>
        <w:rPr>
          <w:color w:val="000000"/>
        </w:rPr>
        <w:t xml:space="preserve"> </w:t>
      </w:r>
      <w:r>
        <w:rPr>
          <w:rFonts w:ascii="Times New Roman;serif" w:hAnsi="Times New Roman;serif"/>
          <w:b w:val="false"/>
          <w:color w:val="000000"/>
          <w:sz w:val="22"/>
        </w:rPr>
        <w:t>Final Compensation shall be paid to the Executive at the time prescribed by applicable law and in all events within thirty (30) calendar days following the date of termination of employment.</w:t>
      </w:r>
    </w:p>
    <w:p>
      <w:pPr>
        <w:pStyle w:val="TextBody"/>
        <w:bidi w:val="0"/>
        <w:spacing w:lineRule="auto" w:line="302" w:before="220" w:after="283"/>
        <w:ind w:left="0" w:right="0" w:firstLine="2158"/>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By the Company Other Than for Cause</w:t>
      </w:r>
      <w:r>
        <w:rPr>
          <w:rFonts w:ascii="Times New Roman;serif" w:hAnsi="Times New Roman;serif"/>
          <w:b w:val="false"/>
          <w:color w:val="000000"/>
          <w:sz w:val="22"/>
        </w:rPr>
        <w:t>. The Company may terminate the Executive’s employment hereunder other than for Cause at any time upon thirty (30) calendar days’ prior written notice to the Executive. If the Company terminates the Executive’s employment other than for Cause after the Effective Date, then in addition to any Final Compensation due to the Executive, the Company will (i) pay to the Executive severance pay, at the same rate as the Base Salary, for a period of twelve (12) months following the date of termination of the Executive’s employment, (ii) pay to the Executive an amount equal to the Executive’s Target Bonus (clauses (i) and (ii), collectively, the “</w:t>
      </w:r>
      <w:r>
        <w:rPr>
          <w:rFonts w:ascii="Times New Roman;serif" w:hAnsi="Times New Roman;serif"/>
          <w:b w:val="false"/>
          <w:color w:val="000000"/>
          <w:sz w:val="22"/>
          <w:u w:val="single"/>
        </w:rPr>
        <w:t>Severance Payments</w:t>
      </w:r>
      <w:r>
        <w:rPr>
          <w:color w:val="000000"/>
        </w:rPr>
        <w:t>”</w:t>
      </w:r>
      <w:r>
        <w:rPr>
          <w:rFonts w:ascii="Times New Roman;serif" w:hAnsi="Times New Roman;serif"/>
          <w:b w:val="false"/>
          <w:color w:val="000000"/>
          <w:sz w:val="22"/>
        </w:rPr>
        <w:t xml:space="preserve">) and (iii) continue to pay, on the Executive’s behalf, the premiums required to be paid for the Executive’s continued participation in the Company’s health care benefit plan, including existing spousal or family health care coverage, if selected, for a period of twelve (12) months following termination, unless the Executive becomes employed by another company and eligible for coverage under such company’s group health care plans, and in such instance, future payment for the health insurance premiums will cease (the “Healthcare Payments” and, collectively with the Severance Payments, the “Severance Benefits”). Other than business expenses described in </w:t>
      </w:r>
      <w:r>
        <w:rPr>
          <w:rFonts w:ascii="Times New Roman;serif" w:hAnsi="Times New Roman;serif"/>
          <w:b w:val="false"/>
          <w:color w:val="000000"/>
          <w:sz w:val="22"/>
          <w:u w:val="single"/>
        </w:rPr>
        <w:t>Section 5(a)(iii),</w:t>
      </w:r>
      <w:r>
        <w:rPr>
          <w:color w:val="000000"/>
        </w:rPr>
        <w:t xml:space="preserve"> </w:t>
      </w:r>
      <w:r>
        <w:rPr>
          <w:rFonts w:ascii="Times New Roman;serif" w:hAnsi="Times New Roman;serif"/>
          <w:b w:val="false"/>
          <w:color w:val="000000"/>
          <w:sz w:val="22"/>
        </w:rPr>
        <w:t xml:space="preserve">Final Compensation shall be paid to the Executive at the time prescribed by applicable law and in all events within thirty (30) days following the date of termination of employment. Any obligation of the Company to provide the Severance Benefits is conditioned, however, on the Executive signing and returning to the Company (without revoking) a timely and effective general release of claims in substantially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(the “Release of Claims”), all of which (including the lapse of the period for revoking the Release of Claims as specified in the Release of Claims) shall have occurred no later than the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51" name="Frame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20" w:after="283"/>
        <w:jc w:val="both"/>
        <w:rPr/>
      </w:pPr>
      <w:r>
        <w:rPr>
          <w:rFonts w:ascii="Times New Roman;serif" w:hAnsi="Times New Roman;serif"/>
          <w:b w:val="false"/>
          <w:color w:val="000000"/>
          <w:sz w:val="22"/>
        </w:rPr>
        <w:t>sixtieth (60</w:t>
      </w:r>
      <w:r>
        <w:rPr>
          <w:rFonts w:ascii="Times New Roman;serif" w:hAnsi="Times New Roman;serif"/>
          <w:b w:val="false"/>
          <w:color w:val="000000"/>
          <w:sz w:val="14"/>
        </w:rPr>
        <w:t>th</w:t>
      </w:r>
      <w:r>
        <w:rPr>
          <w:rFonts w:ascii="Times New Roman;serif" w:hAnsi="Times New Roman;serif"/>
          <w:b w:val="false"/>
          <w:color w:val="000000"/>
          <w:sz w:val="22"/>
        </w:rPr>
        <w:t xml:space="preserve">) day following the date of termination, and on the Executive’s continued compliance with the obligations of the Executive to the Company and its Affiliates that survive termination of the Executive’s employment, including, without limitation, under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of this Agreement. Subject to </w:t>
      </w:r>
      <w:r>
        <w:rPr>
          <w:rFonts w:ascii="Times New Roman;serif" w:hAnsi="Times New Roman;serif"/>
          <w:b w:val="false"/>
          <w:color w:val="000000"/>
          <w:sz w:val="22"/>
          <w:u w:val="single"/>
        </w:rPr>
        <w:t>Section 5(g)</w:t>
      </w:r>
      <w:r>
        <w:rPr>
          <w:color w:val="000000"/>
        </w:rPr>
        <w:t xml:space="preserve"> </w:t>
      </w:r>
      <w:r>
        <w:rPr>
          <w:rFonts w:ascii="Times New Roman;serif" w:hAnsi="Times New Roman;serif"/>
          <w:b w:val="false"/>
          <w:color w:val="000000"/>
          <w:sz w:val="22"/>
        </w:rPr>
        <w:t>below, (A) the Severance Payments to which the Executive is entitled hereunder shall be in the form of salary continuation, payable in accordance with the normal payroll practices of the Company, and (B) the Healthcare Payments shall be paid monthly, and in both cases of (A) and (B), with the first payment, which shall be retroactive to the day immediately following the date on which the Executive’s employment terminated, being due and payable on the Company’s next regular payday for executives that follows the expiration of sixty (60) calendar days from the date on which the Executive’s employment terminates. Notwithstanding the foregoing, in the event the Healthcare Payments would, in the determination of the Board or its delegate, subject the Executive, the Company or any of its Affiliates to any tax or penalty under the Patient Protection and Affordable Care Act (as amended from time to time, the “ACA”) or Section 105(h) of the Internal Revenue Code of 1986, as amended (“Section 105(h)”), or applicable regulations or guidance issued under the ACA or Section 105(h), the Healthcare Payments shall be treated as taxable payments and be subject to imputed income tax treatment to the extent necessary to eliminate any such adverse consequences under the ACA or Section 105(h).</w:t>
      </w:r>
    </w:p>
    <w:p>
      <w:pPr>
        <w:pStyle w:val="TextBody"/>
        <w:bidi w:val="0"/>
        <w:spacing w:lineRule="auto" w:line="307" w:before="223" w:after="283"/>
        <w:ind w:left="0" w:right="0" w:firstLine="2160"/>
        <w:jc w:val="both"/>
        <w:rPr/>
      </w:pPr>
      <w:r>
        <w:rPr>
          <w:rFonts w:ascii="Times New Roman;serif" w:hAnsi="Times New Roman;serif"/>
          <w:b w:val="false"/>
          <w:color w:val="000000"/>
          <w:sz w:val="22"/>
        </w:rPr>
        <w:t>(e)</w:t>
      </w:r>
      <w:r>
        <w:rPr>
          <w:color w:val="000000"/>
          <w:u w:val="single"/>
        </w:rPr>
        <w:t xml:space="preserve"> </w:t>
      </w:r>
      <w:r>
        <w:rPr>
          <w:rFonts w:ascii="Times New Roman;serif" w:hAnsi="Times New Roman;serif"/>
          <w:b w:val="false"/>
          <w:color w:val="000000"/>
          <w:sz w:val="22"/>
          <w:u w:val="single"/>
        </w:rPr>
        <w:t>By the Executive for Good Reason</w:t>
      </w:r>
      <w:r>
        <w:rPr>
          <w:rFonts w:ascii="Times New Roman;serif" w:hAnsi="Times New Roman;serif"/>
          <w:b w:val="false"/>
          <w:color w:val="000000"/>
          <w:sz w:val="22"/>
        </w:rPr>
        <w:t>. The Executive may terminate the Executive’s employment hereunder for Good Reason by providing (1) written notice to the Company, specifying in reasonable detail the condition giving rise to the Good Reason, no later than the thirtieth (30</w:t>
      </w:r>
      <w:r>
        <w:rPr>
          <w:rFonts w:ascii="Times New Roman;serif" w:hAnsi="Times New Roman;serif"/>
          <w:b w:val="false"/>
          <w:color w:val="000000"/>
          <w:sz w:val="14"/>
        </w:rPr>
        <w:t>th</w:t>
      </w:r>
      <w:r>
        <w:rPr>
          <w:rFonts w:ascii="Times New Roman;serif" w:hAnsi="Times New Roman;serif"/>
          <w:b w:val="false"/>
          <w:color w:val="000000"/>
          <w:sz w:val="22"/>
        </w:rPr>
        <w:t>) calendar day following the first occurrence of that condition, and (2) the Company a period of thirty (30) calendar days in which to remedy the condition in all material respects. The Executive’s termination of employment for Good Reason will be effective on the thirty-first (31</w:t>
      </w:r>
      <w:r>
        <w:rPr>
          <w:rFonts w:ascii="Times New Roman;serif" w:hAnsi="Times New Roman;serif"/>
          <w:b w:val="false"/>
          <w:color w:val="000000"/>
          <w:sz w:val="14"/>
        </w:rPr>
        <w:t>st</w:t>
      </w:r>
      <w:r>
        <w:rPr>
          <w:rFonts w:ascii="Times New Roman;serif" w:hAnsi="Times New Roman;serif"/>
          <w:b w:val="false"/>
          <w:color w:val="000000"/>
          <w:sz w:val="22"/>
        </w:rPr>
        <w:t>) calendar day following the expiration of the Company’s period to remedy, if the Company has failed to remedy the condition in all material respects. The following, if occurring without the Executive’s written consent, shall constitute “Good Reason” for termination by the Executive:</w:t>
      </w:r>
    </w:p>
    <w:p>
      <w:pPr>
        <w:pStyle w:val="TextBody"/>
        <w:bidi w:val="0"/>
        <w:spacing w:lineRule="auto" w:line="307" w:before="223" w:after="283"/>
        <w:ind w:left="0" w:right="0" w:firstLine="2520"/>
        <w:jc w:val="both"/>
        <w:rPr/>
      </w:pPr>
      <w:r>
        <w:rPr>
          <w:rFonts w:ascii="Times New Roman;serif" w:hAnsi="Times New Roman;serif"/>
          <w:b w:val="false"/>
          <w:color w:val="000000"/>
          <w:sz w:val="22"/>
        </w:rPr>
        <w:t>(i)</w:t>
      </w:r>
      <w:r>
        <w:rPr>
          <w:color w:val="000000"/>
        </w:rPr>
        <w:t>    </w:t>
      </w:r>
      <w:r>
        <w:rPr>
          <w:rFonts w:ascii="Times New Roman;serif" w:hAnsi="Times New Roman;serif"/>
          <w:b w:val="false"/>
          <w:color w:val="000000"/>
          <w:sz w:val="22"/>
        </w:rPr>
        <w:t>a material reduction in the Executive’s Base Salary (unless such reduction affects all similarly situated employees of the Company on a proportionate basis);</w:t>
      </w:r>
    </w:p>
    <w:p>
      <w:pPr>
        <w:pStyle w:val="TextBody"/>
        <w:bidi w:val="0"/>
        <w:spacing w:lineRule="auto" w:line="307" w:before="223" w:after="283"/>
        <w:ind w:left="0" w:right="0" w:firstLine="2520"/>
        <w:jc w:val="both"/>
        <w:rPr/>
      </w:pPr>
      <w:r>
        <w:rPr>
          <w:rFonts w:ascii="Times New Roman;serif" w:hAnsi="Times New Roman;serif"/>
          <w:b w:val="false"/>
          <w:color w:val="000000"/>
          <w:sz w:val="22"/>
        </w:rPr>
        <w:t>(ii)</w:t>
      </w:r>
      <w:r>
        <w:rPr>
          <w:color w:val="000000"/>
        </w:rPr>
        <w:t>    </w:t>
      </w:r>
      <w:r>
        <w:rPr>
          <w:rFonts w:ascii="Times New Roman;serif" w:hAnsi="Times New Roman;serif"/>
          <w:b w:val="false"/>
          <w:color w:val="000000"/>
          <w:sz w:val="22"/>
        </w:rPr>
        <w:t>a requirement that the Executive relocate more than fifty (50) miles from Austin, Texas (the “Executive's Principal Place of Employment”); provided, that, a relocation shall not include: (A) the Executive’s travel for business in the course of performing the Executive’s duties for the Company or any of its Affiliates, (B) the Executive working remotely or (C) the Company or any of its Affiliates requiring the Executive to report to an office within the Executive’s Principal Place of Employment (instead of working remotely);</w:t>
      </w:r>
    </w:p>
    <w:p>
      <w:pPr>
        <w:pStyle w:val="TextBody"/>
        <w:bidi w:val="0"/>
        <w:spacing w:lineRule="auto" w:line="307" w:before="223" w:after="283"/>
        <w:ind w:left="0" w:right="0" w:firstLine="2520"/>
        <w:jc w:val="both"/>
        <w:rPr/>
      </w:pPr>
      <w:r>
        <w:rPr>
          <w:rFonts w:ascii="Times New Roman;serif" w:hAnsi="Times New Roman;serif"/>
          <w:b w:val="false"/>
          <w:color w:val="000000"/>
          <w:sz w:val="22"/>
        </w:rPr>
        <w:t>(iii)</w:t>
      </w:r>
      <w:r>
        <w:rPr>
          <w:color w:val="000000"/>
        </w:rPr>
        <w:t>    </w:t>
      </w:r>
      <w:r>
        <w:rPr>
          <w:rFonts w:ascii="Times New Roman;serif" w:hAnsi="Times New Roman;serif"/>
          <w:b w:val="false"/>
          <w:color w:val="000000"/>
          <w:sz w:val="22"/>
        </w:rPr>
        <w:t>a material diminution in the nature or scope of the Executive’s title, reporting line, duties, authority and/or responsibilities; or</w:t>
      </w:r>
    </w:p>
    <w:p>
      <w:pPr>
        <w:pStyle w:val="TextBody"/>
        <w:bidi w:val="0"/>
        <w:spacing w:lineRule="auto" w:line="307" w:before="223" w:after="283"/>
        <w:ind w:left="0" w:right="0" w:firstLine="2520"/>
        <w:jc w:val="both"/>
        <w:rPr/>
      </w:pPr>
      <w:r>
        <w:rPr>
          <w:rFonts w:ascii="Times New Roman;serif" w:hAnsi="Times New Roman;serif"/>
          <w:b w:val="false"/>
          <w:color w:val="000000"/>
          <w:sz w:val="22"/>
        </w:rPr>
        <w:t>(iv)</w:t>
      </w:r>
      <w:r>
        <w:rPr>
          <w:color w:val="000000"/>
        </w:rPr>
        <w:t>    </w:t>
      </w:r>
      <w:r>
        <w:rPr>
          <w:rFonts w:ascii="Times New Roman;serif" w:hAnsi="Times New Roman;serif"/>
          <w:b w:val="false"/>
          <w:color w:val="000000"/>
          <w:sz w:val="22"/>
        </w:rPr>
        <w:t>a material breach by the Company of (A) any of the terms of this Agreement or (B) any other material written agreement between the Company and the Executive.</w:t>
      </w:r>
    </w:p>
    <w:p>
      <w:pPr>
        <w:pStyle w:val="TextBody"/>
        <w:bidi w:val="0"/>
        <w:spacing w:lineRule="auto" w:line="307" w:before="218" w:after="283"/>
        <w:ind w:left="0" w:right="0" w:firstLine="720"/>
        <w:jc w:val="both"/>
        <w:rPr/>
      </w:pPr>
      <w:r>
        <w:rPr>
          <w:rFonts w:ascii="Times New Roman;serif" w:hAnsi="Times New Roman;serif"/>
          <w:b w:val="false"/>
          <w:color w:val="000000"/>
          <w:sz w:val="22"/>
        </w:rPr>
        <w:t xml:space="preserve">In the event of termination of the Executive’s employment in accordance with this </w:t>
      </w:r>
      <w:r>
        <w:rPr>
          <w:rFonts w:ascii="Times New Roman;serif" w:hAnsi="Times New Roman;serif"/>
          <w:b w:val="false"/>
          <w:color w:val="000000"/>
          <w:sz w:val="22"/>
          <w:u w:val="single"/>
        </w:rPr>
        <w:t>Section 5(e)</w:t>
      </w:r>
      <w:r>
        <w:rPr>
          <w:rFonts w:ascii="Times New Roman;serif" w:hAnsi="Times New Roman;serif"/>
          <w:b w:val="false"/>
          <w:color w:val="000000"/>
          <w:sz w:val="22"/>
        </w:rPr>
        <w:t xml:space="preserve">, the Executive will be entitled to all amounts the Executive would have been entitled to receive had the Executive’s employment been terminated by the Company other than for Cause pursuant to </w:t>
      </w:r>
      <w:r>
        <w:rPr>
          <w:rFonts w:ascii="Times New Roman;serif" w:hAnsi="Times New Roman;serif"/>
          <w:b w:val="false"/>
          <w:color w:val="000000"/>
          <w:sz w:val="22"/>
          <w:u w:val="single"/>
        </w:rPr>
        <w:t>Section 5(d)</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Executive (A) signs and returns (without revoking) a timely and effective Release of Claims as set forth in </w:t>
      </w:r>
      <w:r>
        <w:rPr>
          <w:rFonts w:ascii="Times New Roman;serif" w:hAnsi="Times New Roman;serif"/>
          <w:b w:val="false"/>
          <w:color w:val="000000"/>
          <w:sz w:val="22"/>
          <w:u w:val="single"/>
        </w:rPr>
        <w:t>Section 5(d)</w:t>
      </w:r>
      <w:r>
        <w:rPr>
          <w:rFonts w:ascii="Times New Roman;serif" w:hAnsi="Times New Roman;serif"/>
          <w:b w:val="false"/>
          <w:color w:val="000000"/>
          <w:sz w:val="22"/>
        </w:rPr>
        <w:t xml:space="preserve">, and (B) provides timely notice as described above in this </w:t>
      </w:r>
      <w:r>
        <w:rPr>
          <w:rFonts w:ascii="Times New Roman;serif" w:hAnsi="Times New Roman;serif"/>
          <w:b w:val="false"/>
          <w:color w:val="000000"/>
          <w:sz w:val="22"/>
          <w:u w:val="single"/>
        </w:rPr>
        <w:t>Section 5(e)</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52" name="Frame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7" w:before="246" w:after="283"/>
        <w:ind w:left="0" w:right="0" w:firstLine="216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By the Executive without Good Reason</w:t>
      </w:r>
      <w:r>
        <w:rPr>
          <w:rFonts w:ascii="Times New Roman;serif" w:hAnsi="Times New Roman;serif"/>
          <w:b w:val="false"/>
          <w:color w:val="000000"/>
          <w:sz w:val="22"/>
        </w:rPr>
        <w:t xml:space="preserve">. The Executive may terminate the Executive’s employment hereunder without Good Reason at any time upon sixty (60) calendar days’ prior written notice to the Company. In the event of termination of the Executive’s employment in accordance with this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 xml:space="preserve">the Chief Executive Officer may elect to waive the period of notice, or any portion thereof, and, if the Chief Executive Officer so elects, the Company will pay the Executive the Base Salary for the period so waived. The Company shall also pay the Executive any Final Compensation due to the Executive (other than business expenses described in </w:t>
      </w:r>
      <w:r>
        <w:rPr>
          <w:rFonts w:ascii="Times New Roman;serif" w:hAnsi="Times New Roman;serif"/>
          <w:b w:val="false"/>
          <w:color w:val="000000"/>
          <w:sz w:val="22"/>
          <w:u w:val="single"/>
        </w:rPr>
        <w:t>Section 5(a)(iii))</w:t>
      </w:r>
      <w:r>
        <w:rPr>
          <w:color w:val="000000"/>
        </w:rPr>
        <w:t xml:space="preserve"> </w:t>
      </w:r>
      <w:r>
        <w:rPr>
          <w:rFonts w:ascii="Times New Roman;serif" w:hAnsi="Times New Roman;serif"/>
          <w:b w:val="false"/>
          <w:color w:val="000000"/>
          <w:sz w:val="22"/>
        </w:rPr>
        <w:t>at the time prescribed by applicable law and in all events within thirty (30) days following the date of the termination of employment.</w:t>
      </w:r>
    </w:p>
    <w:p>
      <w:pPr>
        <w:pStyle w:val="TextBody"/>
        <w:bidi w:val="0"/>
        <w:spacing w:lineRule="auto" w:line="288" w:before="220" w:after="283"/>
        <w:ind w:left="0" w:right="0" w:hanging="961"/>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Timing of Payments and Section 409A</w:t>
      </w:r>
      <w:r>
        <w:rPr>
          <w:rFonts w:ascii="Times New Roman;serif" w:hAnsi="Times New Roman;serif"/>
          <w:b w:val="false"/>
          <w:color w:val="000000"/>
          <w:sz w:val="22"/>
        </w:rPr>
        <w:t>.</w:t>
      </w:r>
    </w:p>
    <w:p>
      <w:pPr>
        <w:pStyle w:val="TextBody"/>
        <w:bidi w:val="0"/>
        <w:spacing w:lineRule="auto" w:line="302" w:before="245" w:after="283"/>
        <w:ind w:left="0" w:right="0" w:firstLine="2520"/>
        <w:jc w:val="both"/>
        <w:rPr/>
      </w:pPr>
      <w:r>
        <w:rPr>
          <w:rFonts w:ascii="Times New Roman;serif" w:hAnsi="Times New Roman;serif"/>
          <w:b w:val="false"/>
          <w:color w:val="000000"/>
          <w:sz w:val="22"/>
        </w:rPr>
        <w:t xml:space="preserve">(i)Notwithstanding anything to the contrary in this Agreement, if, at the time of the Executive’s termination of employment, the Executive is a “specified employee,” as defined below, any and all amounts payable under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on account of such separation from service that constitute deferred compensation, and would (but for this provision) be payable within six (6) months following the date of termination, shall instead be paid on the next business day following the expiration of such six (6)-month period or, if earlier, upon the Executive’s death; except (A) with respect to any amounts that do not constitute a deferral of compensation within the meaning of Treasury Regulation Section 1.409A-l(b) (including, without limitation, by reason of the safe harbor set forth in Section 1.409A-l(b)(9)(iii), as determined by the Company in its reasonable good faith discretion); (B) benefits that qualify as excepted welfare benefits pursuant to Treasury Regulation Section 1.409A-l(a)(5); and (C) other amounts or benefits that are not subject to the requirements of Section 409A of the Internal Revenue Code of 1986, as amended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w:t>
      </w:r>
    </w:p>
    <w:p>
      <w:pPr>
        <w:pStyle w:val="TextBody"/>
        <w:bidi w:val="0"/>
        <w:spacing w:lineRule="auto" w:line="302" w:before="225" w:after="283"/>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(ii)This Agreement is intended to either comply with, or be exempt from, Section 409A, and this Agreement shall be construed and administered in accordance with such intent.</w:t>
      </w:r>
    </w:p>
    <w:p>
      <w:pPr>
        <w:pStyle w:val="TextBody"/>
        <w:bidi w:val="0"/>
        <w:spacing w:lineRule="auto" w:line="307" w:before="221" w:after="283"/>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(iii)For purposes of this Agreement and solely to the extent that Section 409A applies to compensation or a benefit, all references to “termination of employment” and correlative phrases shall be construed to require a “separation from service” (as defined in Section 1.409A-l(h) of the Treasury Regulations, after giving effect to the presumptions contained therein), and the term “specified employee” means an individual determined by the Company to be a specified employee under Treasury Regulation Section 1.409A-l(i).</w:t>
      </w:r>
    </w:p>
    <w:p>
      <w:pPr>
        <w:pStyle w:val="TextBody"/>
        <w:bidi w:val="0"/>
        <w:spacing w:lineRule="auto" w:line="309" w:before="221" w:after="283"/>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(iv)Each payment made under this Agreement shall be treated as a separate payment, and the right to a series of installment payments under this Agreement is to be treated as a right to a series of separate payments.</w:t>
      </w:r>
    </w:p>
    <w:p>
      <w:pPr>
        <w:pStyle w:val="TextBody"/>
        <w:bidi w:val="0"/>
        <w:spacing w:lineRule="auto" w:line="307" w:before="220" w:after="283"/>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(v)Any payment of, or reimbursement for, expenses that would constitute nonqualified deferred compensation subject to Section 409A shall be subject to the following additional rules: (A) no reimbursement or payment of any such expense shall affect the Executive’s right to reimbursement or payment of any such expense in any other calendar year; (B) reimbursement or payment of the expense shall be made, if at all, promptly, but not later than the end of the calendar year following the calendar year in which the expense was incurred; and (C) the right to reimbursement or payment shall not be subject to liquidation or exchange for any other benefit.</w:t>
      </w:r>
    </w:p>
    <w:p>
      <w:pPr>
        <w:pStyle w:val="TextBody"/>
        <w:bidi w:val="0"/>
        <w:spacing w:before="26" w:after="283"/>
        <w:ind w:left="0" w:right="0" w:firstLine="2430"/>
        <w:jc w:val="left"/>
        <w:rPr/>
      </w:pPr>
      <w:r>
        <w:rPr/>
      </w:r>
    </w:p>
    <w:p>
      <w:pPr>
        <w:pStyle w:val="TextBody"/>
        <w:bidi w:val="0"/>
        <w:spacing w:lineRule="auto" w:line="307"/>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 xml:space="preserve">(vi)In the event of any change in the payroll schedule of the Company, each installment or payment to be made under this Agreement shall be made (according to such new payroll schedule) within thirty (30) days of the payroll date that would apply pursuant to the payroll schedule in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53" name="Frame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7" w:before="0" w:after="0"/>
        <w:jc w:val="both"/>
        <w:rPr>
          <w:rFonts w:ascii="Times New Roman;serif" w:hAnsi="Times New Roman;serif"/>
          <w:b w:val="false"/>
          <w:color w:val="000000"/>
          <w:sz w:val="22"/>
        </w:rPr>
      </w:pPr>
      <w:r>
        <w:rPr>
          <w:rFonts w:ascii="Times New Roman;serif" w:hAnsi="Times New Roman;serif"/>
          <w:b w:val="false"/>
          <w:color w:val="000000"/>
          <w:sz w:val="22"/>
        </w:rPr>
        <w:t>effect on the Effective Date to the extent necessary to avoid a violation of applicable requirements under Section 409A.</w:t>
      </w:r>
    </w:p>
    <w:p>
      <w:pPr>
        <w:pStyle w:val="TextBody"/>
        <w:bidi w:val="0"/>
        <w:spacing w:lineRule="auto" w:line="307" w:before="0" w:after="0"/>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(vii)In the event the Company or the Executive determines that any compensation or benefit payable hereunder may violate applicable requirements of Section 409A, the Company and the Executive shall cooperate in good faith to amend this Agreement or take any other actions as are necessary or appropriate for such compensation or benefit to either (A) be exempt from the requirements of Section 409A or (B) comply with the applicable requirements of Section 409A; provided, that, no such amendment will be made to the extent it would result in an increased cost to the Company.</w:t>
      </w:r>
    </w:p>
    <w:p>
      <w:pPr>
        <w:pStyle w:val="TextBody"/>
        <w:bidi w:val="0"/>
        <w:spacing w:before="25" w:after="283"/>
        <w:ind w:left="0" w:right="0" w:firstLine="2430"/>
        <w:jc w:val="left"/>
        <w:rPr/>
      </w:pPr>
      <w:r>
        <w:rPr/>
      </w:r>
    </w:p>
    <w:p>
      <w:pPr>
        <w:pStyle w:val="TextBody"/>
        <w:bidi w:val="0"/>
        <w:spacing w:lineRule="auto" w:line="307" w:before="0" w:after="0"/>
        <w:ind w:left="0" w:right="0" w:firstLine="2430"/>
        <w:jc w:val="both"/>
        <w:rPr>
          <w:rFonts w:ascii="Times New Roman;serif" w:hAnsi="Times New Roman;serif"/>
          <w:b w:val="false"/>
          <w:color w:val="000000"/>
          <w:sz w:val="22"/>
        </w:rPr>
      </w:pPr>
      <w:r>
        <w:rPr>
          <w:rFonts w:ascii="Times New Roman;serif" w:hAnsi="Times New Roman;serif"/>
          <w:b w:val="false"/>
          <w:color w:val="000000"/>
          <w:sz w:val="22"/>
        </w:rPr>
        <w:t>(viii)In no event shall the Company have any liability relating to the failure or alleged failure of any payment or benefit under this Agreement to comply with, or be exempt from, the requirements of Section 409A.</w:t>
      </w:r>
    </w:p>
    <w:p>
      <w:pPr>
        <w:pStyle w:val="TextBody"/>
        <w:bidi w:val="0"/>
        <w:spacing w:lineRule="auto" w:line="307" w:before="220" w:after="283"/>
        <w:ind w:left="0" w:right="0" w:firstLine="216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Exclusive Right to Severance</w:t>
      </w:r>
      <w:r>
        <w:rPr>
          <w:rFonts w:ascii="Times New Roman;serif" w:hAnsi="Times New Roman;serif"/>
          <w:b w:val="false"/>
          <w:color w:val="000000"/>
          <w:sz w:val="22"/>
        </w:rPr>
        <w:t>. The Executive agrees that the Severance Benefits to be provided to the Executive in accordance with the terms and conditions set forth in this Agreement are intended to be exclusive. The Executive hereby knowingly and voluntarily waives any right the Executive might otherwise have to participate in or receive payments or benefits under any other plan, program or policy of the Company providing for severance or termination pay or other termination benefits (other than any equity incentive awards and any benefits payable pursuant to a long-term disability or other similar insurance program, which shall be governed by the terms and provisions of the applicable plan, award agreement or program, and the Indemnification Agreement attached hereto as Exhibit C).</w:t>
      </w:r>
    </w:p>
    <w:p>
      <w:pPr>
        <w:pStyle w:val="TextBody"/>
        <w:bidi w:val="0"/>
        <w:spacing w:lineRule="auto" w:line="307" w:before="217" w:after="283"/>
        <w:ind w:left="0" w:right="0" w:firstLine="144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Effect of Termination</w:t>
      </w:r>
      <w:r>
        <w:rPr>
          <w:rFonts w:ascii="Times New Roman;serif" w:hAnsi="Times New Roman;serif"/>
          <w:b w:val="false"/>
          <w:color w:val="000000"/>
          <w:sz w:val="22"/>
        </w:rPr>
        <w:t xml:space="preserve">. The provisions of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shall apply to any termination of the Executive’s employment under this Agreement, whether pursuant to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or otherwise.</w:t>
      </w:r>
    </w:p>
    <w:p>
      <w:pPr>
        <w:pStyle w:val="TextBody"/>
        <w:bidi w:val="0"/>
        <w:spacing w:lineRule="auto" w:line="307" w:before="220" w:after="283"/>
        <w:ind w:left="0" w:right="0" w:firstLine="2160"/>
        <w:jc w:val="both"/>
        <w:rPr/>
      </w:pPr>
      <w:r>
        <w:rPr>
          <w:rFonts w:ascii="Times New Roman;serif" w:hAnsi="Times New Roman;serif"/>
          <w:b w:val="false"/>
          <w:color w:val="000000"/>
          <w:sz w:val="22"/>
        </w:rPr>
        <w:t xml:space="preserve">(a)Provision by the Company of Final Compensation and Severance Benefits, if any, that are due to the Executive, in each case, under the applicable termination provisions of </w:t>
      </w:r>
      <w:r>
        <w:rPr>
          <w:rFonts w:ascii="Times New Roman;serif" w:hAnsi="Times New Roman;serif"/>
          <w:b w:val="false"/>
          <w:color w:val="000000"/>
          <w:sz w:val="22"/>
          <w:u w:val="single"/>
        </w:rPr>
        <w:t>Section 5</w:t>
      </w:r>
      <w:r>
        <w:rPr>
          <w:rFonts w:ascii="Times New Roman;serif" w:hAnsi="Times New Roman;serif"/>
          <w:b w:val="false"/>
          <w:color w:val="000000"/>
          <w:sz w:val="22"/>
        </w:rPr>
        <w:t>, shall constitute the entire obligation of the Company to the Executive under this Agreement.</w:t>
      </w:r>
    </w:p>
    <w:p>
      <w:pPr>
        <w:pStyle w:val="TextBody"/>
        <w:bidi w:val="0"/>
        <w:spacing w:lineRule="auto" w:line="307" w:before="220" w:after="283"/>
        <w:ind w:left="0" w:right="0" w:firstLine="2160"/>
        <w:jc w:val="both"/>
        <w:rPr/>
      </w:pPr>
      <w:r>
        <w:rPr>
          <w:rFonts w:ascii="Times New Roman;serif" w:hAnsi="Times New Roman;serif"/>
          <w:b w:val="false"/>
          <w:color w:val="000000"/>
          <w:sz w:val="22"/>
        </w:rPr>
        <w:t xml:space="preserve">(b)Except for any right of the Executive to continue group health plan participation in accordance with applicable law, the Executive’s participation in all Employee Benefit Plans shall terminate pursuant to the terms of the applicable Employee Benefit Plan documents based on the date of termination of the Executive’s employment, without regard to any Base Salary for notice waived pursuant to </w:t>
      </w:r>
      <w:r>
        <w:rPr>
          <w:rFonts w:ascii="Times New Roman;serif" w:hAnsi="Times New Roman;serif"/>
          <w:b w:val="false"/>
          <w:color w:val="000000"/>
          <w:sz w:val="22"/>
          <w:u w:val="single"/>
        </w:rPr>
        <w:t>Section 5(f)</w:t>
      </w:r>
      <w:r>
        <w:rPr>
          <w:color w:val="000000"/>
        </w:rPr>
        <w:t xml:space="preserve"> </w:t>
      </w:r>
      <w:r>
        <w:rPr>
          <w:rFonts w:ascii="Times New Roman;serif" w:hAnsi="Times New Roman;serif"/>
          <w:b w:val="false"/>
          <w:color w:val="000000"/>
          <w:sz w:val="22"/>
        </w:rPr>
        <w:t>hereof or to any Severance Benefits or other payment made to or on behalf of the Executive following such termination date.</w:t>
      </w:r>
    </w:p>
    <w:p>
      <w:pPr>
        <w:pStyle w:val="TextBody"/>
        <w:bidi w:val="0"/>
        <w:spacing w:lineRule="auto" w:line="302" w:before="219" w:after="283"/>
        <w:ind w:left="0" w:right="0" w:firstLine="2160"/>
        <w:jc w:val="both"/>
        <w:rPr/>
      </w:pPr>
      <w:r>
        <w:rPr>
          <w:rFonts w:ascii="Times New Roman;serif" w:hAnsi="Times New Roman;serif"/>
          <w:b w:val="false"/>
          <w:color w:val="000000"/>
          <w:sz w:val="22"/>
        </w:rPr>
        <w:t xml:space="preserve">(c)Provisions of this Agreement shall survive any termination of the Executive’s employment if so provided herein or if necessary or desirable fully to accomplish the purposes of other surviving provisions, including, without limitation, the obligations of the Executive under </w:t>
      </w:r>
      <w:r>
        <w:rPr>
          <w:rFonts w:ascii="Times New Roman;serif" w:hAnsi="Times New Roman;serif"/>
          <w:b w:val="false"/>
          <w:color w:val="000000"/>
          <w:sz w:val="22"/>
          <w:u w:val="single"/>
        </w:rPr>
        <w:t>Sections</w:t>
      </w:r>
      <w:r>
        <w:rPr>
          <w:color w:val="000000"/>
        </w:rPr>
        <w:t xml:space="preserve"> </w:t>
      </w:r>
      <w:r>
        <w:rPr>
          <w:rFonts w:ascii="Times New Roman;serif" w:hAnsi="Times New Roman;serif"/>
          <w:b w:val="false"/>
          <w:color w:val="000000"/>
          <w:sz w:val="22"/>
          <w:u w:val="single"/>
        </w:rPr>
        <w:t>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hereof. The obligation of the Company to provide Severance Benefits hereunder, and the Executive’s right to retain such payments, is expressly conditioned on the Executive’s continued full performance in accordance with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hereof.</w:t>
      </w:r>
    </w:p>
    <w:p>
      <w:pPr>
        <w:pStyle w:val="TextBody"/>
        <w:bidi w:val="0"/>
        <w:spacing w:lineRule="auto" w:line="288" w:before="224" w:after="283"/>
        <w:ind w:left="0" w:right="0" w:hanging="976"/>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Confidential Information</w:t>
      </w:r>
      <w:r>
        <w:rPr>
          <w:rFonts w:ascii="Times New Roman;serif" w:hAnsi="Times New Roman;serif"/>
          <w:b w:val="false"/>
          <w:color w:val="000000"/>
          <w:sz w:val="22"/>
        </w:rPr>
        <w:t>.</w:t>
      </w:r>
    </w:p>
    <w:p>
      <w:pPr>
        <w:pStyle w:val="TextBody"/>
        <w:bidi w:val="0"/>
        <w:spacing w:before="224" w:after="283"/>
        <w:jc w:val="both"/>
        <w:rPr/>
      </w:pPr>
      <w:r>
        <w:rPr/>
      </w:r>
    </w:p>
    <w:p>
      <w:pPr>
        <w:pStyle w:val="TextBody"/>
        <w:bidi w:val="0"/>
        <w:spacing w:lineRule="auto" w:line="302" w:before="74" w:after="283"/>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(a)The Executive acknowledges that the Company and its Affiliates continually develop Confidential Information, that the Executive will develop Confidential Information for the Company or its Affiliates and that the Executive will learn of Confidential Information during the course of the Executive’s employment. The Executive agrees that all Confidential Information which the Executive creates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5780"/>
                <wp:effectExtent l="0" t="0" r="0" b="0"/>
                <wp:wrapNone/>
                <wp:docPr id="54" name="Frame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74" w:after="283"/>
        <w:jc w:val="both"/>
        <w:rPr/>
      </w:pPr>
      <w:r>
        <w:rPr>
          <w:rFonts w:ascii="Times New Roman;serif" w:hAnsi="Times New Roman;serif"/>
          <w:b w:val="false"/>
          <w:color w:val="000000"/>
          <w:sz w:val="22"/>
        </w:rPr>
        <w:t xml:space="preserve">or to which the Executive has access as a result of the Executive’s employment or other associations with the Company or any of its Affiliates since the Effective Date is and shall remain the sole and exclusive property of the Company or its Affiliate, as applicable. The Executive shall comply with the policies and procedures of the Company and its Affiliates for protecting Confidential Information and shall never disclose to any Person (except as required by applicable law or for the proper performance of the Executive’s duties and responsibilities to the Company and its Affiliates), or use for the Executive’s own benefit or gain or the benefit or gain of any other Person, any Confidential Information obtained by the Executive incident to the Executive’s employment or any other association with the Company or any of its Affiliates. The Executive understands that this restriction shall continue to apply after the Executive’s employment terminates, regardless of the reason for such termination. Further, the Executive agrees to furnish prompt notice to the Company, to the extent permitted by applicable law, of any required disclosure of Confidential Information sought pursuant to subpoena, court order or any other legal process or requirement, and agrees to provide the Company a reasonable opportunity to seek protection of the Confidential Information prior to any such disclosure. The confidentiality obligation under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shall not apply to information that has become generally known through no wrongful act on the part of the Executive or any other Person having an obligation of confidentiality to the Company or any of its Affiliates. For the avoidance of doubt, the Executive acknowledges that nothing contained herein limits, restricts or in any other way affects the Executive’s communicating with any governmental agency or entity, or communicating with any official or staff person of a governmental agency or entity, concerning matters relevant to the governmental agency or entity. Notwithstanding anything to the contrary in the foregoing, the Executive may retain the Executive’s personnel and compensation information, contacts list and computer calendar following the termination of the Executive’s employment, subject to the confidentiality obligations hereunder. Moreover, nothing herein restricts the Executive from providing information to the Executive’s tax or financial advisor or legal counsel or disclosing information if reasonably appropriate pursuant to any legal process between the Executive and the Company or any of its Affiliates.</w:t>
      </w:r>
    </w:p>
    <w:p>
      <w:pPr>
        <w:pStyle w:val="TextBody"/>
        <w:bidi w:val="0"/>
        <w:spacing w:lineRule="auto" w:line="302" w:before="238" w:after="283"/>
        <w:ind w:left="0" w:right="0" w:firstLine="2160"/>
        <w:jc w:val="both"/>
        <w:rPr/>
      </w:pPr>
      <w:r>
        <w:rPr>
          <w:rFonts w:ascii="Times New Roman;serif" w:hAnsi="Times New Roman;serif"/>
          <w:b w:val="false"/>
          <w:color w:val="000000"/>
          <w:sz w:val="22"/>
        </w:rPr>
        <w:t xml:space="preserve">(b)All documents, records, tapes and other media of every kind and description relating to the business, present or otherwise, of the Company or any of its Affiliates and any copies or derivatives (including, without limitation, electronic), in whole or in part, thereof (the “Documents”), whether or not prepared by the Executive, shall be the sole and exclusive property of the Company and its Affiliates. Except as necessary for the proper performance of the Executive’s regular duties for the Company or as expressly authorized in writing in advance by the Company or its expressly authorized designee, the Executive will not copy any Documents or remove any Documents or copies or derivatives thereof from the premises of the Company. The Executive shall safeguard all Documents and shall surrender to the Company, at the time the Executive’s employment terminates, or at such earlier time or times as the Company or its designee may specify, all Documents and other property of the Company or any of its Affiliates and all documents, records and files of the customers and other Persons with whom the Company or any of its Affiliates does business (collectively, “Third Party Documents” and each individually, a “Third Party Document”) then in the Executive’s possession or control and not accessible by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however,</w:t>
      </w:r>
      <w:r>
        <w:rPr>
          <w:color w:val="000000"/>
        </w:rPr>
        <w:t xml:space="preserve"> </w:t>
      </w:r>
      <w:r>
        <w:rPr>
          <w:rFonts w:ascii="Times New Roman;serif" w:hAnsi="Times New Roman;serif"/>
          <w:b w:val="false"/>
          <w:color w:val="000000"/>
          <w:sz w:val="22"/>
        </w:rPr>
        <w:t>that if a Document or Third-Party Document is on electronic media, the Executive may, in lieu of surrendering the Document or Third-Party Document, provide a copy to the Company on electronic media and delete and overwrite all other electronic media copies thereof. The Executive also agrees that, upon request of any duly authorized officer of the Company, the Executive shall disclose all passwords and passcodes necessary or desirable to enable the Company or any of its Affiliates or the Persons with whom the Company or any of its Affiliates do business to obtain access to the Documents and Third-Party Documents.</w:t>
      </w:r>
    </w:p>
    <w:p>
      <w:pPr>
        <w:pStyle w:val="TextBody"/>
        <w:bidi w:val="0"/>
        <w:spacing w:lineRule="auto" w:line="302" w:before="238" w:after="283"/>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(c)18 U.S.C. § 1833(b) provides: “An individual shall not be held criminally or civilly liable under any Federal or State trade secret law for the disclosure of a trade secret that—(A) is made</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5780"/>
                <wp:effectExtent l="0" t="0" r="0" b="0"/>
                <wp:wrapNone/>
                <wp:docPr id="55" name="Frame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38" w:after="283"/>
        <w:jc w:val="both"/>
        <w:rPr>
          <w:color w:val="000000"/>
        </w:rPr>
      </w:pPr>
      <w:r>
        <w:rPr>
          <w:color w:val="000000"/>
        </w:rPr>
        <w:t>—</w:t>
      </w:r>
      <w:r>
        <w:rPr>
          <w:rFonts w:ascii="Times New Roman;serif" w:hAnsi="Times New Roman;serif"/>
          <w:b w:val="false"/>
          <w:color w:val="000000"/>
          <w:sz w:val="22"/>
        </w:rPr>
        <w:t>(i)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lineRule="auto" w:line="307" w:before="225" w:after="283"/>
        <w:ind w:left="0" w:right="0" w:firstLine="1460"/>
        <w:jc w:val="both"/>
        <w:rPr/>
      </w:pPr>
      <w:r>
        <w:rPr>
          <w:rFonts w:ascii="Times New Roman;serif" w:hAnsi="Times New Roman;serif"/>
          <w:b w:val="false"/>
          <w:color w:val="000000"/>
          <w:sz w:val="22"/>
        </w:rPr>
        <w:t>8.</w:t>
      </w:r>
      <w:r>
        <w:rPr/>
        <w:drawing>
          <wp:inline distT="0" distB="0" distL="0" distR="0">
            <wp:extent cx="28575" cy="14605"/>
            <wp:effectExtent l="0" t="0" r="0" b="0"/>
            <wp:docPr id="5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 descr=""/>
                    <pic:cNvPicPr>
                      <a:picLocks noChangeAspect="1" noChangeArrowheads="1"/>
                    </pic:cNvPicPr>
                  </pic:nvPicPr>
                  <pic:blipFill>
                    <a:blip r:embed="rId19"/>
                    <a:stretch>
                      <a:fillRect/>
                    </a:stretch>
                  </pic:blipFill>
                  <pic:spPr bwMode="auto">
                    <a:xfrm>
                      <a:off x="0" y="0"/>
                      <a:ext cx="28575" cy="14605"/>
                    </a:xfrm>
                    <a:prstGeom prst="rect">
                      <a:avLst/>
                    </a:prstGeom>
                  </pic:spPr>
                </pic:pic>
              </a:graphicData>
            </a:graphic>
          </wp:inline>
        </w:drawing>
      </w:r>
      <w:r>
        <w:rPr>
          <w:rFonts w:ascii="Times New Roman;serif" w:hAnsi="Times New Roman;serif"/>
          <w:b w:val="false"/>
          <w:color w:val="000000"/>
          <w:sz w:val="22"/>
          <w:u w:val="single"/>
        </w:rPr>
        <w:t>Assignment of Rights to Intellectual Property</w:t>
      </w:r>
      <w:r>
        <w:rPr>
          <w:rFonts w:ascii="Times New Roman;serif" w:hAnsi="Times New Roman;serif"/>
          <w:b w:val="false"/>
          <w:color w:val="000000"/>
          <w:sz w:val="22"/>
        </w:rPr>
        <w:t>. The Executive shall promptly and fully disclose all Intellectual Property to the Company. The Executive hereby assigns and agrees to assign to the Company (or as otherwise directed by the Company) the Executive’s full right, title and interest in and to all Intellectual Property. The Executive agrees to execute any and all applications for domestic and foreign patents, copyrights or other proprietary rights and to do such other acts (including, without limitation, the execution and delivery of instruments of further assurance or confirmation) requested by the Company to assign the Intellectual Property to the Company (or as otherwise directed by the Company) and to permit the Company to enforce any patents, copyrights or other proprietary rights to the Intellectual Property. The Executive will not charge the Company for time spent in complying with these obligations. All copyrightable works that the Executive creates during the Executive’s employment with the Company shall be considered “work made for hire” and shall, upon creation, be owned exclusively by the Company.</w:t>
      </w:r>
    </w:p>
    <w:p>
      <w:pPr>
        <w:pStyle w:val="TextBody"/>
        <w:bidi w:val="0"/>
        <w:spacing w:lineRule="auto" w:line="307" w:before="221" w:after="283"/>
        <w:ind w:left="0" w:right="0" w:firstLine="14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Restricted Activities</w:t>
      </w:r>
      <w:r>
        <w:rPr>
          <w:rFonts w:ascii="Times New Roman;serif" w:hAnsi="Times New Roman;serif"/>
          <w:b w:val="false"/>
          <w:color w:val="000000"/>
          <w:sz w:val="22"/>
        </w:rPr>
        <w:t>. The Executive acknowledges and agrees that (1) he is an executive of the Company with continual access to the Company’s Confidential Information and “Trade Secrets,” defined as the whole or any portion or phase of any scientific or technical information, design, process, procedure, formula, improvement, confidential business or financial information, listing of names, addresses, or telephone numbers, or other information relating to the Company which is secret and of value, (2) the Executive’s services are of special, unique and extraordinary value to the Company, and the Executive’s performance of such services to a competing business may result in irreparable harm to the Company, (3) in the event of the Executive’s employment by a competitor, the Executive would inevitably use or disclose Company Trade Secrets, (4) the Executive will receive specialized training from the Company, and (5) the following restrictions on the Executive’s activities during and after employment with the Company are necessary to protect the Company’s Confidential Information and Trade Secrets and other legitimate protectable business interests of the Company and its Affiliates:</w:t>
      </w:r>
    </w:p>
    <w:p>
      <w:pPr>
        <w:pStyle w:val="TextBody"/>
        <w:bidi w:val="0"/>
        <w:spacing w:lineRule="auto" w:line="302" w:before="221" w:after="283"/>
        <w:ind w:left="0" w:right="0" w:firstLine="218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While the Executive is employed by the Company and during the one (l)-year period immediately following termination of the Executive’s employment with the Company for any reason (the “Restricted Period”), the Executive shall not, directly or indirectly, whether as owner, partner, investor, consultant, agent, employee, independent contractor, co-venturer or otherwise, whether with or without compensation, compete or assist another Person in competing with the Business (as defined below), or any portion of the Business, in the United States of America (the “Restricted Area”) or undertake any planning for any business competitive with all or a portion of the Business in the Restricted Area. Specifically, but without limiting the foregoing, the Executive agrees not to work for or provide services to, in any capacity, whether as an employee, independent contractor, consultant, agent, co-venturer, or otherwise, whether with or without compensation, any Person that is engaged in all or any portion of the Business, as conducted or in active planning to be conducted during the Executive’s employment with the Company or, with respect to the portion of the Restricted Period that follows the termination of the Executive’s employment, at the time the Executive’s employment terminates, in the Restricted Area.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780"/>
                <wp:effectExtent l="0" t="0" r="0" b="0"/>
                <wp:wrapNone/>
                <wp:docPr id="57" name="Frame5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21" w:after="283"/>
        <w:jc w:val="both"/>
        <w:rPr/>
      </w:pPr>
      <w:r>
        <w:rPr>
          <w:rFonts w:ascii="Times New Roman;serif" w:hAnsi="Times New Roman;serif"/>
          <w:b w:val="false"/>
          <w:color w:val="000000"/>
          <w:sz w:val="22"/>
        </w:rPr>
        <w:t xml:space="preserve">Notwithstanding the foregoing, nothing in this Agreement shall (A) prevent the Executive from providing services to a consulting firm that provides services to any business that competes with the Business, (B) preclude the Executive from owning up to two percent (2%) of the publicly traded securities of any business or (C) prevent the Executive from providing services to an entity that contains a business that competes with the Business,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Executive is not responsible for (and does not engage or participate in) the day-to-day management, oversight or supervision of such business, and </w:t>
      </w:r>
      <w:r>
        <w:rPr>
          <w:rFonts w:ascii="Times New Roman;serif" w:hAnsi="Times New Roman;serif"/>
          <w:b w:val="false"/>
          <w:color w:val="000000"/>
          <w:sz w:val="22"/>
          <w:u w:val="single"/>
        </w:rPr>
        <w:t>provided, further,</w:t>
      </w:r>
      <w:r>
        <w:rPr>
          <w:color w:val="000000"/>
        </w:rPr>
        <w:t xml:space="preserve"> </w:t>
      </w:r>
      <w:r>
        <w:rPr>
          <w:rFonts w:ascii="Times New Roman;serif" w:hAnsi="Times New Roman;serif"/>
          <w:b w:val="false"/>
          <w:color w:val="000000"/>
          <w:sz w:val="22"/>
        </w:rPr>
        <w:t>that the Executive does not have direct supervision over the individual or individuals who are so responsible for such day-to-day management, oversight or supervision.</w:t>
      </w:r>
    </w:p>
    <w:p>
      <w:pPr>
        <w:pStyle w:val="TextBody"/>
        <w:bidi w:val="0"/>
        <w:spacing w:lineRule="auto" w:line="288" w:before="223" w:after="283"/>
        <w:ind w:left="0" w:right="0" w:hanging="963"/>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Non-Solicitation</w:t>
      </w:r>
      <w:r>
        <w:rPr>
          <w:rFonts w:ascii="Times New Roman;serif" w:hAnsi="Times New Roman;serif"/>
          <w:b w:val="false"/>
          <w:color w:val="000000"/>
          <w:sz w:val="22"/>
        </w:rPr>
        <w:t>.</w:t>
      </w:r>
    </w:p>
    <w:p>
      <w:pPr>
        <w:pStyle w:val="TextBody"/>
        <w:bidi w:val="0"/>
        <w:spacing w:before="223" w:after="283"/>
        <w:ind w:left="0" w:right="0" w:hanging="241"/>
        <w:jc w:val="both"/>
        <w:rPr/>
      </w:pPr>
      <w:r>
        <w:rPr/>
      </w:r>
    </w:p>
    <w:p>
      <w:pPr>
        <w:pStyle w:val="TextBody"/>
        <w:bidi w:val="0"/>
        <w:spacing w:lineRule="auto" w:line="302" w:before="1" w:after="283"/>
        <w:ind w:left="0" w:right="0" w:firstLine="2520"/>
        <w:jc w:val="both"/>
        <w:rPr/>
      </w:pPr>
      <w:r>
        <w:rPr>
          <w:rFonts w:ascii="Times New Roman;serif" w:hAnsi="Times New Roman;serif"/>
          <w:b w:val="false"/>
          <w:color w:val="000000"/>
          <w:sz w:val="22"/>
        </w:rPr>
        <w:t xml:space="preserve">(i)During the Restricted Period, the Executive will not, and will not assist any other Person to directly or indirectly, (A) solicit or encourage any customer of the Company or any of its Affiliates to terminate or diminish its relationship with the Company or its applicable Affiliate; or (B) seek to persuade any such customer or prospective customer of the Company or any of its Affiliates to conduct any business or activity which such customer or prospective customer conducts or could conduct with the Company or any of its Affiliates with anyone else; provided, however, that these restrictions shall apply (I) only with respect to any Person who is or has been a customer of the Company or any of its Affiliates at any time within the immediately preceding two (2)-year period prior to the date of Executive’s termination of employment or whose business has been solicited on behalf of the Company or any of its Affiliates by any of their officers, employees or agents within such two (2)-year period, other than by form letter, blanket mailing or published advertisement, and (II) only if the Executive has performed work for such Person during the Executive’s employment with the Company or one of its Affiliates or been introduced to, or otherwise had contact with, such Person as a result of the Executive’s employment or other associations with the Company or one of its Affiliates or has had access to Confidential Information which would assist in the Executive’s solicitation of such Person. Notwithstanding anything in this </w:t>
      </w:r>
      <w:r>
        <w:rPr>
          <w:rFonts w:ascii="Times New Roman;serif" w:hAnsi="Times New Roman;serif"/>
          <w:b w:val="false"/>
          <w:color w:val="000000"/>
          <w:sz w:val="22"/>
          <w:u w:val="single"/>
        </w:rPr>
        <w:t>Section 9(b)</w:t>
      </w:r>
      <w:r>
        <w:rPr>
          <w:color w:val="000000"/>
        </w:rPr>
        <w:t xml:space="preserve"> </w:t>
      </w:r>
      <w:r>
        <w:rPr>
          <w:rFonts w:ascii="Times New Roman;serif" w:hAnsi="Times New Roman;serif"/>
          <w:b w:val="false"/>
          <w:color w:val="000000"/>
          <w:sz w:val="22"/>
        </w:rPr>
        <w:t xml:space="preserve">to the contrary, the Executive may solicit customers and prospective customers for purposes of providing or selling products or services that do not compete with the Business. For purposes of this </w:t>
      </w:r>
      <w:r>
        <w:rPr>
          <w:rFonts w:ascii="Times New Roman;serif" w:hAnsi="Times New Roman;serif"/>
          <w:b w:val="false"/>
          <w:color w:val="000000"/>
          <w:sz w:val="22"/>
          <w:u w:val="single"/>
        </w:rPr>
        <w:t>Section 9(b)(i)</w:t>
      </w:r>
      <w:r>
        <w:rPr>
          <w:rFonts w:ascii="Times New Roman;serif" w:hAnsi="Times New Roman;serif"/>
          <w:b w:val="false"/>
          <w:color w:val="000000"/>
          <w:sz w:val="22"/>
        </w:rPr>
        <w:t>, the term “customer” shall include without limitation any Company customer, client, supplier, vendor, partner, reseller, service provider, broker, agent or any other material business relation of the Company.</w:t>
      </w:r>
    </w:p>
    <w:p>
      <w:pPr>
        <w:pStyle w:val="TextBody"/>
        <w:bidi w:val="0"/>
        <w:spacing w:lineRule="auto" w:line="302" w:before="227" w:after="283"/>
        <w:ind w:left="0" w:right="0" w:firstLine="2520"/>
        <w:jc w:val="both"/>
        <w:rPr>
          <w:rFonts w:ascii="Times New Roman;serif" w:hAnsi="Times New Roman;serif"/>
          <w:b w:val="false"/>
          <w:color w:val="000000"/>
          <w:sz w:val="22"/>
        </w:rPr>
      </w:pPr>
      <w:r>
        <w:rPr>
          <w:rFonts w:ascii="Times New Roman;serif" w:hAnsi="Times New Roman;serif"/>
          <w:b w:val="false"/>
          <w:color w:val="000000"/>
          <w:sz w:val="22"/>
        </w:rPr>
        <w:t>(ii)During the Restricted Period, the Executive will not, and will not assist any other Person to, (A) hire or solicit for hiring any employee of the Company or any of its Affiliates or seek to persuade any employee of the Company or any of its Affiliates to discontinue employment or (B) solicit or encourage any independent contractor providing services to the Company or any of its Affiliates to terminate or diminish such independent contractor’s relationship with them. For the purposes of this Agreement, an “employee” or an “independent contractor” of the Company or any of its Affiliates is any Person who was such at any time within the preceding two (2) years.</w:t>
      </w:r>
    </w:p>
    <w:p>
      <w:pPr>
        <w:pStyle w:val="TextBody"/>
        <w:bidi w:val="0"/>
        <w:spacing w:lineRule="auto" w:line="302" w:before="223" w:after="283"/>
        <w:ind w:left="0" w:right="0" w:firstLine="216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The Executive agrees that he will never disparage or criticize the Company, its Affiliates, their business, their management or their products or services, and that the Executive will not otherwise do or say anything that could disrupt the good morale of employees of the Company or any of its Affiliates or harm the interests or reputation of the Company or any of its Affiliates. For the avoidance of doubt, the foregoing shall not prevent the Executive from performing the Executive’s duties during the term hereof, as it relates to performance evaluations and the like. Additionally, nothing in this non-disparagement provision shall prevent Executive from complying with the lawful orders or processes of any court or government agency with regulatory authority over the Company, including the obligation to testify truthfully in any proceeding.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780"/>
                <wp:effectExtent l="0" t="0" r="0" b="0"/>
                <wp:wrapNone/>
                <wp:docPr id="58" name="Frame5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23" w:after="283"/>
        <w:ind w:left="0" w:right="0" w:firstLine="1468"/>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Whistleblower Protection</w:t>
      </w:r>
      <w:r>
        <w:rPr>
          <w:rFonts w:ascii="Times New Roman;serif" w:hAnsi="Times New Roman;serif"/>
          <w:b w:val="false"/>
          <w:color w:val="000000"/>
          <w:sz w:val="22"/>
        </w:rPr>
        <w:t>. Notwithstanding anything to the contrary contained herein, no provision of this Agreement will be interpreted so as to impede the Executive (or any other individual) from (i) making any disclosure of relevant and necessary information or documents in any action, investigation, or proceeding relating to this Agreement, or as required by law or legal process, including with respect to possible violations of law, (ii)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 (iii) seeking or receiving any monetary damages, awards or other relief (including, without limitation, accepting any Securities and Exchange Commission awards) in connection with protected whistleblower activity, or (iv) making other disclosures under the whistleblower provisions of federal law or regulation. In addition, nothing in this Agreement or any other agreement or Company policy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to make any such reports or disclosures and the Executive will not be required to notify the Company that such reports or disclosures have been made.</w:t>
      </w:r>
    </w:p>
    <w:p>
      <w:pPr>
        <w:pStyle w:val="TextBody"/>
        <w:bidi w:val="0"/>
        <w:spacing w:lineRule="auto" w:line="302" w:before="219" w:after="283"/>
        <w:ind w:left="0" w:right="0" w:firstLine="148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Enforcement of Covenants</w:t>
      </w:r>
      <w:r>
        <w:rPr>
          <w:rFonts w:ascii="Times New Roman;serif" w:hAnsi="Times New Roman;serif"/>
          <w:b w:val="false"/>
          <w:color w:val="000000"/>
          <w:sz w:val="22"/>
        </w:rPr>
        <w:t xml:space="preserve">. The Executive acknowledges that the Executive has carefully read and considered all the terms and conditions of this Agreement, including the restraints imposed upon the Executive pursuant to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hereof. The Executive agrees without reservation that the Executive has received valuable consideration for each of the restraints contained herein, and that each of the restraints contained herein is necessary for the reasonable and proper protection of the goodwill, Confidential Information and other legitimate interests of the Company and its Affiliates; that each of these restraints is reasonable in respect to subject matter, length of time and geographic area; and that these restraints, individually or in the aggregate, will not prevent the Executive from obtaining other suitable employment during the period in which the Executive is bound by them. The Executive further agrees that the Executive will never assert, or permit to be asserted on the Executive’s behalf, in any forum, any position contrary to the foregoing. The Executive further acknowledges that, were the Executive to breach any of the covenants contained in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hereof, the damage to the Company and its Affiliates would be irreparable. The Executive therefore agrees that the Company, in addition and not in the alternative to any other remedies available to it, shall be entitled to preliminary and permanent injunctive relief against any breach or threatened breach by the Executive of any of said covenants, without having to post bond. The parties further agree that, in the event that any provision of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hereof shall be determined by any court of competent jurisdiction to be unenforceable, such provision shall be deemed to be modified to permit its enforcement to the maximum extent permitted by law. The Executive agrees that the Restricted Period shall be tolled, and shall not run, during any period of time in which the Executive is in violation of the terms thereof, in order that the Company and its Affiliates shall have all of the agreed-upon temporal protection recited herein. No breach of any provision of this Agreement by the Company, or any other claimed breach of contract or violation of law, or change in the nature or scope of the Executive’s employment relationship with the Company, shall operate to extinguish the Executive’s obligation to comply with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 xml:space="preserve">hereof. Each of the Company’s Affiliates shall have the right to enforce all of the Executive’s obligations to that Affiliate under this Agreement, including, without limitation, pursuant to </w:t>
      </w:r>
      <w:r>
        <w:rPr>
          <w:rFonts w:ascii="Times New Roman;serif" w:hAnsi="Times New Roman;serif"/>
          <w:b w:val="false"/>
          <w:color w:val="000000"/>
          <w:sz w:val="22"/>
          <w:u w:val="single"/>
        </w:rPr>
        <w:t>Sections 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hereof.</w:t>
      </w:r>
    </w:p>
    <w:p>
      <w:pPr>
        <w:pStyle w:val="TextBody"/>
        <w:bidi w:val="0"/>
        <w:spacing w:lineRule="auto" w:line="302" w:before="219" w:after="283"/>
        <w:ind w:left="0" w:right="0" w:firstLine="148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No Conflicting Agreements</w:t>
      </w:r>
      <w:r>
        <w:rPr>
          <w:rFonts w:ascii="Times New Roman;serif" w:hAnsi="Times New Roman;serif"/>
          <w:b w:val="false"/>
          <w:color w:val="000000"/>
          <w:sz w:val="22"/>
        </w:rPr>
        <w:t xml:space="preserve">. The Executive hereby represents and warrants that the execution of this Agreement and the performance of the Executive’s obligations hereunder will not breach or be in conflict with any other agreement to which the Executive is a party or is bound, and that the Executive is not now subject to any covenants against competition or similar restrictive covenants or any other obligations to any Person or to any court order, judgment or decree that would affect the performance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5780"/>
                <wp:effectExtent l="0" t="0" r="0" b="0"/>
                <wp:wrapNone/>
                <wp:docPr id="59" name="Frame5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19" w:after="283"/>
        <w:jc w:val="both"/>
        <w:rPr>
          <w:rFonts w:ascii="Times New Roman;serif" w:hAnsi="Times New Roman;serif"/>
          <w:b w:val="false"/>
          <w:color w:val="000000"/>
          <w:sz w:val="22"/>
        </w:rPr>
      </w:pPr>
      <w:r>
        <w:rPr>
          <w:rFonts w:ascii="Times New Roman;serif" w:hAnsi="Times New Roman;serif"/>
          <w:b w:val="false"/>
          <w:color w:val="000000"/>
          <w:sz w:val="22"/>
        </w:rPr>
        <w:t>Executive’s obligations hereunder. The Executive will not disclose to or use on behalf of the Company any proprietary information of a third party without such party’s consent.</w:t>
      </w:r>
    </w:p>
    <w:p>
      <w:pPr>
        <w:pStyle w:val="TextBody"/>
        <w:bidi w:val="0"/>
        <w:spacing w:lineRule="auto" w:line="312" w:before="245" w:after="283"/>
        <w:ind w:left="0" w:right="0" w:firstLine="148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Definitions</w:t>
      </w:r>
      <w:r>
        <w:rPr>
          <w:rFonts w:ascii="Times New Roman;serif" w:hAnsi="Times New Roman;serif"/>
          <w:b w:val="false"/>
          <w:color w:val="000000"/>
          <w:sz w:val="22"/>
        </w:rPr>
        <w:t xml:space="preserve">. Capitalized words or phrases shall have the meanings provided in this </w:t>
      </w:r>
      <w:r>
        <w:rPr>
          <w:rFonts w:ascii="Times New Roman;serif" w:hAnsi="Times New Roman;serif"/>
          <w:b w:val="false"/>
          <w:color w:val="000000"/>
          <w:sz w:val="22"/>
          <w:u w:val="single"/>
        </w:rPr>
        <w:t>Section 13</w:t>
      </w:r>
      <w:r>
        <w:rPr>
          <w:color w:val="000000"/>
        </w:rPr>
        <w:t xml:space="preserve"> </w:t>
      </w:r>
      <w:r>
        <w:rPr>
          <w:rFonts w:ascii="Times New Roman;serif" w:hAnsi="Times New Roman;serif"/>
          <w:b w:val="false"/>
          <w:color w:val="000000"/>
          <w:sz w:val="22"/>
        </w:rPr>
        <w:t>and as provided elsewhere herein:</w:t>
      </w:r>
    </w:p>
    <w:p>
      <w:pPr>
        <w:pStyle w:val="TextBody"/>
        <w:bidi w:val="0"/>
        <w:spacing w:lineRule="auto" w:line="307" w:before="220" w:after="283"/>
        <w:ind w:left="0" w:right="0" w:firstLine="2180"/>
        <w:jc w:val="both"/>
        <w:rPr/>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any person or entity directly or indirectly controlling or controlled by the Company, where control may be by either management authority or equity interest.</w:t>
      </w:r>
    </w:p>
    <w:p>
      <w:pPr>
        <w:pStyle w:val="TextBody"/>
        <w:bidi w:val="0"/>
        <w:spacing w:lineRule="auto" w:line="312" w:before="219" w:after="283"/>
        <w:ind w:left="0" w:right="0" w:firstLine="2180"/>
        <w:jc w:val="both"/>
        <w:rPr/>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u w:val="single"/>
        </w:rPr>
        <w:t>Business</w:t>
      </w:r>
      <w:r>
        <w:rPr>
          <w:color w:val="000000"/>
        </w:rPr>
        <w:t xml:space="preserve">” </w:t>
      </w:r>
      <w:r>
        <w:rPr>
          <w:rFonts w:ascii="Times New Roman;serif" w:hAnsi="Times New Roman;serif"/>
          <w:b w:val="false"/>
          <w:color w:val="000000"/>
          <w:sz w:val="22"/>
        </w:rPr>
        <w:t>means the business of delivery of services to the frail and elderly population through the operation of PACE Programs.</w:t>
      </w:r>
    </w:p>
    <w:p>
      <w:pPr>
        <w:pStyle w:val="TextBody"/>
        <w:bidi w:val="0"/>
        <w:spacing w:lineRule="auto" w:line="307" w:before="221" w:after="283"/>
        <w:ind w:left="0" w:right="0" w:firstLine="2180"/>
        <w:jc w:val="both"/>
        <w:rPr/>
      </w:pPr>
      <w:r>
        <w:rPr>
          <w:rFonts w:ascii="Times New Roman;serif" w:hAnsi="Times New Roman;serif"/>
          <w:b w:val="false"/>
          <w:color w:val="000000"/>
          <w:sz w:val="22"/>
        </w:rPr>
        <w:t>(c)</w:t>
      </w:r>
      <w:r>
        <w:rPr>
          <w:color w:val="000000"/>
        </w:rPr>
        <w:t>“</w:t>
      </w:r>
      <w:r>
        <w:rPr>
          <w:rFonts w:ascii="Times New Roman;serif" w:hAnsi="Times New Roman;serif"/>
          <w:b w:val="false"/>
          <w:color w:val="000000"/>
          <w:sz w:val="22"/>
          <w:u w:val="single"/>
        </w:rPr>
        <w:t>Confidential Information</w:t>
      </w:r>
      <w:r>
        <w:rPr>
          <w:color w:val="000000"/>
        </w:rPr>
        <w:t xml:space="preserve">” </w:t>
      </w:r>
      <w:r>
        <w:rPr>
          <w:rFonts w:ascii="Times New Roman;serif" w:hAnsi="Times New Roman;serif"/>
          <w:b w:val="false"/>
          <w:color w:val="000000"/>
          <w:sz w:val="22"/>
        </w:rPr>
        <w:t>means any and all information of the Company and its Affiliates that is not generally available to the public, and any and all information, which, if disclosed by the Company or any of its Affiliates, would assist in competition against any of them. Confidential Information includes, without limitation, such information relating to (i) the development, research, testing, manufacturing, marketing and financial activities of the Company and its Affiliates, (ii) the Services, (iii) the costs, sources of supply, financial performance and strategic plans of the Company and its Affiliates, (iv) the identity and special needs of the patients of the Company and its Affiliates and (v) the people and organizations with whom the Company and its Affiliates have business relationships and the nature and substance of those relationships. Confidential Information also includes information that the Company or any of its Affiliates has received, or may receive hereafter, belonging to others or that was received by the Company or any of its Affiliates with any understanding, express or implied, that it would not be disclosed.</w:t>
      </w:r>
    </w:p>
    <w:p>
      <w:pPr>
        <w:pStyle w:val="TextBody"/>
        <w:bidi w:val="0"/>
        <w:spacing w:lineRule="auto" w:line="302" w:before="220" w:after="283"/>
        <w:ind w:left="0" w:right="0" w:firstLine="2180"/>
        <w:jc w:val="both"/>
        <w:rPr/>
      </w:pPr>
      <w:r>
        <w:rPr>
          <w:rFonts w:ascii="Times New Roman;serif" w:hAnsi="Times New Roman;serif"/>
          <w:b w:val="false"/>
          <w:color w:val="000000"/>
          <w:sz w:val="22"/>
        </w:rPr>
        <w:t>(d)</w:t>
      </w:r>
      <w:r>
        <w:rPr>
          <w:color w:val="000000"/>
        </w:rPr>
        <w:t>“</w:t>
      </w:r>
      <w:r>
        <w:rPr>
          <w:rFonts w:ascii="Times New Roman;serif" w:hAnsi="Times New Roman;serif"/>
          <w:b w:val="false"/>
          <w:color w:val="000000"/>
          <w:sz w:val="22"/>
          <w:u w:val="single"/>
        </w:rPr>
        <w:t>Intellectual Property</w:t>
      </w:r>
      <w:r>
        <w:rPr>
          <w:color w:val="000000"/>
        </w:rPr>
        <w:t xml:space="preserve">” </w:t>
      </w:r>
      <w:r>
        <w:rPr>
          <w:rFonts w:ascii="Times New Roman;serif" w:hAnsi="Times New Roman;serif"/>
          <w:b w:val="false"/>
          <w:color w:val="000000"/>
          <w:sz w:val="22"/>
        </w:rPr>
        <w:t>means inventions, discoveries, developments, methods, processes, compositions, works, concepts and ideas (whether or not patentable or copyrightable or constituting trade secrets) conceived, made, created, developed or reduced to practice by the Executive (whether alone or with others, whether or not during normal business hours or on or off Company premises) during the Executive’s employment and during the period of six (6) months immediately following termination of the Executive’s employment that relate either to the Services or to any prospective activity of the Company or any of its Affiliates or that result from any work performed by the Executive for the Company or any of its Affiliates or that make use of Confidential Information or any of the equipment or facilities of the Company or any of its Affiliates.</w:t>
      </w:r>
    </w:p>
    <w:p>
      <w:pPr>
        <w:pStyle w:val="TextBody"/>
        <w:bidi w:val="0"/>
        <w:spacing w:lineRule="auto" w:line="307" w:before="224" w:after="283"/>
        <w:ind w:left="0" w:right="0" w:firstLine="2180"/>
        <w:jc w:val="both"/>
        <w:rPr/>
      </w:pPr>
      <w:r>
        <w:rPr>
          <w:rFonts w:ascii="Times New Roman;serif" w:hAnsi="Times New Roman;serif"/>
          <w:b w:val="false"/>
          <w:color w:val="000000"/>
          <w:sz w:val="22"/>
        </w:rPr>
        <w:t>(e)</w:t>
      </w: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 natural person, a corporation, a limited liability company, an association, a partnership, an estate, a trust and any other entity or organization, other than the Company or any of its Affiliates.</w:t>
      </w:r>
    </w:p>
    <w:p>
      <w:pPr>
        <w:pStyle w:val="TextBody"/>
        <w:bidi w:val="0"/>
        <w:spacing w:lineRule="auto" w:line="307" w:before="220" w:after="283"/>
        <w:ind w:left="0" w:right="0" w:firstLine="2180"/>
        <w:jc w:val="both"/>
        <w:rPr/>
      </w:pPr>
      <w:r>
        <w:rPr>
          <w:rFonts w:ascii="Times New Roman;serif" w:hAnsi="Times New Roman;serif"/>
          <w:b w:val="false"/>
          <w:color w:val="000000"/>
          <w:sz w:val="22"/>
        </w:rPr>
        <w:t>(f)</w:t>
      </w:r>
      <w:r>
        <w:rPr>
          <w:color w:val="000000"/>
        </w:rPr>
        <w:t>“</w:t>
      </w:r>
      <w:r>
        <w:rPr>
          <w:rFonts w:ascii="Times New Roman;serif" w:hAnsi="Times New Roman;serif"/>
          <w:b w:val="false"/>
          <w:color w:val="000000"/>
          <w:sz w:val="22"/>
          <w:u w:val="single"/>
        </w:rPr>
        <w:t>Services</w:t>
      </w:r>
      <w:r>
        <w:rPr>
          <w:color w:val="000000"/>
        </w:rPr>
        <w:t xml:space="preserve">” </w:t>
      </w:r>
      <w:r>
        <w:rPr>
          <w:rFonts w:ascii="Times New Roman;serif" w:hAnsi="Times New Roman;serif"/>
          <w:b w:val="false"/>
          <w:color w:val="000000"/>
          <w:sz w:val="22"/>
        </w:rPr>
        <w:t>means all services planned, researched, developed, tested, sold, licensed, leased or otherwise distributed or put into use by the Company or any of its Affiliates, together with all products provided or otherwise planned by the Company or any of its Affiliates, during the Executive’s employment.</w:t>
      </w:r>
    </w:p>
    <w:p>
      <w:pPr>
        <w:pStyle w:val="TextBody"/>
        <w:bidi w:val="0"/>
        <w:spacing w:before="220" w:after="283"/>
        <w:ind w:left="0" w:right="0" w:hanging="241"/>
        <w:jc w:val="both"/>
        <w:rPr/>
      </w:pPr>
      <w:r>
        <w:rPr/>
      </w:r>
    </w:p>
    <w:p>
      <w:pPr>
        <w:pStyle w:val="TextBody"/>
        <w:bidi w:val="0"/>
        <w:spacing w:lineRule="auto" w:line="302" w:before="74" w:after="283"/>
        <w:ind w:left="0" w:right="0" w:firstLine="148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Indemnification</w:t>
      </w:r>
      <w:r>
        <w:rPr>
          <w:rFonts w:ascii="Times New Roman;serif" w:hAnsi="Times New Roman;serif"/>
          <w:b w:val="false"/>
          <w:color w:val="000000"/>
          <w:sz w:val="22"/>
        </w:rPr>
        <w:t xml:space="preserve">. On or around the Effective Date, the Company and the Executive will enter into an Indemnification Agreement in the form attached as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309" w:before="226" w:after="283"/>
        <w:ind w:left="0" w:right="0" w:firstLine="148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Withholding</w:t>
      </w:r>
      <w:r>
        <w:rPr>
          <w:rFonts w:ascii="Times New Roman;serif" w:hAnsi="Times New Roman;serif"/>
          <w:b w:val="false"/>
          <w:color w:val="000000"/>
          <w:sz w:val="22"/>
        </w:rPr>
        <w:t>. All payments made by the Company under this Agreement shall be reduced by any tax or other amounts required to be withheld by the Company under applicable law.</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5780"/>
                <wp:effectExtent l="0" t="0" r="0" b="0"/>
                <wp:wrapNone/>
                <wp:docPr id="60" name="Frame5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02" w:before="219" w:after="283"/>
        <w:ind w:left="0" w:right="0" w:firstLine="148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Assignment</w:t>
      </w:r>
      <w:r>
        <w:rPr>
          <w:rFonts w:ascii="Times New Roman;serif" w:hAnsi="Times New Roman;serif"/>
          <w:b w:val="false"/>
          <w:color w:val="000000"/>
          <w:sz w:val="22"/>
        </w:rPr>
        <w:t xml:space="preserve">. Neither the Company nor the Executive may make any assignment of this Agreement or any interest herein, by operation of law or otherwise, without the prior written consent of the other; </w:t>
      </w:r>
      <w:r>
        <w:rPr>
          <w:rFonts w:ascii="Times New Roman;serif" w:hAnsi="Times New Roman;serif"/>
          <w:b w:val="false"/>
          <w:color w:val="000000"/>
          <w:sz w:val="22"/>
          <w:u w:val="single"/>
        </w:rPr>
        <w:t>provided, however,</w:t>
      </w:r>
      <w:r>
        <w:rPr>
          <w:color w:val="000000"/>
        </w:rPr>
        <w:t xml:space="preserve"> </w:t>
      </w:r>
      <w:r>
        <w:rPr>
          <w:rFonts w:ascii="Times New Roman;serif" w:hAnsi="Times New Roman;serif"/>
          <w:b w:val="false"/>
          <w:color w:val="000000"/>
          <w:sz w:val="22"/>
        </w:rPr>
        <w:t>that the Company may assign its rights and obligations under this Agreement without the consent of the Executive to one of its Affiliates or in the event that the Company shall hereafter effect a reorganization with, consolidate with or merge into an Affiliate or any Person or transfer all or substantially all of its properties, stock or assets to an Affiliate or any Person. This Agreement shall inure to the benefit of and be binding upon the Company and the Executive, and their respective successors, executors, administrators, heirs and permitted assigns.</w:t>
      </w:r>
    </w:p>
    <w:p>
      <w:pPr>
        <w:pStyle w:val="TextBody"/>
        <w:bidi w:val="0"/>
        <w:spacing w:lineRule="auto" w:line="307" w:before="223" w:after="283"/>
        <w:ind w:left="0" w:right="0" w:firstLine="14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portion or provision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lineRule="auto" w:line="307" w:before="220" w:after="283"/>
        <w:ind w:left="0" w:right="0" w:firstLine="146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Waiver</w:t>
      </w:r>
      <w:r>
        <w:rPr>
          <w:rFonts w:ascii="Times New Roman;serif" w:hAnsi="Times New Roman;serif"/>
          <w:b w:val="false"/>
          <w:color w:val="000000"/>
          <w:sz w:val="22"/>
        </w:rPr>
        <w:t>. No waiver of any provision hereof shall be effective unless made in writing and signed by the waiving party. The failure 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pStyle w:val="TextBody"/>
        <w:bidi w:val="0"/>
        <w:spacing w:lineRule="auto" w:line="307" w:before="220" w:after="283"/>
        <w:ind w:left="0" w:right="0" w:firstLine="146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Notices</w:t>
      </w:r>
      <w:r>
        <w:rPr>
          <w:rFonts w:ascii="Times New Roman;serif" w:hAnsi="Times New Roman;serif"/>
          <w:b w:val="false"/>
          <w:color w:val="000000"/>
          <w:sz w:val="22"/>
        </w:rPr>
        <w:t>. Any and all notices, requests, demands and other communications provided for by this Agreement shall be in writing and shall be effective when delivered in person, consigned to a reputable national courier service or deposited in the United States mail, postage prepaid, registered or certified, and addressed to the Executive at the Executive’s last known address on the books of the Company or, in the case of the Company, at its principal place of business, attention of the Chief Executive Officer, or to such other address as either party may specify by notice to the other actually received.</w:t>
      </w:r>
    </w:p>
    <w:p>
      <w:pPr>
        <w:pStyle w:val="TextBody"/>
        <w:bidi w:val="0"/>
        <w:spacing w:before="220" w:after="283"/>
        <w:jc w:val="both"/>
        <w:rPr/>
      </w:pPr>
      <w:r>
        <w:rPr/>
      </w:r>
    </w:p>
    <w:p>
      <w:pPr>
        <w:pStyle w:val="TextBody"/>
        <w:bidi w:val="0"/>
        <w:spacing w:lineRule="auto" w:line="307" w:before="74" w:after="283"/>
        <w:ind w:left="0" w:right="0" w:firstLine="1460"/>
        <w:jc w:val="both"/>
        <w:rPr/>
      </w:pPr>
      <w:r>
        <w:rPr>
          <w:rFonts w:ascii="Times New Roman;serif" w:hAnsi="Times New Roman;serif"/>
          <w:b w:val="false"/>
          <w:color w:val="000000"/>
          <w:sz w:val="22"/>
        </w:rPr>
        <w:t>20.</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constitutes the entire agreement between the parties and supersedes and terminates all prior communications, agreements and understandings, written or oral, with respect to the terms and conditions of the Executive’s employment with the Company.</w:t>
      </w:r>
    </w:p>
    <w:p>
      <w:pPr>
        <w:pStyle w:val="TextBody"/>
        <w:bidi w:val="0"/>
        <w:spacing w:lineRule="auto" w:line="302" w:before="220" w:after="283"/>
        <w:ind w:left="0" w:right="0" w:firstLine="146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Amendment</w:t>
      </w:r>
      <w:r>
        <w:rPr>
          <w:rFonts w:ascii="Times New Roman;serif" w:hAnsi="Times New Roman;serif"/>
          <w:b w:val="false"/>
          <w:color w:val="000000"/>
          <w:sz w:val="22"/>
        </w:rPr>
        <w:t>. This Agreement may be amended or modified only by a written instrument signed by the Executive and by an expressly authorized representative of the Company.</w:t>
      </w:r>
    </w:p>
    <w:p>
      <w:pPr>
        <w:pStyle w:val="TextBody"/>
        <w:bidi w:val="0"/>
        <w:spacing w:lineRule="auto" w:line="307" w:before="224" w:after="283"/>
        <w:ind w:left="0" w:right="0" w:firstLine="146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and captions in this Agreement are for convenience only and in no way define or describe the scope or content of any provision of this Agreement.</w:t>
      </w:r>
    </w:p>
    <w:p>
      <w:pPr>
        <w:pStyle w:val="TextBody"/>
        <w:bidi w:val="0"/>
        <w:spacing w:lineRule="auto" w:line="309" w:before="220" w:after="283"/>
        <w:ind w:left="0" w:right="0" w:firstLine="146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(2) or more counterparts, each of which shall be an original and all of which together shall constitute one and the same instrument.</w:t>
      </w:r>
    </w:p>
    <w:p>
      <w:pPr>
        <w:pStyle w:val="TextBody"/>
        <w:bidi w:val="0"/>
        <w:spacing w:lineRule="auto" w:line="307" w:before="218" w:after="283"/>
        <w:ind w:left="0" w:right="0" w:firstLine="146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is a Texas contract and shall be construed and enforced under and be governed in all respects by the laws of the State of Texas, without regard to any conflict of laws principles that would result in the application of the laws of any other jurisdiction.</w:t>
      </w:r>
    </w:p>
    <w:p>
      <w:pPr>
        <w:pStyle w:val="TextBody"/>
        <w:bidi w:val="0"/>
        <w:spacing w:lineRule="auto" w:line="288" w:before="22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2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5780"/>
                <wp:effectExtent l="0" t="0" r="0" b="0"/>
                <wp:wrapNone/>
                <wp:docPr id="61" name="Frame5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220" w:after="283"/>
        <w:ind w:left="0" w:right="0" w:firstLine="720"/>
        <w:jc w:val="both"/>
        <w:rPr/>
      </w:pPr>
      <w:r>
        <w:rPr/>
      </w:r>
    </w:p>
    <w:p>
      <w:pPr>
        <w:pStyle w:val="TextBody"/>
        <w:bidi w:val="0"/>
        <w:spacing w:lineRule="auto" w:line="288" w:before="2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this Agreement has been executed as a sealed instrument by the Company, by its duly authorized representative, and by the Executive, as of the date first above written.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57225"/>
                <wp:effectExtent l="0" t="0" r="0" b="0"/>
                <wp:wrapNone/>
                <wp:docPr id="62" name="Frame60"/>
                <a:graphic xmlns:a="http://schemas.openxmlformats.org/drawingml/2006/main">
                  <a:graphicData uri="http://schemas.microsoft.com/office/word/2010/wordprocessingShape">
                    <wps:wsp>
                      <wps:cNvSpPr txBox="1"/>
                      <wps:spPr>
                        <a:xfrm>
                          <a:off x="0" y="0"/>
                          <a:ext cx="6480175" cy="65722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 Page to Employment Agreement</w:t>
                            </w:r>
                            <w:r>
                              <w:rPr>
                                <w:rFonts w:ascii="Times New Roman;serif" w:hAnsi="Times New Roman;serif"/>
                                <w:b w:val="false"/>
                                <w:color w:val="000000"/>
                                <w:sz w:val="18"/>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 Page to Employment Agreement</w:t>
                      </w:r>
                      <w:r>
                        <w:rPr>
                          <w:rFonts w:ascii="Times New Roman;serif" w:hAnsi="Times New Roman;serif"/>
                          <w:b w:val="false"/>
                          <w:color w:val="000000"/>
                          <w:sz w:val="18"/>
                        </w:rPr>
                        <w:t>]</w:t>
                      </w:r>
                    </w:p>
                  </w:txbxContent>
                </v:textbox>
                <w10:wrap type="none"/>
              </v:rect>
            </w:pict>
          </mc:Fallback>
        </mc:AlternateContent>
      </w:r>
    </w:p>
    <w:p>
      <w:pPr>
        <w:pStyle w:val="TextBody"/>
        <w:bidi w:val="0"/>
        <w:spacing w:lineRule="auto" w:line="288" w:before="115" w:after="283"/>
        <w:jc w:val="left"/>
        <w:rPr>
          <w:rFonts w:ascii="Times New Roman;serif" w:hAnsi="Times New Roman;serif"/>
          <w:b w:val="false"/>
          <w:color w:val="000000"/>
          <w:sz w:val="22"/>
        </w:rPr>
      </w:pPr>
      <w:r>
        <w:rPr>
          <w:rFonts w:ascii="Times New Roman;serif" w:hAnsi="Times New Roman;serif"/>
          <w:b w:val="false"/>
          <w:color w:val="000000"/>
          <w:sz w:val="22"/>
        </w:rPr>
        <w:t>THE EXECUTIVE</w:t>
      </w:r>
    </w:p>
    <w:p>
      <w:pPr>
        <w:pStyle w:val="TextBody"/>
        <w:bidi w:val="0"/>
        <w:spacing w:before="90"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THE 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44" w:after="283"/>
        <w:ind w:left="0" w:right="0" w:firstLine="180"/>
        <w:jc w:val="left"/>
        <w:rPr>
          <w:rFonts w:ascii="Times New Roman;serif" w:hAnsi="Times New Roman;serif"/>
          <w:b w:val="false"/>
          <w:color w:val="000000"/>
          <w:sz w:val="22"/>
        </w:rPr>
      </w:pPr>
      <w:r>
        <w:rPr>
          <w:rFonts w:ascii="Times New Roman;serif" w:hAnsi="Times New Roman;serif"/>
          <w:b w:val="false"/>
          <w:color w:val="000000"/>
          <w:sz w:val="22"/>
        </w:rPr>
        <w:t>/s/ Meredith Delk    /s/ Patrick Blair</w:t>
      </w:r>
    </w:p>
    <w:p>
      <w:pPr>
        <w:pStyle w:val="TextBody"/>
        <w:bidi w:val="0"/>
        <w:spacing w:before="0" w:after="0"/>
        <w:jc w:val="left"/>
        <w:rPr/>
      </w:pPr>
      <w:r>
        <w:rPr/>
        <w:drawing>
          <wp:inline distT="0" distB="0" distL="0" distR="0">
            <wp:extent cx="2352675" cy="14605"/>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20"/>
                    <a:stretch>
                      <a:fillRect/>
                    </a:stretch>
                  </pic:blipFill>
                  <pic:spPr bwMode="auto">
                    <a:xfrm>
                      <a:off x="0" y="0"/>
                      <a:ext cx="2352675" cy="14605"/>
                    </a:xfrm>
                    <a:prstGeom prst="rect">
                      <a:avLst/>
                    </a:prstGeom>
                  </pic:spPr>
                </pic:pic>
              </a:graphicData>
            </a:graphic>
          </wp:inline>
        </w:drawing>
      </w:r>
    </w:p>
    <w:p>
      <w:pPr>
        <w:pStyle w:val="TextBody"/>
        <w:bidi w:val="0"/>
        <w:spacing w:before="0" w:after="0"/>
        <w:jc w:val="left"/>
        <w:rPr/>
      </w:pPr>
      <w:r>
        <w:rPr/>
        <w:drawing>
          <wp:inline distT="0" distB="0" distL="0" distR="0">
            <wp:extent cx="2390775" cy="14605"/>
            <wp:effectExtent l="0" t="0" r="0" b="0"/>
            <wp:docPr id="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 descr=""/>
                    <pic:cNvPicPr>
                      <a:picLocks noChangeAspect="1" noChangeArrowheads="1"/>
                    </pic:cNvPicPr>
                  </pic:nvPicPr>
                  <pic:blipFill>
                    <a:blip r:embed="rId21"/>
                    <a:stretch>
                      <a:fillRect/>
                    </a:stretch>
                  </pic:blipFill>
                  <pic:spPr bwMode="auto">
                    <a:xfrm>
                      <a:off x="0" y="0"/>
                      <a:ext cx="2390775" cy="14605"/>
                    </a:xfrm>
                    <a:prstGeom prst="rect">
                      <a:avLst/>
                    </a:prstGeom>
                  </pic:spPr>
                </pic:pic>
              </a:graphicData>
            </a:graphic>
          </wp:inline>
        </w:drawing>
      </w:r>
    </w:p>
    <w:p>
      <w:pPr>
        <w:pStyle w:val="TextBody"/>
        <w:bidi w:val="0"/>
        <w:spacing w:lineRule="auto" w:line="288" w:before="2" w:after="283"/>
        <w:jc w:val="left"/>
        <w:rPr>
          <w:rFonts w:ascii="Times New Roman;serif" w:hAnsi="Times New Roman;serif"/>
          <w:b w:val="false"/>
          <w:color w:val="000000"/>
          <w:sz w:val="22"/>
        </w:rPr>
      </w:pPr>
      <w:r>
        <w:rPr>
          <w:rFonts w:ascii="Times New Roman;serif" w:hAnsi="Times New Roman;serif"/>
          <w:b w:val="false"/>
          <w:color w:val="000000"/>
          <w:sz w:val="22"/>
        </w:rPr>
        <w:t>Meredith Delk</w:t>
      </w:r>
    </w:p>
    <w:p>
      <w:pPr>
        <w:pStyle w:val="TextBody"/>
        <w:bidi w:val="0"/>
        <w:spacing w:before="0" w:after="0"/>
        <w:jc w:val="left"/>
        <w:rPr/>
      </w:pPr>
      <w:r>
        <w:rPr/>
      </w:r>
    </w:p>
    <w:p>
      <w:pPr>
        <w:pStyle w:val="TextBody"/>
        <w:bidi w:val="0"/>
        <w:spacing w:lineRule="atLeast" w:line="253" w:before="0" w:after="0"/>
        <w:jc w:val="left"/>
        <w:rPr>
          <w:rFonts w:ascii="Times New Roman;serif" w:hAnsi="Times New Roman;serif"/>
          <w:b w:val="false"/>
          <w:color w:val="000000"/>
          <w:sz w:val="22"/>
        </w:rPr>
      </w:pPr>
      <w:r>
        <w:rPr>
          <w:rFonts w:ascii="Times New Roman;serif" w:hAnsi="Times New Roman;serif"/>
          <w:b w:val="false"/>
          <w:color w:val="000000"/>
          <w:sz w:val="22"/>
        </w:rPr>
        <w:t>By:    Patrick Blair</w:t>
      </w:r>
    </w:p>
    <w:p>
      <w:pPr>
        <w:pStyle w:val="TextBody"/>
        <w:bidi w:val="0"/>
        <w:spacing w:lineRule="auto" w:line="288" w:before="12" w:after="283"/>
        <w:jc w:val="left"/>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57225"/>
                <wp:effectExtent l="0" t="0" r="0" b="0"/>
                <wp:wrapNone/>
                <wp:docPr id="65" name="Frame61"/>
                <a:graphic xmlns:a="http://schemas.openxmlformats.org/drawingml/2006/main">
                  <a:graphicData uri="http://schemas.microsoft.com/office/word/2010/wordprocessingShape">
                    <wps:wsp>
                      <wps:cNvSpPr txBox="1"/>
                      <wps:spPr>
                        <a:xfrm>
                          <a:off x="0" y="0"/>
                          <a:ext cx="6480175" cy="65722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 Page to Employment Agreement</w:t>
                            </w:r>
                            <w:r>
                              <w:rPr>
                                <w:rFonts w:ascii="Times New Roman;serif" w:hAnsi="Times New Roman;serif"/>
                                <w:b w:val="false"/>
                                <w:color w:val="000000"/>
                                <w:sz w:val="18"/>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7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18"/>
                        </w:rPr>
                        <w:t>[</w:t>
                      </w:r>
                      <w:r>
                        <w:rPr>
                          <w:rFonts w:ascii="Times New Roman;serif" w:hAnsi="Times New Roman;serif"/>
                          <w:b w:val="false"/>
                          <w:i/>
                          <w:color w:val="000000"/>
                          <w:sz w:val="18"/>
                        </w:rPr>
                        <w:t>Signature Page to Employment Agreement</w:t>
                      </w:r>
                      <w:r>
                        <w:rPr>
                          <w:rFonts w:ascii="Times New Roman;serif" w:hAnsi="Times New Roman;serif"/>
                          <w:b w:val="false"/>
                          <w:color w:val="000000"/>
                          <w:sz w:val="18"/>
                        </w:rPr>
                        <w:t>]</w:t>
                      </w:r>
                    </w:p>
                  </w:txbxContent>
                </v:textbox>
                <w10:wrap type="none"/>
              </v:rect>
            </w:pict>
          </mc:Fallback>
        </mc:AlternateContent>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lineRule="auto" w:line="542" w:before="80" w:after="283"/>
        <w:jc w:val="center"/>
        <w:rPr>
          <w:rFonts w:ascii="Times New Roman;serif" w:hAnsi="Times New Roman;serif"/>
          <w:b w:val="false"/>
          <w:color w:val="000000"/>
          <w:sz w:val="22"/>
        </w:rPr>
      </w:pPr>
      <w:r>
        <w:rPr>
          <w:rFonts w:ascii="Times New Roman;serif" w:hAnsi="Times New Roman;serif"/>
          <w:b w:val="false"/>
          <w:color w:val="000000"/>
          <w:sz w:val="22"/>
        </w:rPr>
        <w:t>Class B Unit Award Agreement</w:t>
      </w:r>
    </w:p>
    <w:p>
      <w:pPr>
        <w:pStyle w:val="TextBody"/>
        <w:bidi w:val="0"/>
        <w:spacing w:before="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25780"/>
                <wp:effectExtent l="0" t="0" r="0" b="0"/>
                <wp:wrapNone/>
                <wp:docPr id="66" name="Frame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B</w:t>
      </w:r>
    </w:p>
    <w:p>
      <w:pPr>
        <w:pStyle w:val="TextBody"/>
        <w:bidi w:val="0"/>
        <w:spacing w:lineRule="auto" w:line="542" w:before="80" w:after="283"/>
        <w:jc w:val="center"/>
        <w:rPr>
          <w:rFonts w:ascii="Times New Roman;serif" w:hAnsi="Times New Roman;serif"/>
          <w:b w:val="false"/>
          <w:color w:val="000000"/>
          <w:sz w:val="22"/>
        </w:rPr>
      </w:pPr>
      <w:r>
        <w:rPr>
          <w:rFonts w:ascii="Times New Roman;serif" w:hAnsi="Times New Roman;serif"/>
          <w:b w:val="false"/>
          <w:color w:val="000000"/>
          <w:sz w:val="22"/>
        </w:rPr>
        <w:t>Release of Claims</w:t>
      </w:r>
    </w:p>
    <w:p>
      <w:pPr>
        <w:pStyle w:val="TextBody"/>
        <w:bidi w:val="0"/>
        <w:spacing w:lineRule="auto" w:line="288" w:before="0" w:after="0"/>
        <w:ind w:left="0" w:right="0" w:firstLine="720"/>
        <w:jc w:val="both"/>
        <w:rPr/>
      </w:pPr>
      <w:r>
        <w:rPr>
          <w:rFonts w:ascii="Times New Roman;serif" w:hAnsi="Times New Roman;serif"/>
          <w:b w:val="false"/>
          <w:color w:val="000000"/>
          <w:sz w:val="22"/>
        </w:rPr>
        <w:t>Reference is hereby made to that certain Employment Agreement, effective as of [DATE], by and between Total Community Options, Inc., d/b/a InnovAge, a Colorado corporation (and any successor entity thereto,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Meredith Delk (“</w:t>
      </w:r>
      <w:r>
        <w:rPr>
          <w:rFonts w:ascii="Times New Roman;serif" w:hAnsi="Times New Roman;serif"/>
          <w:b w:val="false"/>
          <w:color w:val="000000"/>
          <w:sz w:val="22"/>
          <w:u w:val="single"/>
        </w:rPr>
        <w:t>Executive</w:t>
      </w:r>
      <w:r>
        <w:rPr>
          <w:color w:val="000000"/>
        </w:rPr>
        <w:t>”</w:t>
      </w:r>
      <w:r>
        <w:rPr>
          <w:rFonts w:ascii="Times New Roman;serif" w:hAnsi="Times New Roman;serif"/>
          <w:b w:val="false"/>
          <w:color w:val="000000"/>
          <w:sz w:val="22"/>
        </w:rPr>
        <w:t>) (such agreement, the “</w:t>
      </w:r>
      <w:r>
        <w:rPr>
          <w:rFonts w:ascii="Times New Roman;serif" w:hAnsi="Times New Roman;serif"/>
          <w:b w:val="false"/>
          <w:color w:val="000000"/>
          <w:sz w:val="22"/>
          <w:u w:val="single"/>
        </w:rPr>
        <w:t>Employment Agreement</w:t>
      </w:r>
      <w:r>
        <w:rPr>
          <w:color w:val="000000"/>
        </w:rPr>
        <w:t>”</w:t>
      </w:r>
      <w:r>
        <w:rPr>
          <w:rFonts w:ascii="Times New Roman;serif" w:hAnsi="Times New Roman;serif"/>
          <w:b w:val="false"/>
          <w:color w:val="000000"/>
          <w:sz w:val="22"/>
        </w:rPr>
        <w:t>). Capitalized terms used but not otherwise defined herein shall have the meaning set forth in the Employment Agreement.</w:t>
      </w:r>
    </w:p>
    <w:p>
      <w:pPr>
        <w:pStyle w:val="TextBody"/>
        <w:bidi w:val="0"/>
        <w:spacing w:lineRule="auto" w:line="288" w:before="239" w:after="283"/>
        <w:ind w:left="0" w:right="0" w:firstLine="720"/>
        <w:jc w:val="both"/>
        <w:rPr/>
      </w:pPr>
      <w:r>
        <w:rPr>
          <w:rFonts w:ascii="Times New Roman;serif" w:hAnsi="Times New Roman;serif"/>
          <w:b w:val="false"/>
          <w:color w:val="000000"/>
          <w:sz w:val="22"/>
        </w:rPr>
        <w:t>This release of claims (this “</w:t>
      </w:r>
      <w:r>
        <w:rPr>
          <w:rFonts w:ascii="Times New Roman;serif" w:hAnsi="Times New Roman;serif"/>
          <w:b w:val="false"/>
          <w:color w:val="000000"/>
          <w:sz w:val="22"/>
          <w:u w:val="single"/>
        </w:rPr>
        <w:t>General Release</w:t>
      </w:r>
      <w:r>
        <w:rPr>
          <w:color w:val="000000"/>
        </w:rPr>
        <w:t>”</w:t>
      </w:r>
      <w:r>
        <w:rPr>
          <w:rFonts w:ascii="Times New Roman;serif" w:hAnsi="Times New Roman;serif"/>
          <w:b w:val="false"/>
          <w:color w:val="000000"/>
          <w:sz w:val="22"/>
        </w:rPr>
        <w:t>) is entered into by Executive in exchange for good and valuable consideration, and Executive, intended to be legally bound, agrees as follows:</w:t>
      </w:r>
    </w:p>
    <w:p>
      <w:pPr>
        <w:pStyle w:val="TextBody"/>
        <w:bidi w:val="0"/>
        <w:spacing w:lineRule="auto" w:line="288" w:before="240" w:after="283"/>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Separation of Employment</w:t>
      </w:r>
      <w:r>
        <w:rPr>
          <w:rFonts w:ascii="Times New Roman;serif" w:hAnsi="Times New Roman;serif"/>
          <w:b w:val="false"/>
          <w:color w:val="000000"/>
          <w:sz w:val="22"/>
        </w:rPr>
        <w:t>. Executive’s employment or service with the Company and its Affiliates terminated as of [DATE], and Executive hereby resigns from any position as an officer, member of the board of managers or directors (as applicable) or fiduciary of the Company or any of its Affiliates (or reaffirms any such resignation that may have already occurred) and agrees to execute any additional documentation as may be necessary to effectuate such resignations.</w:t>
      </w:r>
    </w:p>
    <w:p>
      <w:pPr>
        <w:pStyle w:val="TextBody"/>
        <w:bidi w:val="0"/>
        <w:spacing w:lineRule="auto" w:line="288" w:before="251" w:after="283"/>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Acknowledgment of Payments and Benefits</w:t>
      </w:r>
      <w:r>
        <w:rPr>
          <w:rFonts w:ascii="Times New Roman;serif" w:hAnsi="Times New Roman;serif"/>
          <w:b w:val="false"/>
          <w:color w:val="000000"/>
          <w:sz w:val="22"/>
        </w:rPr>
        <w:t>. Executive understands that any payments paid and benefits provided under Section 5[(d)][(e)] of the Employment Agreement represent, in part, consideration for signing this General Release and are not salary, wages or benefits to which Executive was already entitled. Executive understands and agrees that Executive will not receive the payments specified in Section 5[(d)][(e)] of the Employment Agreement unless Executive timely executes, and does not revoke, this General Release within the time period permitted hereafter. Such payments and benefits will not be considered compensation for purposes of any employee benefit plan, program, policy or arrangement maintained or hereafter established by the Company or its Affiliates. In signing this General Release, Executive also acknowledges and represents that, except as set forth in this General Release, Executive is not entitled to receive any additional compensation, bonuses, equity compensation, payment in lieu of any paid time off, equity awards, severance payments or other payments or benefits of any kind from the Company or any of the other Released Parties (as defined below), including, without limitation, any payments of any kind under the Employment Agreement.</w:t>
      </w:r>
    </w:p>
    <w:p>
      <w:pPr>
        <w:pStyle w:val="TextBody"/>
        <w:bidi w:val="0"/>
        <w:spacing w:before="1" w:after="283"/>
        <w:jc w:val="left"/>
        <w:rPr/>
      </w:pPr>
      <w:r>
        <w:rPr/>
      </w:r>
    </w:p>
    <w:p>
      <w:pPr>
        <w:pStyle w:val="TextBody"/>
        <w:bidi w:val="0"/>
        <w:spacing w:lineRule="auto" w:line="288" w:before="1" w:after="283"/>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Release</w:t>
      </w:r>
      <w:r>
        <w:rPr>
          <w:rFonts w:ascii="Times New Roman;serif" w:hAnsi="Times New Roman;serif"/>
          <w:b w:val="false"/>
          <w:color w:val="000000"/>
          <w:sz w:val="22"/>
        </w:rPr>
        <w:t>. Executive, on behalf of Executive and Executive’s heirs, beneficiaries, administrators, executors, trustees, successors, and assigns, shall, and hereby does, forever and irrevocably voluntarily release and forever discharges the Company and its subsidiaries and Affiliates, and each of their respective past, present and future shareholders, directors, officers, employee benefit plans, administrators, trustees, agents, representatives, employees, consultants, parents, subsidiaries, divisions, insurers, attorneys, predecessors, purchasers, successors and assigns, and all those connected with any of them, in their official and individual capacities (each, a “</w:t>
      </w:r>
      <w:r>
        <w:rPr>
          <w:rFonts w:ascii="Times New Roman;serif" w:hAnsi="Times New Roman;serif"/>
          <w:b w:val="false"/>
          <w:color w:val="000000"/>
          <w:sz w:val="22"/>
          <w:u w:val="single"/>
        </w:rPr>
        <w:t>Released 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val="false"/>
          <w:color w:val="000000"/>
          <w:sz w:val="22"/>
          <w:u w:val="single"/>
        </w:rPr>
        <w:t>Released Parties</w:t>
      </w:r>
      <w:r>
        <w:rPr>
          <w:color w:val="000000"/>
        </w:rPr>
        <w:t>”</w:t>
      </w:r>
      <w:r>
        <w:rPr>
          <w:rFonts w:ascii="Times New Roman;serif" w:hAnsi="Times New Roman;serif"/>
          <w:b w:val="false"/>
          <w:color w:val="000000"/>
          <w:sz w:val="22"/>
        </w:rPr>
        <w:t>), of and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and whether known or unknown, suspected, unsuspected or claimed (collectively,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xml:space="preserve">), which Executive or any of Executive’s beneficiaries, administrators, executors, trustees and assigns may have (a) from the beginning of time through the date upon </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25780"/>
                <wp:effectExtent l="0" t="0" r="0" b="0"/>
                <wp:wrapNone/>
                <wp:docPr id="67" name="Frame6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2"/>
        </w:rPr>
      </w:pPr>
      <w:r>
        <w:rPr>
          <w:rFonts w:ascii="Times New Roman;serif" w:hAnsi="Times New Roman;serif"/>
          <w:b w:val="false"/>
          <w:color w:val="000000"/>
          <w:sz w:val="22"/>
        </w:rPr>
        <w:t xml:space="preserve">which Executive executes this General Release; (b) arising out of, or relating to, any agreement and/or any awards, policies, plans, programs, procedures or practices of any of the Released Parties that may apply to Executive or in which Executive may participate or may have participated, including, but not limited to, any rights under bonus plans or programs of any of the Released Parties and/or any other short-term or long-term equity-based or cash-based incentive plans or programs of any of the Released Parties; (c) arising out of, or relating to, Executive’s termination of employment with any of the Released Parties; and/or (d) arising out of, or relating to, Executive’s employment with any Released Party or Executive’s status as an employee, member, officer or director of any of the Released Parties, including, without limitation, any Claims or violations (i) arising under any federal, state or local law, including, but not limited to, any alleged violation of the following, as amended: </w:t>
      </w:r>
    </w:p>
    <w:p>
      <w:pPr>
        <w:pStyle w:val="TextBody"/>
        <w:bidi w:val="0"/>
        <w:spacing w:before="1" w:after="283"/>
        <w:jc w:val="both"/>
        <w:rPr/>
      </w:pPr>
      <w:r>
        <w:rPr/>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Title VII of the Civil Rights Act of 1964;</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Sections 1981 through 1988 of Title 42 of the United States Code;</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Employee Retirement Income Security Act of 1974 (“ERISA”);</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Internal Revenue Code of 1986;</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Immigration Reform and Control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Americans with Disabilities Act of 1990;</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Worker Adjustment and Retraining Notification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Fair Credit Reporting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Family and Medical Leave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Equal Pay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Genetic Information Nondiscrimination Act of 2008;</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Uniformed Services Employment and Reemployment Rights Act of 1994 (“USERRA”);</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Families First Coronavirus Response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Pregnant Worker’s Fairness Act (“PWFA”);</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Age Discrimination in Employment Act of 1967 (“ADEA”);</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Rehabilitation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The Vietnam Era Veterans’ Readjustment Assistance Act (“VEVRAA”);</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Texas Commission on Human Rights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Texas Health and Safety Code;</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Texas Payday Act;</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Texas Labor Code;</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Texas Civil Practices and Remedies Code; and</w:t>
      </w:r>
    </w:p>
    <w:p>
      <w:pPr>
        <w:pStyle w:val="TextBody"/>
        <w:bidi w:val="0"/>
        <w:spacing w:lineRule="auto" w:line="288" w:before="1" w:after="283"/>
        <w:ind w:left="0" w:right="0" w:hanging="360"/>
        <w:jc w:val="both"/>
        <w:rPr/>
      </w:pPr>
      <w:r>
        <w:rPr>
          <w:color w:val="000000"/>
        </w:rPr>
        <w:t>•</w:t>
      </w:r>
      <w:r>
        <w:rPr>
          <w:rFonts w:ascii="Times New Roman;serif" w:hAnsi="Times New Roman;serif"/>
          <w:b w:val="false"/>
          <w:color w:val="000000"/>
          <w:sz w:val="22"/>
        </w:rPr>
        <w:t>Austin AIDS-Based Discrimination Ordinance - §7-4-120;</w:t>
      </w:r>
    </w:p>
    <w:p>
      <w:pPr>
        <w:pStyle w:val="TextBody"/>
        <w:bidi w:val="0"/>
        <w:spacing w:before="1" w:after="283"/>
        <w:jc w:val="both"/>
        <w:rPr/>
      </w:pPr>
      <w:r>
        <w:rPr/>
      </w:r>
    </w:p>
    <w:p>
      <w:pPr>
        <w:pStyle w:val="TextBody"/>
        <w:bidi w:val="0"/>
        <w:spacing w:lineRule="auto" w:line="288" w:before="1" w:after="283"/>
        <w:ind w:left="0" w:right="0" w:hanging="990"/>
        <w:jc w:val="left"/>
        <w:rPr>
          <w:color w:val="000000"/>
        </w:rPr>
      </w:pPr>
      <w:r>
        <w:rPr>
          <w:color w:val="000000"/>
        </w:rPr>
        <w:t>    </w:t>
      </w:r>
      <w:r>
        <w:rPr>
          <w:rFonts w:ascii="Times New Roman;serif" w:hAnsi="Times New Roman;serif"/>
          <w:b w:val="false"/>
          <w:color w:val="000000"/>
          <w:sz w:val="22"/>
        </w:rPr>
        <w:t xml:space="preserve">(ii) for wrongful discharge, breach of contract, infliction of emotional distress or defamation; or (iii) for costs, fees or other expenses, including attorneys’ fees, incurred in these matters. </w:t>
      </w:r>
    </w:p>
    <w:p>
      <w:pPr>
        <w:pStyle w:val="TextBody"/>
        <w:bidi w:val="0"/>
        <w:spacing w:before="2" w:after="283"/>
        <w:jc w:val="left"/>
        <w:rPr/>
      </w:pPr>
      <w:r>
        <w:rPr/>
      </w:r>
    </w:p>
    <w:p>
      <w:pPr>
        <w:pStyle w:val="TextBody"/>
        <w:bidi w:val="0"/>
        <w:spacing w:lineRule="auto" w:line="288"/>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Limitations</w:t>
      </w:r>
      <w:r>
        <w:rPr>
          <w:rFonts w:ascii="Times New Roman;serif" w:hAnsi="Times New Roman;serif"/>
          <w:b w:val="false"/>
          <w:color w:val="000000"/>
          <w:sz w:val="22"/>
        </w:rPr>
        <w:t xml:space="preserve">. Nothing in </w:t>
      </w:r>
      <w:r>
        <w:rPr>
          <w:rFonts w:ascii="Times New Roman;serif" w:hAnsi="Times New Roman;serif"/>
          <w:b w:val="false"/>
          <w:color w:val="000000"/>
          <w:sz w:val="22"/>
          <w:u w:val="single"/>
        </w:rPr>
        <w:t>Section 3</w:t>
      </w:r>
      <w:r>
        <w:rPr>
          <w:color w:val="000000"/>
        </w:rPr>
        <w:t xml:space="preserve"> </w:t>
      </w:r>
      <w:r>
        <w:rPr>
          <w:rFonts w:ascii="Times New Roman;serif" w:hAnsi="Times New Roman;serif"/>
          <w:b w:val="false"/>
          <w:color w:val="000000"/>
          <w:sz w:val="22"/>
        </w:rPr>
        <w:t xml:space="preserve">of this General Release shall release or impair (a) any Claim or right that may arise after the date Executive executes this General Release; (b) any vested benefits under the Company’s benefit plans; (c) any Claim or right Executive may have for indemnification under the Employment Agreement, including the Indemnification Agreement attached as Exhibit C hereto, or the Company’s D&amp;O policy, by-laws, certificate of incorporation or other governing documents; or (d) any Claim which by law cannot be waived. Nothing in this General Release is intended to prohibit or restrict Executive’s right to file a charge with or participate in a charge by the Equal Employment Opportunity Commission, or any other local, state or federal administrative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25780"/>
                <wp:effectExtent l="0" t="0" r="0" b="0"/>
                <wp:wrapNone/>
                <wp:docPr id="68" name="Frame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body or government agency; provided, that, to the extent permitted by applicable law, Executive hereby waives the right to recover any monetary damages or other relief against any Released Parties; provided, however, that nothing in this General Release shall prohibit Executive from receiving any monetary award to which Employee becomes entitled pursuant to Section 922 of the Dodd-Frank Wall Street Reform and Consumer Protection Act.</w:t>
      </w:r>
    </w:p>
    <w:p>
      <w:pPr>
        <w:pStyle w:val="TextBody"/>
        <w:bidi w:val="0"/>
        <w:spacing w:lineRule="auto" w:line="288" w:before="253"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Later Discovered Claims</w:t>
      </w:r>
      <w:r>
        <w:rPr>
          <w:rFonts w:ascii="Times New Roman;serif" w:hAnsi="Times New Roman;serif"/>
          <w:b w:val="false"/>
          <w:color w:val="000000"/>
          <w:sz w:val="22"/>
        </w:rPr>
        <w:t>. Executive understands that Executive may later discover Claims or facts that may be different from, or in addition to, those which Executive now knows or believes to exist with regards to the subject matter of this General Release and which, if known at the time of executing this General Release, may have materially affected this General Release or Executive’s decision to enter into it. Executive hereby waives any right or Claim that might arise as a result of such different or additional Claims or facts.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No Assignment</w:t>
      </w:r>
      <w:r>
        <w:rPr>
          <w:rFonts w:ascii="Times New Roman;serif" w:hAnsi="Times New Roman;serif"/>
          <w:b w:val="false"/>
          <w:color w:val="000000"/>
          <w:sz w:val="22"/>
        </w:rPr>
        <w:t>. Executive represents that Executive has made no assignment or transfer of any right or Claim covered by this General Release, and that Executive further agrees that Executive is not aware of any such right or Claim covered by this General Release.</w:t>
      </w:r>
    </w:p>
    <w:p>
      <w:pPr>
        <w:pStyle w:val="TextBody"/>
        <w:bidi w:val="0"/>
        <w:spacing w:lineRule="auto" w:line="288" w:before="252"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 Impact on Whistleblowing Rights</w:t>
      </w:r>
      <w:r>
        <w:rPr>
          <w:rFonts w:ascii="Times New Roman;serif" w:hAnsi="Times New Roman;serif"/>
          <w:b w:val="false"/>
          <w:color w:val="000000"/>
          <w:sz w:val="22"/>
        </w:rPr>
        <w:t>. Executive understands that nothing contained in this General Release shall be construed to limit, restrict or in any other way affect Executive’s right to communicate with any governmental agency or entity, including, but not limited to, the Department of Justice, the Securities and Exchange Commission, the Congress and any agency Inspector General, or make other disclosures under the whistleblower provisions of federal law or regulation.</w:t>
      </w:r>
    </w:p>
    <w:p>
      <w:pPr>
        <w:pStyle w:val="TextBody"/>
        <w:bidi w:val="0"/>
        <w:spacing w:lineRule="auto" w:line="288" w:before="79" w:after="283"/>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Third Party Beneficiary</w:t>
      </w:r>
      <w:r>
        <w:rPr>
          <w:rFonts w:ascii="Times New Roman;serif" w:hAnsi="Times New Roman;serif"/>
          <w:b w:val="false"/>
          <w:color w:val="000000"/>
          <w:sz w:val="22"/>
        </w:rPr>
        <w:t>. The Released Parties are intended to be third-party beneficiaries of this General Release, and this General Release may be enforced by each of them in accordance with the terms hereof in respect of the rights granted to such Released Parties hereunder.</w:t>
      </w:r>
    </w:p>
    <w:p>
      <w:pPr>
        <w:pStyle w:val="TextBody"/>
        <w:bidi w:val="0"/>
        <w:spacing w:before="0" w:after="0"/>
        <w:jc w:val="left"/>
        <w:rPr/>
      </w:pPr>
      <w:r>
        <w:rPr/>
      </w:r>
    </w:p>
    <w:p>
      <w:pPr>
        <w:pStyle w:val="TextBody"/>
        <w:bidi w:val="0"/>
        <w:spacing w:lineRule="auto" w:line="288" w:before="1" w:after="283"/>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 Admission of Liability</w:t>
      </w:r>
      <w:r>
        <w:rPr>
          <w:rFonts w:ascii="Times New Roman;serif" w:hAnsi="Times New Roman;serif"/>
          <w:b w:val="false"/>
          <w:color w:val="000000"/>
          <w:sz w:val="22"/>
        </w:rPr>
        <w:t>. Executive agrees that neither this General Release, nor the furnishing of the consideration for this General Release, shall be deemed or construed at any time to be an admission by the Company, any Released Party or Executive of any improper or unlawful conduct. Rather, this General Release expresses the intention of the parties to resolve all issues and other Claims related to or arising out of the Executive’s employment by and termination of employment with the Company.</w:t>
      </w:r>
    </w:p>
    <w:p>
      <w:pPr>
        <w:pStyle w:val="TextBody"/>
        <w:bidi w:val="0"/>
        <w:spacing w:lineRule="auto" w:line="288" w:before="252" w:after="283"/>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Subsequent Breach</w:t>
      </w:r>
      <w:r>
        <w:rPr>
          <w:rFonts w:ascii="Times New Roman;serif" w:hAnsi="Times New Roman;serif"/>
          <w:b w:val="false"/>
          <w:color w:val="000000"/>
          <w:sz w:val="22"/>
        </w:rPr>
        <w:t>. Notwithstanding anything in this General Release to the contrary, this General Release shall not relinquish, diminish or in any way affect any rights or Claims arising out of any breach by Employer of the Employment Agreement after the date hereof, which are not subject to this General Release.</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Severability</w:t>
      </w:r>
      <w:r>
        <w:rPr>
          <w:rFonts w:ascii="Times New Roman;serif" w:hAnsi="Times New Roman;serif"/>
          <w:b w:val="false"/>
          <w:color w:val="000000"/>
          <w:sz w:val="22"/>
        </w:rPr>
        <w:t>.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25780"/>
                <wp:effectExtent l="0" t="0" r="0" b="0"/>
                <wp:wrapNone/>
                <wp:docPr id="69" name="Frame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Continuing Obligations</w:t>
      </w:r>
      <w:r>
        <w:rPr>
          <w:rFonts w:ascii="Times New Roman;serif" w:hAnsi="Times New Roman;serif"/>
          <w:b w:val="false"/>
          <w:color w:val="000000"/>
          <w:sz w:val="22"/>
        </w:rPr>
        <w:t xml:space="preserve">. Executive acknowledges that Executive will continue to be bound by Executive’s obligations under the Employment Agreement that survive the termination of Executive’s employment by the terms thereof or by necessary implication, including, without limitation, the restrictive covenant obligations set forth in </w:t>
      </w:r>
      <w:r>
        <w:rPr>
          <w:rFonts w:ascii="Times New Roman;serif" w:hAnsi="Times New Roman;serif"/>
          <w:b w:val="false"/>
          <w:color w:val="000000"/>
          <w:sz w:val="22"/>
          <w:u w:val="single"/>
        </w:rPr>
        <w:t>Sections 7, 8 and 9</w:t>
      </w:r>
      <w:r>
        <w:rPr>
          <w:color w:val="000000"/>
        </w:rPr>
        <w:t xml:space="preserve"> </w:t>
      </w:r>
      <w:r>
        <w:rPr>
          <w:rFonts w:ascii="Times New Roman;serif" w:hAnsi="Times New Roman;serif"/>
          <w:b w:val="false"/>
          <w:color w:val="000000"/>
          <w:sz w:val="22"/>
        </w:rPr>
        <w:t>of the of the Employment Agreement (all of the foregoing obligations, the “</w:t>
      </w:r>
      <w:r>
        <w:rPr>
          <w:rFonts w:ascii="Times New Roman;serif" w:hAnsi="Times New Roman;serif"/>
          <w:b w:val="false"/>
          <w:color w:val="000000"/>
          <w:sz w:val="22"/>
          <w:u w:val="single"/>
        </w:rPr>
        <w:t>Continuing Obligations</w:t>
      </w:r>
      <w:r>
        <w:rPr>
          <w:color w:val="000000"/>
        </w:rPr>
        <w:t>”</w:t>
      </w:r>
      <w:r>
        <w:rPr>
          <w:rFonts w:ascii="Times New Roman;serif" w:hAnsi="Times New Roman;serif"/>
          <w:b w:val="false"/>
          <w:color w:val="000000"/>
          <w:sz w:val="22"/>
        </w:rPr>
        <w:t xml:space="preserve">). Executive further acknowledges that the obligation of the Company to make payments to Executive or on Executive’s behalf under </w:t>
      </w:r>
      <w:r>
        <w:rPr>
          <w:rFonts w:ascii="Times New Roman;serif" w:hAnsi="Times New Roman;serif"/>
          <w:b w:val="false"/>
          <w:color w:val="000000"/>
          <w:sz w:val="22"/>
          <w:u w:val="single"/>
        </w:rPr>
        <w:t>Section 5 [(d)][(e)]</w:t>
      </w:r>
      <w:r>
        <w:rPr>
          <w:color w:val="000000"/>
        </w:rPr>
        <w:t xml:space="preserve"> </w:t>
      </w:r>
      <w:r>
        <w:rPr>
          <w:rFonts w:ascii="Times New Roman;serif" w:hAnsi="Times New Roman;serif"/>
          <w:b w:val="false"/>
          <w:color w:val="000000"/>
          <w:sz w:val="22"/>
        </w:rPr>
        <w:t>of the Employment Agreement, and Executive’s right to retain the same, are expressly conditioned upon Executive’s continued full performance of Executive’s obligations hereunder and with respect to the Continuing Obligations.</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Confidentiality; Non-Disparagement</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of this General Release, Executive agrees that Executive will never disparage or criticize the Company, its Affiliates, their business, their management or their products or services, and that Executive will not otherwise do or say anything that could disrupt the good morale of employees of the Company or any of its Affiliates or harm the interests or reputation of the Company or any of its Affiliates.</w:t>
      </w:r>
    </w:p>
    <w:p>
      <w:pPr>
        <w:pStyle w:val="TextBody"/>
        <w:bidi w:val="0"/>
        <w:spacing w:before="1" w:after="283"/>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No Cooperation with Non-Governmental Third Parties</w:t>
      </w:r>
      <w:r>
        <w:rPr>
          <w:rFonts w:ascii="Times New Roman;serif" w:hAnsi="Times New Roman;serif"/>
          <w:b w:val="false"/>
          <w:color w:val="000000"/>
          <w:sz w:val="22"/>
        </w:rPr>
        <w:t>. Executive agrees that, to the maximum extent permitted by law, Executive shall not knowingly encourage, counsel or assist any non- governmental attorneys or their clients in the presentation or prosecution of any disputes, differences, grievances, claims, charges or complaints by any non-governmental third party against any of the Released Parties.</w:t>
      </w:r>
    </w:p>
    <w:p>
      <w:pPr>
        <w:pStyle w:val="TextBody"/>
        <w:bidi w:val="0"/>
        <w:spacing w:lineRule="auto" w:line="288" w:before="252" w:after="283"/>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Consultation; Voluntary Agreement</w:t>
      </w:r>
      <w:r>
        <w:rPr>
          <w:rFonts w:ascii="Times New Roman;serif" w:hAnsi="Times New Roman;serif"/>
          <w:b w:val="false"/>
          <w:color w:val="000000"/>
          <w:sz w:val="22"/>
        </w:rPr>
        <w:t>. Executive acknowledges that the Company has advised Executive of Executive’s right to consult with an attorney prior to executing this General Release. Executive has carefully read and fully understands all of the provisions of this General Release. Executive is entering into this General Release knowingly, freely and voluntarily, in exchange for good and valuable consideration to which Executive would not be entitled in the absence of executing and not revoking this General Release.</w:t>
      </w:r>
    </w:p>
    <w:p>
      <w:pPr>
        <w:pStyle w:val="TextBody"/>
        <w:bidi w:val="0"/>
        <w:spacing w:lineRule="auto" w:line="288" w:before="251" w:after="283"/>
        <w:ind w:left="0" w:right="0" w:hanging="377"/>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Consideration and Revocation Period</w:t>
      </w:r>
      <w:r>
        <w:rPr>
          <w:rFonts w:ascii="Times New Roman;serif" w:hAnsi="Times New Roman;serif"/>
          <w:b w:val="false"/>
          <w:color w:val="000000"/>
          <w:sz w:val="22"/>
        </w:rPr>
        <w:t xml:space="preserve">. Executive acknowledges that this this General Release constitutes a voluntary waiver of any and all rights and claims he may have against the Released Parties under the Age Discrimination in Employment Act. Executive understands that he has had the opportunity to ask questions about this General Release and he has not been asked to waive any rights that arise after the execution of this General Release. The benefits Referenced in this General Release exceed anything of value to which the Executive would be entitled in the absence of this General Release. Executive acknowledges that he has [twenty-one (21)][forty-five (45)] calendar days to consider this General Release (the “Consideration Period”). Executive agrees that changes to this General Release, whether material or immaterial, will not restart the Consideration Period. Executive understands that Executive may, at Executive’s own election, execute this General Release before the expiration of the Consideration Period; provided, however, that Executive may not execute this General Release prior to Executive’s final day of employment with the Company. Executive has seven (7) calendar days after the date on which Executive executes this General Release to revoke Executive’s consent to the General Release. Such revocation must be in writing and must be made to Dustin Lee at [***] or the current Chief People Officer via email. Notice of such revocation must be received within the seven (7) calendar days referenced above. In the event of such revocation by Executive, this General Release will be null and void, and Executive will have no entitlement to the payments and benefits set forth in 5[(d)][(e)] of the Employment Agreement. Provided that Executive does not revoke Executive’s execution of this General Release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25780"/>
                <wp:effectExtent l="0" t="0" r="0" b="0"/>
                <wp:wrapNone/>
                <wp:docPr id="70" name="Frame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51" w:after="283"/>
        <w:jc w:val="both"/>
        <w:rPr>
          <w:rFonts w:ascii="Times New Roman;serif" w:hAnsi="Times New Roman;serif"/>
          <w:b w:val="false"/>
          <w:color w:val="000000"/>
          <w:sz w:val="22"/>
        </w:rPr>
      </w:pPr>
      <w:r>
        <w:rPr>
          <w:rFonts w:ascii="Times New Roman;serif" w:hAnsi="Times New Roman;serif"/>
          <w:b w:val="false"/>
          <w:color w:val="000000"/>
          <w:sz w:val="22"/>
        </w:rPr>
        <w:t>within such seven (7) day period, this General Release shall become effective on the eighth (8th) calendar day after the date on which Executive initially executes it.</w:t>
      </w:r>
    </w:p>
    <w:p>
      <w:pPr>
        <w:pStyle w:val="TextBody"/>
        <w:bidi w:val="0"/>
        <w:spacing w:lineRule="auto" w:line="288" w:before="250" w:after="283"/>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Survival; Incorporation by Reference</w:t>
      </w:r>
      <w:r>
        <w:rPr>
          <w:rFonts w:ascii="Times New Roman;serif" w:hAnsi="Times New Roman;serif"/>
          <w:b w:val="false"/>
          <w:color w:val="000000"/>
          <w:sz w:val="22"/>
        </w:rPr>
        <w:t>. Executive acknowledges that Sections 7 through 24 of the Employment Agreement shall survive Executive’s execution of this General Release. Section 24 of the Employment Agreement is incorporated herein by reference.</w:t>
      </w:r>
    </w:p>
    <w:p>
      <w:pPr>
        <w:pStyle w:val="TextBody"/>
        <w:bidi w:val="0"/>
        <w:spacing w:lineRule="auto" w:line="288" w:before="241" w:after="283"/>
        <w:jc w:val="both"/>
        <w:rPr>
          <w:rFonts w:ascii="Times New Roman;serif" w:hAnsi="Times New Roman;serif"/>
          <w:b w:val="false"/>
          <w:color w:val="000000"/>
          <w:sz w:val="22"/>
        </w:rPr>
      </w:pPr>
      <w:r>
        <w:rPr>
          <w:rFonts w:ascii="Times New Roman;serif" w:hAnsi="Times New Roman;serif"/>
          <w:b w:val="false"/>
          <w:color w:val="000000"/>
          <w:sz w:val="22"/>
        </w:rPr>
        <w:t>BY SIGNING THIS GENERAL RELEASE, EXECUTIVE REPRESENTS AND AGREES THAT:</w:t>
      </w:r>
    </w:p>
    <w:p>
      <w:pPr>
        <w:pStyle w:val="TextBody"/>
        <w:bidi w:val="0"/>
        <w:spacing w:lineRule="auto" w:line="288" w:before="239"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1.EXECUTIVE HAS READ IT CAREFULLY;</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2.EXECUTIVE UNDERSTANDS ALL OF ITS TERMS AND KNOWS THAT EXECUTIVE IS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3.EXECUTIVE VOLUNTARILY CONSENTS TO EVERYTHING IN IT;</w: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4.EXECUTIVE HAS BEEN ADVISED TO CONSULT WITH AN ATTORNEY BEFORE EXECUTING IT AND EXECUTIVE HAS DONE SO, OR, AFTER CAREFUL READING AND CONSIDERATION, EXECUTIVE HAS CHOSEN NOT TO DO SO OF EXECUTIVE’S OWN VOLITION;</w: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5.EXECUTIVE ACKNOWLEDGES THAT EXECUTIVE MAY NOT SIGN THIS GENERAL RELEASE BEFORE THE DATE EXECUTIVE’S EMPLOYMENT WITH THE COMPANY TERMINATES;</w:t>
      </w:r>
    </w:p>
    <w:p>
      <w:pPr>
        <w:pStyle w:val="TextBody"/>
        <w:bidi w:val="0"/>
        <w:spacing w:before="0" w:after="0"/>
        <w:jc w:val="both"/>
        <w:rPr/>
      </w:pPr>
      <w:r>
        <w:rPr/>
      </w:r>
    </w:p>
    <w:p>
      <w:pPr>
        <w:pStyle w:val="TextBody"/>
        <w:bidi w:val="0"/>
        <w:spacing w:lineRule="auto" w:line="288" w:before="73"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6.EXECUTIVE HAS BEEN GIVEN ALL TIME PERIODS REQUIRED BY LAW TO CONSIDER THIS GENERAL RELEASE (INCLUDING, BUT NOT LIMITED TO, THE TIME PERIODS REQUIRED UNDER THE AGE DISCRIMINATION AND EMPLOYMENT ACT, AS AMENDED) SINCE THE DATE OF EXECUTIVE’S RECEIPT OF THIS GENERAL RELEASE SUBSTANTIALLY IN ITS FINAL FORM ON [DATE] TO CONSIDER ITS TERMS AND TO CONSULT WITH AN ATTORNEY, IF EXECUTIVE WISHED TO DO SO, OR TO CONSULT WITH ANY OF THE OTHER PERSONS DESCRIBED IN SECTION 3 OF THIS GENERAL RELEASE;</w:t>
      </w:r>
    </w:p>
    <w:p>
      <w:pPr>
        <w:pStyle w:val="TextBody"/>
        <w:bidi w:val="0"/>
        <w:spacing w:lineRule="auto" w:line="288" w:before="25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7.EXECUTIVE HAS SIGNED THIS GENERAL RELEASE KNOWINGLY AND VOLUNTARILY, WITH A FULL UNDERSTANDING OF ITS TERMS AND WITH THE ADVICE OF ANY COUNSEL RETAINED TO ADVISE EXECUTIVE WITH RESPECT TO IT;</w:t>
      </w:r>
    </w:p>
    <w:p>
      <w:pPr>
        <w:pStyle w:val="TextBody"/>
        <w:bidi w:val="0"/>
        <w:spacing w:lineRule="auto" w:line="288" w:before="252"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8.EXECUTIVE HAS NOT RELIED ON ANY PROMISES OR REPRESENTATIVES, EXPRESS OR IMPLIED, THAT ARE NOT SET FORTH EXPRESSLY IN THIS GENERAL RELEASE; AND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25780"/>
                <wp:effectExtent l="0" t="0" r="0" b="0"/>
                <wp:wrapNone/>
                <wp:docPr id="71" name="Frame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9.EXECUTIVE AGREES THAT THE PROVISIONS OF THIS GENERAL RELEASE MAY NOT BE AMENDED, WAIVED, CHANGED OR MODIFIED, EXCEPT BY AN INSTRUMENT IN WRITING SIGNED BY AN AUTHORIZED REPRESENTATIVE OF THE COMPANY AND EXECUTIVE.</w:t>
      </w:r>
    </w:p>
    <w:p>
      <w:pPr>
        <w:pStyle w:val="TextBody"/>
        <w:bidi w:val="0"/>
        <w:spacing w:before="0" w:after="0"/>
        <w:jc w:val="left"/>
        <w:rPr/>
      </w:pPr>
      <w:r>
        <w:rPr/>
      </w:r>
    </w:p>
    <w:p>
      <w:pPr>
        <w:pStyle w:val="TextBody"/>
        <w:bidi w:val="0"/>
        <w:spacing w:before="0" w:after="0"/>
        <w:jc w:val="left"/>
        <w:rPr/>
      </w:pPr>
      <w:r>
        <w:rPr/>
      </w:r>
    </w:p>
    <w:p>
      <w:pPr>
        <w:pStyle w:val="TextBody"/>
        <w:bidi w:val="0"/>
        <w:spacing w:before="201" w:after="283"/>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DATE: </w:t>
      </w:r>
      <w:r>
        <w:rPr>
          <w:color w:val="000000"/>
          <w:u w:val="single"/>
        </w:rPr>
        <w:t>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Meredith Delk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25780"/>
                <wp:effectExtent l="0" t="0" r="0" b="0"/>
                <wp:wrapNone/>
                <wp:docPr id="72" name="Frame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42" w:before="8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 Indemnification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25780"/>
                <wp:effectExtent l="0" t="0" r="0" b="0"/>
                <wp:wrapNone/>
                <wp:docPr id="73" name="Frame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INDEMNIFICATION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THIS INDEMNIFICATION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is made and entered into as of [●], 202__ between InnovAge Holding Corp.,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and [●]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highly competent persons have become more reluctant to serve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WHEREAS,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corporation or business enterprise itself. The Bylaws of the Company (as amended or restated, the “</w:t>
      </w:r>
      <w:r>
        <w:rPr>
          <w:rFonts w:ascii="Times New Roman;serif" w:hAnsi="Times New Roman;serif"/>
          <w:b w:val="false"/>
          <w:color w:val="000000"/>
          <w:sz w:val="22"/>
          <w:u w:val="single"/>
        </w:rPr>
        <w:t>Bylaws</w:t>
      </w:r>
      <w:r>
        <w:rPr>
          <w:color w:val="000000"/>
        </w:rPr>
        <w:t>”</w:t>
      </w:r>
      <w:r>
        <w:rPr>
          <w:rFonts w:ascii="Times New Roman;serif" w:hAnsi="Times New Roman;serif"/>
          <w:b w:val="false"/>
          <w:color w:val="000000"/>
          <w:sz w:val="22"/>
        </w:rPr>
        <w:t>) require indemnification of the officers and directors of the Company. Indemnitee may also be entitled to indemnification pursuant to the General Corporation Law of the State of Delaware (“</w:t>
      </w:r>
      <w:r>
        <w:rPr>
          <w:rFonts w:ascii="Times New Roman;serif" w:hAnsi="Times New Roman;serif"/>
          <w:b w:val="false"/>
          <w:color w:val="000000"/>
          <w:sz w:val="22"/>
          <w:u w:val="single"/>
        </w:rPr>
        <w:t>DGCL</w:t>
      </w:r>
      <w:r>
        <w:rPr>
          <w:color w:val="000000"/>
        </w:rPr>
        <w:t>”</w:t>
      </w:r>
      <w:r>
        <w:rPr>
          <w:rFonts w:ascii="Times New Roman;serif" w:hAnsi="Times New Roman;serif"/>
          <w:b w:val="false"/>
          <w:color w:val="000000"/>
          <w:sz w:val="22"/>
        </w:rPr>
        <w:t>). The Bylaws and the DGCL expressly provide that the indemnification provisions set forth therein are not exclusive, and thereby contemplate that contracts may be entered into between the Company and members of the Board, officers of the Company and other persons with respect to indemnification;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uncertainties relating to such insurance and to indemnification have increased the difficulty of attracting and retaining such persons;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this Agreement is a supplement to and in furtherance of the Bylaws and any resolutions adopted pursuant thereto, and shall not be deemed a substitute therefor, nor to diminish or abrogate any rights of Indemnitee thereunder;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WHEREAS, Indemnitee may not be willing to serve or continue to serve as an officer or director without adequate protection, and the Company desires Indemnitee to serve or continue to serve in such capacity; Indemnitee is willing to serve, continue to serve and take on additional service for or on behalf of the Company on the condition that Indemnitee be so indemnified.</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Indemnitee’s agreement to serve as a director or officer from and after the date hereof, the parties hereto agree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25780"/>
                <wp:effectExtent l="0" t="0" r="0" b="0"/>
                <wp:wrapNone/>
                <wp:docPr id="74" name="Frame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Indemnity of Indemnitee</w:t>
      </w:r>
      <w:r>
        <w:rPr>
          <w:rFonts w:ascii="Times New Roman;serif" w:hAnsi="Times New Roman;serif"/>
          <w:b w:val="false"/>
          <w:color w:val="000000"/>
          <w:sz w:val="22"/>
        </w:rPr>
        <w:t>. Subject to the provisions of </w:t>
      </w:r>
      <w:r>
        <w:rPr>
          <w:rFonts w:ascii="Times New Roman;serif" w:hAnsi="Times New Roman;serif"/>
          <w:b w:val="false"/>
          <w:color w:val="000000"/>
          <w:sz w:val="22"/>
          <w:u w:val="single"/>
        </w:rPr>
        <w:t>Section 9</w:t>
      </w:r>
      <w:r>
        <w:rPr>
          <w:rFonts w:ascii="Times New Roman;serif" w:hAnsi="Times New Roman;serif"/>
          <w:b w:val="false"/>
          <w:color w:val="000000"/>
          <w:sz w:val="22"/>
        </w:rPr>
        <w:t>, the Company hereby agrees to hold harmless and indemnify Indemnitee to the fullest extent permitted by law, as such may be amended from time to time, if Indemnitee was or is, or is threatened to be made, a party to, or otherwise becomes involved in, any Proceeding (as hereinafter defined) by reason of Indemnitee’s Corporate Status (as hereinafter defined). In furtherance of the foregoing indemnification, and without limiting the generality thereof: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Proceedings other than Proceedings by or in the Right of the Company</w:t>
      </w:r>
      <w:r>
        <w:rPr>
          <w:rFonts w:ascii="Times New Roman;serif" w:hAnsi="Times New Roman;serif"/>
          <w:b w:val="false"/>
          <w:color w:val="000000"/>
          <w:sz w:val="22"/>
        </w:rPr>
        <w:t xml:space="preserve">. Indemnitee shall be entitled to the rights of indemnification provided in this </w:t>
      </w:r>
      <w:r>
        <w:rPr>
          <w:rFonts w:ascii="Times New Roman;serif" w:hAnsi="Times New Roman;serif"/>
          <w:b w:val="false"/>
          <w:color w:val="000000"/>
          <w:sz w:val="22"/>
          <w:u w:val="single"/>
        </w:rPr>
        <w:t>Section 1 (a)</w:t>
      </w:r>
      <w:r>
        <w:rPr>
          <w:color w:val="000000"/>
        </w:rPr>
        <w:t xml:space="preserve"> </w:t>
      </w:r>
      <w:r>
        <w:rPr>
          <w:rFonts w:ascii="Times New Roman;serif" w:hAnsi="Times New Roman;serif"/>
          <w:b w:val="false"/>
          <w:color w:val="000000"/>
          <w:sz w:val="22"/>
        </w:rPr>
        <w:t>if, by reason of Indemnitee’s Corporate Status, Indemnitee is, or is threatened to be made, a party to or participant in, or otherwise becomes involved in, any Proceeding (as hereinafter defined) other than a Proceeding by or in the right of the Company. Pursuant to this </w:t>
      </w:r>
      <w:r>
        <w:rPr>
          <w:rFonts w:ascii="Times New Roman;serif" w:hAnsi="Times New Roman;serif"/>
          <w:b w:val="false"/>
          <w:color w:val="000000"/>
          <w:sz w:val="22"/>
          <w:u w:val="single"/>
        </w:rPr>
        <w:t>Section 1(a)</w:t>
      </w:r>
      <w:r>
        <w:rPr>
          <w:rFonts w:ascii="Times New Roman;serif" w:hAnsi="Times New Roman;serif"/>
          <w:b w:val="false"/>
          <w:color w:val="000000"/>
          <w:sz w:val="22"/>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Proceedings by or in the Right of the Company</w:t>
      </w:r>
      <w:r>
        <w:rPr>
          <w:rFonts w:ascii="Times New Roman;serif" w:hAnsi="Times New Roman;serif"/>
          <w:b w:val="false"/>
          <w:color w:val="000000"/>
          <w:sz w:val="22"/>
        </w:rPr>
        <w:t>. Indemnitee shall be entitled to the rights of indemnification provided in this </w:t>
      </w:r>
      <w:r>
        <w:rPr>
          <w:rFonts w:ascii="Times New Roman;serif" w:hAnsi="Times New Roman;serif"/>
          <w:b w:val="false"/>
          <w:color w:val="000000"/>
          <w:sz w:val="22"/>
          <w:u w:val="single"/>
        </w:rPr>
        <w:t>Section 1(b)</w:t>
      </w:r>
      <w:r>
        <w:rPr>
          <w:color w:val="000000"/>
        </w:rPr>
        <w:t> </w:t>
      </w:r>
      <w:r>
        <w:rPr>
          <w:rFonts w:ascii="Times New Roman;serif" w:hAnsi="Times New Roman;serif"/>
          <w:b w:val="false"/>
          <w:color w:val="000000"/>
          <w:sz w:val="22"/>
        </w:rPr>
        <w:t>if, by reason of Indemnitee’s Corporate Status, Indemnitee is, or is threatened to be made, a party to or participant in any Proceeding brought by or in the right of the Company. Pursuant to this </w:t>
      </w:r>
      <w:r>
        <w:rPr>
          <w:rFonts w:ascii="Times New Roman;serif" w:hAnsi="Times New Roman;serif"/>
          <w:b w:val="false"/>
          <w:color w:val="000000"/>
          <w:sz w:val="22"/>
          <w:u w:val="single"/>
        </w:rPr>
        <w:t>Section 1(b)</w:t>
      </w:r>
      <w:r>
        <w:rPr>
          <w:rFonts w:ascii="Times New Roman;serif" w:hAnsi="Times New Roman;serif"/>
          <w:b w:val="false"/>
          <w:color w:val="000000"/>
          <w:sz w:val="22"/>
        </w:rPr>
        <w:t>,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if applicable law so provides, no indemnification against such Expenses shall be made in respect of any claim, issue or matter in such Proceeding as to which Indemnitee shall have been finally adjudged by a court to be liable to the Company unless and only to the extent that the court in which the Proceeding was brought shall determine that Indemnitee is fairly and reasonably entitled to indemnification.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Indemnification for Expenses of a Party Who is Wholly or Partly Successful</w:t>
      </w:r>
      <w:r>
        <w:rPr>
          <w:rFonts w:ascii="Times New Roman;serif" w:hAnsi="Times New Roman;serif"/>
          <w:b w:val="false"/>
          <w:color w:val="000000"/>
          <w:sz w:val="22"/>
        </w:rPr>
        <w:t>. Notwithstanding any other provision of this Agreement, to the extent that Indemnitee is, by reason of Indemnitee’s Corporate Status, a party to or participant in and is successful, on the merits or otherwise, in any Proceeding or in defense of any claim, issue or matter therein, in whole or in part,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Times New Roman;serif" w:hAnsi="Times New Roman;serif"/>
          <w:b w:val="false"/>
          <w:color w:val="000000"/>
          <w:sz w:val="22"/>
          <w:u w:val="single"/>
        </w:rPr>
        <w:t>Section 1(c)</w:t>
      </w:r>
      <w:r>
        <w:rPr>
          <w:color w:val="000000"/>
        </w:rPr>
        <w:t> </w:t>
      </w:r>
      <w:r>
        <w:rPr>
          <w:rFonts w:ascii="Times New Roman;serif" w:hAnsi="Times New Roman;serif"/>
          <w:b w:val="false"/>
          <w:color w:val="000000"/>
          <w:sz w:val="22"/>
        </w:rPr>
        <w:t>and without limitation, the termination of any claim, issue or matter in such a Proceeding by dismissal, with or without prejudice, shall be deemed to be a successful result as to such claim, issue or matter.</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Additional Indemnity</w:t>
      </w:r>
      <w:r>
        <w:rPr>
          <w:rFonts w:ascii="Times New Roman;serif" w:hAnsi="Times New Roman;serif"/>
          <w:b w:val="false"/>
          <w:color w:val="000000"/>
          <w:sz w:val="22"/>
        </w:rPr>
        <w:t>. In addition to, and without regard to any limitations on, the indemnification provided for in </w:t>
      </w:r>
      <w:r>
        <w:rPr>
          <w:rFonts w:ascii="Times New Roman;serif" w:hAnsi="Times New Roman;serif"/>
          <w:b w:val="false"/>
          <w:color w:val="000000"/>
          <w:sz w:val="22"/>
          <w:u w:val="single"/>
        </w:rPr>
        <w:t>Section 1</w:t>
      </w:r>
      <w:r>
        <w:rPr>
          <w:color w:val="000000"/>
        </w:rPr>
        <w:t> </w:t>
      </w:r>
      <w:r>
        <w:rPr>
          <w:rFonts w:ascii="Times New Roman;serif" w:hAnsi="Times New Roman;serif"/>
          <w:b w:val="false"/>
          <w:color w:val="000000"/>
          <w:sz w:val="22"/>
        </w:rPr>
        <w:t>of this Agreement, the Company shall and hereby does, to the fullest extent permitted by applicable law,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The only limitation that shall exist upon the Company’s obligations pursuant to this Agreement, other than those set forth in </w:t>
      </w:r>
      <w:r>
        <w:rPr>
          <w:rFonts w:ascii="Times New Roman;serif" w:hAnsi="Times New Roman;serif"/>
          <w:b w:val="false"/>
          <w:color w:val="000000"/>
          <w:sz w:val="22"/>
          <w:u w:val="single"/>
        </w:rPr>
        <w:t>Section 9</w:t>
      </w:r>
      <w:r>
        <w:rPr>
          <w:color w:val="000000"/>
        </w:rPr>
        <w:t> </w:t>
      </w:r>
      <w:r>
        <w:rPr>
          <w:rFonts w:ascii="Times New Roman;serif" w:hAnsi="Times New Roman;serif"/>
          <w:b w:val="false"/>
          <w:color w:val="000000"/>
          <w:sz w:val="22"/>
        </w:rPr>
        <w:t xml:space="preserve">hereof, shall be that </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25780"/>
                <wp:effectExtent l="0" t="0" r="0" b="0"/>
                <wp:wrapNone/>
                <wp:docPr id="75" name="Frame7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the Company shall not be obligated to make any payment to Indemnitee that is finally determined (under the procedures, and subject to the presumptions, set forth in </w:t>
      </w:r>
      <w:r>
        <w:rPr>
          <w:rFonts w:ascii="Times New Roman;serif" w:hAnsi="Times New Roman;serif"/>
          <w:b w:val="false"/>
          <w:color w:val="000000"/>
          <w:sz w:val="22"/>
          <w:u w:val="single"/>
        </w:rPr>
        <w:t>Sections 6</w:t>
      </w:r>
      <w:r>
        <w:rPr>
          <w:color w:val="000000"/>
        </w:rPr>
        <w:t> </w:t>
      </w:r>
      <w:r>
        <w:rPr>
          <w:rFonts w:ascii="Times New Roman;serif" w:hAnsi="Times New Roman;serif"/>
          <w:b w:val="false"/>
          <w:color w:val="000000"/>
          <w:sz w:val="22"/>
        </w:rPr>
        <w:t>and </w:t>
      </w:r>
      <w:r>
        <w:rPr>
          <w:rFonts w:ascii="Times New Roman;serif" w:hAnsi="Times New Roman;serif"/>
          <w:b w:val="false"/>
          <w:color w:val="000000"/>
          <w:sz w:val="22"/>
          <w:u w:val="single"/>
        </w:rPr>
        <w:t>7</w:t>
      </w:r>
      <w:r>
        <w:rPr>
          <w:color w:val="000000"/>
        </w:rPr>
        <w:t> </w:t>
      </w:r>
      <w:r>
        <w:rPr>
          <w:rFonts w:ascii="Times New Roman;serif" w:hAnsi="Times New Roman;serif"/>
          <w:b w:val="false"/>
          <w:color w:val="000000"/>
          <w:sz w:val="22"/>
        </w:rPr>
        <w:t>hereof) to be unlawful.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Contribution</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Whether or not the indemnification provided in </w:t>
      </w:r>
      <w:r>
        <w:rPr>
          <w:rFonts w:ascii="Times New Roman;serif" w:hAnsi="Times New Roman;serif"/>
          <w:b w:val="false"/>
          <w:color w:val="000000"/>
          <w:sz w:val="22"/>
          <w:u w:val="single"/>
        </w:rPr>
        <w:t>Sections 1</w:t>
      </w:r>
      <w:r>
        <w:rPr>
          <w:color w:val="000000"/>
        </w:rPr>
        <w:t> </w:t>
      </w:r>
      <w:r>
        <w:rPr>
          <w:rFonts w:ascii="Times New Roman;serif" w:hAnsi="Times New Roman;serif"/>
          <w:b w:val="false"/>
          <w:color w:val="000000"/>
          <w:sz w:val="22"/>
        </w:rPr>
        <w:t>and </w:t>
      </w:r>
      <w:r>
        <w:rPr>
          <w:rFonts w:ascii="Times New Roman;serif" w:hAnsi="Times New Roman;serif"/>
          <w:b w:val="false"/>
          <w:color w:val="000000"/>
          <w:sz w:val="22"/>
          <w:u w:val="single"/>
        </w:rPr>
        <w:t>2</w:t>
      </w:r>
      <w:r>
        <w:rPr>
          <w:color w:val="000000"/>
        </w:rPr>
        <w:t> </w:t>
      </w:r>
      <w:r>
        <w:rPr>
          <w:rFonts w:ascii="Times New Roman;serif" w:hAnsi="Times New Roman;serif"/>
          <w:b w:val="false"/>
          <w:color w:val="000000"/>
          <w:sz w:val="22"/>
        </w:rPr>
        <w:t>hereof is available, in respect of any threatened, pending or completed action, suit or proceeding in which the Company is jointly liable with Indemnitee (or would be if joined in such action, suit or proceeding), to the fullest extent permitted by applicable law, the Company shall pay, in the first instance, the entire amount of any judgment or settlement of such action, suit or proceeding without requiring Indemnitee to contribute to such payment and the Company hereby waives and relinquishes any right of contribution it may have against Indemnitee. The Company shall not, without the Indemnitee’s prior written consent, enter into any such settlement of any action, suit or proceeding (in whole or in part) unless such settlement (i) provides for a full and final release of all claims asserted against Indemnitee and (ii) does not impose any Expense, judgment, fine, penalty or limitation on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(b)         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to the fullest extent permitted by applicable law,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To the fullest extent permitted by applicable law, the Company hereby agrees to fully indemnify and hold Indemnitee harmless from any claims of contribution which may be brought by officers, directors or employees of the Company, other than Indemnitee, who may be jointly liable with Indemnitee.</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(d)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25780"/>
                <wp:effectExtent l="0" t="0" r="0" b="0"/>
                <wp:wrapNone/>
                <wp:docPr id="76" name="Frame7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fault of the Company (and its directors, officers, employees and agents) and Indemnitee in connection with such event(s) and/or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Indemnification for Expenses of a Witness</w:t>
      </w:r>
      <w:r>
        <w:rPr>
          <w:rFonts w:ascii="Times New Roman;serif" w:hAnsi="Times New Roman;serif"/>
          <w:b w:val="false"/>
          <w:color w:val="000000"/>
          <w:sz w:val="22"/>
        </w:rPr>
        <w:t>. Notwithstanding any other provision of this Agreement, to the fullest extent permitted by applicable law and to the extent that Indemnitee is, by reason of Indemnitee’s Corporate Status, a witness, is made (or asked) to respond to discovery requests, or is otherwise asked to participate, in any Proceeding to which Indemnitee is not a party, Indemnitee shall be indemnified against all Expenses actually and reasonably incurred by Indemnitee or on Indemnitee’s behalf in connection therewith.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Advancement of Expenses</w:t>
      </w:r>
      <w:r>
        <w:rPr>
          <w:rFonts w:ascii="Times New Roman;serif" w:hAnsi="Times New Roman;serif"/>
          <w:b w:val="false"/>
          <w:color w:val="000000"/>
          <w:sz w:val="22"/>
        </w:rPr>
        <w:t>. Notwithstanding any other provision of this Agreement (other than </w:t>
      </w:r>
      <w:r>
        <w:rPr>
          <w:rFonts w:ascii="Times New Roman;serif" w:hAnsi="Times New Roman;serif"/>
          <w:b w:val="false"/>
          <w:color w:val="000000"/>
          <w:sz w:val="22"/>
          <w:u w:val="single"/>
        </w:rPr>
        <w:t>Section 9</w:t>
      </w:r>
      <w:r>
        <w:rPr>
          <w:rFonts w:ascii="Times New Roman;serif" w:hAnsi="Times New Roman;serif"/>
          <w:b w:val="false"/>
          <w:color w:val="000000"/>
          <w:sz w:val="22"/>
        </w:rPr>
        <w:t>), the Company shall advance, to the extent not prohibited by law, all Expenses incurred by or on behalf of Indemnitee in connection with any Proceeding (or part of any Proceeding) not initiated by Indemnitee or any Proceeding initiated by Indemnitee with the prior approval of the Board as provided in </w:t>
      </w:r>
      <w:r>
        <w:rPr>
          <w:rFonts w:ascii="Times New Roman;serif" w:hAnsi="Times New Roman;serif"/>
          <w:b w:val="false"/>
          <w:color w:val="000000"/>
          <w:sz w:val="22"/>
          <w:u w:val="single"/>
        </w:rPr>
        <w:t>Section 9(d)</w:t>
      </w:r>
      <w:r>
        <w:rPr>
          <w:rFonts w:ascii="Times New Roman;serif" w:hAnsi="Times New Roman;serif"/>
          <w:b w:val="false"/>
          <w:color w:val="000000"/>
          <w:sz w:val="22"/>
        </w:rPr>
        <w:t>, within thirty (30)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Any advances pursuant to this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be unsecured and interest free. In accordance with </w:t>
      </w:r>
      <w:r>
        <w:rPr>
          <w:rFonts w:ascii="Times New Roman;serif" w:hAnsi="Times New Roman;serif"/>
          <w:b w:val="false"/>
          <w:color w:val="000000"/>
          <w:sz w:val="22"/>
          <w:u w:val="single"/>
        </w:rPr>
        <w:t>Section 7(d)</w:t>
      </w:r>
      <w:r>
        <w:rPr>
          <w:color w:val="000000"/>
        </w:rPr>
        <w:t> </w:t>
      </w:r>
      <w:r>
        <w:rPr>
          <w:rFonts w:ascii="Times New Roman;serif" w:hAnsi="Times New Roman;serif"/>
          <w:b w:val="false"/>
          <w:color w:val="000000"/>
          <w:sz w:val="22"/>
        </w:rPr>
        <w:t>of this Agreement, advances shall include any and all reasonable Expenses incurred pursuing an action to enforce this right of advancement, including Expenses incurred preparing and forwarding statements to the Company to support the advances claimed. This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shall not apply to claim by Indemnitee for expenses in a matter for which indemnity and advancement of expenses is excluded pursuant to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Procedures and Presumptions for Determination of Entitlement to Indemnification</w:t>
      </w:r>
      <w:r>
        <w:rPr>
          <w:rFonts w:ascii="Times New Roman;serif" w:hAnsi="Times New Roman;serif"/>
          <w:b w:val="false"/>
          <w:color w:val="000000"/>
          <w:sz w:val="22"/>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color w:val="000000"/>
        </w:rPr>
        <w:t> </w:t>
      </w:r>
      <w:r>
        <w:rPr>
          <w:rFonts w:ascii="Times New Roman;serif" w:hAnsi="Times New Roman;serif"/>
          <w:b w:val="false"/>
          <w:color w:val="000000"/>
          <w:sz w:val="22"/>
        </w:rPr>
        <w:t>(b)          Upon written request by Indemnitee for indemnification pursuant to the first sentence of </w:t>
      </w:r>
      <w:r>
        <w:rPr>
          <w:rFonts w:ascii="Times New Roman;serif" w:hAnsi="Times New Roman;serif"/>
          <w:b w:val="false"/>
          <w:color w:val="000000"/>
          <w:sz w:val="22"/>
          <w:u w:val="single"/>
        </w:rPr>
        <w:t>Section 6(a)</w:t>
      </w:r>
      <w:r>
        <w:rPr>
          <w:color w:val="000000"/>
        </w:rPr>
        <w:t> </w:t>
      </w:r>
      <w:r>
        <w:rPr>
          <w:rFonts w:ascii="Times New Roman;serif" w:hAnsi="Times New Roman;serif"/>
          <w:b w:val="false"/>
          <w:color w:val="000000"/>
          <w:sz w:val="22"/>
        </w:rPr>
        <w:t>hereof, a determination with respect to Indemnitee’s entitlement thereto shall be made in the specific case by one of the following four methods, which shall be at the election of the Board: (1) by a majority vote of the Disinterested Directors (as hereinafter defined), even though less than a quorum; (2) by a committee of Disinterested 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Indemnitee; or (4) if so directed by the Board, by the stockholders of the Company;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a Change in Control has occurred, the determination with respect to Indemnitee’s entitlement to indemnification shall be made by Independent Counsel. For purposes hereof, Disinterested Directors are those members of the Board who are not parties to the action, suit or proceeding in respect of which indemnification is sought by Indemnitee.</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25780"/>
                <wp:effectExtent l="0" t="0" r="0" b="0"/>
                <wp:wrapNone/>
                <wp:docPr id="77" name="Frame7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In the event the determination of entitlement to indemnification is to be made by Independent Counsel, the Independent Counsel shall be selected as provided in this </w:t>
      </w:r>
      <w:r>
        <w:rPr>
          <w:rFonts w:ascii="Times New Roman;serif" w:hAnsi="Times New Roman;serif"/>
          <w:b w:val="false"/>
          <w:color w:val="000000"/>
          <w:sz w:val="22"/>
          <w:u w:val="single"/>
        </w:rPr>
        <w:t>Section 6(c)</w:t>
      </w:r>
      <w:r>
        <w:rPr>
          <w:rFonts w:ascii="Times New Roman;serif" w:hAnsi="Times New Roman;serif"/>
          <w:b w:val="false"/>
          <w:color w:val="000000"/>
          <w:sz w:val="22"/>
        </w:rPr>
        <w:t>. If a Change in Control has not occurred, the Independent Counsel shall be selected by the Board, and the Company shall give written notice to the Indemnitee advising Indemnitee of the identity of the Independent Counsel so selected. Indemnitee may, within 10 days after such written notice of selection shall have been given, deliver to the Company a written objection to such selection;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objection may be asserted only on the ground that the Independent Counsel so selected does not meet the requirements of “Independent Counsel” as defined in </w:t>
      </w:r>
      <w:r>
        <w:rPr>
          <w:rFonts w:ascii="Times New Roman;serif" w:hAnsi="Times New Roman;serif"/>
          <w:b w:val="false"/>
          <w:color w:val="000000"/>
          <w:sz w:val="22"/>
          <w:u w:val="single"/>
        </w:rPr>
        <w:t>Section 12</w:t>
      </w:r>
      <w:r>
        <w:rPr>
          <w:color w:val="000000"/>
        </w:rPr>
        <w:t> </w:t>
      </w:r>
      <w:r>
        <w:rPr>
          <w:rFonts w:ascii="Times New Roman;serif" w:hAnsi="Times New Roman;serif"/>
          <w:b w:val="false"/>
          <w:color w:val="000000"/>
          <w:sz w:val="22"/>
        </w:rPr>
        <w:t>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a Change in Control has occurred, the Independent Counsel shall be selected by the Indemnitee (unless the Indemnitee shall request that such selection be made by the Board, in which event the preceding sentence shall apply), and approved by the Board within 20 days after notification by Indemnitee. If (i) an Independent Counsel is to make the determination of entitlement pursuant to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and (ii) within 20 days after submission by Indemnitee of a written request for indemnification pursuant to </w:t>
      </w:r>
      <w:r>
        <w:rPr>
          <w:rFonts w:ascii="Times New Roman;serif" w:hAnsi="Times New Roman;serif"/>
          <w:b w:val="false"/>
          <w:color w:val="000000"/>
          <w:sz w:val="22"/>
          <w:u w:val="single"/>
        </w:rPr>
        <w:t>Section 6(a)</w:t>
      </w:r>
      <w:r>
        <w:rPr>
          <w:color w:val="000000"/>
        </w:rPr>
        <w:t> </w:t>
      </w:r>
      <w:r>
        <w:rPr>
          <w:rFonts w:ascii="Times New Roman;serif" w:hAnsi="Times New Roman;serif"/>
          <w:b w:val="false"/>
          <w:color w:val="000000"/>
          <w:sz w:val="22"/>
        </w:rPr>
        <w:t>hereof, no Independent Counsel shall have been selected (including as a result of an objection to the selected Independent Counsel),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hereof. The Company shall pay any and all reasonable fees and expenses of Independent Counsel incurred by such Independent Counsel in connection with acting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hereof, and the Company shall pay all reasonable fees and expenses incident to the procedures of this </w:t>
      </w:r>
      <w:r>
        <w:rPr>
          <w:rFonts w:ascii="Times New Roman;serif" w:hAnsi="Times New Roman;serif"/>
          <w:b w:val="false"/>
          <w:color w:val="000000"/>
          <w:sz w:val="22"/>
          <w:u w:val="single"/>
        </w:rPr>
        <w:t>Section 6(c)</w:t>
      </w:r>
      <w:r>
        <w:rPr>
          <w:rFonts w:ascii="Times New Roman;serif" w:hAnsi="Times New Roman;serif"/>
          <w:b w:val="false"/>
          <w:color w:val="000000"/>
          <w:sz w:val="22"/>
        </w:rPr>
        <w:t>, regardless of the manner in which such Independent Counsel was selected or appointed.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In making a determination with respect to entitlement to indemnification hereunder, the Person making such determination shall to the fullest extent permitted by law presume that Indemnitee is entitled to indemnification under this Agreement. Anyone seeking to overcome this presumption shall have the burden of proof to overcome such presumption. Neither the failure of the Company (including by its directors or independent legal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rPr>
        <w:t>Indemnitee shall be deemed to have acted in good faith if Indemnitee’s action is based on the records or books of account of the 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serif" w:hAnsi="Times New Roman;serif"/>
          <w:b w:val="false"/>
          <w:color w:val="000000"/>
          <w:sz w:val="22"/>
          <w:u w:val="single"/>
        </w:rPr>
        <w:t>Section 6(e)</w:t>
      </w:r>
      <w:r>
        <w:rPr>
          <w:color w:val="000000"/>
        </w:rPr>
        <w:t> </w:t>
      </w:r>
      <w:r>
        <w:rPr>
          <w:rFonts w:ascii="Times New Roman;serif" w:hAnsi="Times New Roman;serif"/>
          <w:b w:val="false"/>
          <w:color w:val="000000"/>
          <w:sz w:val="22"/>
        </w:rPr>
        <w:t xml:space="preserve">are satisfied, it shall in any event be presumed that Indemnitee has at all times acted in good faith and in a manner Indemnitee reasonably believed to </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25780"/>
                <wp:effectExtent l="0" t="0" r="0" b="0"/>
                <wp:wrapNone/>
                <wp:docPr id="78" name="Frame7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 in or not opposed to the best interests of the Company. Anyone seeking to overcome this presumption shall have the burden of proof and the burden of persuasion by clear and convincing evidence.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(f)</w:t>
      </w:r>
      <w:r>
        <w:rPr>
          <w:color w:val="000000"/>
        </w:rPr>
        <w:t>           </w:t>
      </w:r>
      <w:r>
        <w:rPr>
          <w:rFonts w:ascii="Times New Roman;serif" w:hAnsi="Times New Roman;serif"/>
          <w:b w:val="false"/>
          <w:color w:val="000000"/>
          <w:sz w:val="22"/>
        </w:rPr>
        <w:t>If the Person empowered or selected under this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30-day period may be extended for a reasonable time, not to exceed an additional fifteen (15) days, if the Person making such determination with respect to entitlement to indemnification in good faith requires such additional time to obtain or evaluate documentation and/or information relating thereto; and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further</w:t>
      </w:r>
      <w:r>
        <w:rPr>
          <w:rFonts w:ascii="Times New Roman;serif" w:hAnsi="Times New Roman;serif"/>
          <w:b w:val="false"/>
          <w:color w:val="000000"/>
          <w:sz w:val="22"/>
        </w:rPr>
        <w:t>, that the foregoing provisions of this </w:t>
      </w:r>
      <w:r>
        <w:rPr>
          <w:rFonts w:ascii="Times New Roman;serif" w:hAnsi="Times New Roman;serif"/>
          <w:b w:val="false"/>
          <w:color w:val="000000"/>
          <w:sz w:val="22"/>
          <w:u w:val="single"/>
        </w:rPr>
        <w:t>Section 6(f)</w:t>
      </w:r>
      <w:r>
        <w:rPr>
          <w:color w:val="000000"/>
        </w:rPr>
        <w:t> </w:t>
      </w:r>
      <w:r>
        <w:rPr>
          <w:rFonts w:ascii="Times New Roman;serif" w:hAnsi="Times New Roman;serif"/>
          <w:b w:val="false"/>
          <w:color w:val="000000"/>
          <w:sz w:val="22"/>
        </w:rPr>
        <w:t>shall not apply if the determination of entitlement to indemnification is to be made by the stockholders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and if (A) within fifteen (15) days after receipt by the Company of the request for such determination, the Board or the Disinterested Directors, if appropriate, resolve to submit such determination to the stockholders for their consideration at an annual meeting thereof to be held within seventy-five (75) days after such receipt and such determination is made thereat, or (B) a special meeting of stockholders is called within fifteen (15) days after such receipt for the purpose of making such determination, such meeting is held for such purpose within sixty (60) days after having been so called and such determination is made thereat.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(g)</w:t>
      </w:r>
      <w:r>
        <w:rPr>
          <w:color w:val="000000"/>
        </w:rPr>
        <w:t>         </w:t>
      </w:r>
      <w:r>
        <w:rPr>
          <w:rFonts w:ascii="Times New Roman;serif" w:hAnsi="Times New Roman;serif"/>
          <w:b w:val="false"/>
          <w:color w:val="000000"/>
          <w:sz w:val="22"/>
        </w:rPr>
        <w:t>Indemnitee shall cooperate with the Person making such determination with respect to Indemnitee’s entitlement to indemnification, including providing to such Person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making such determination shall be borne by the Company (irrespective of the determination as to Indemnitee’s entitlement to indemnification) and the Company hereby indemnifies and agrees to hold Indemnitee harmless therefrom.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(h)</w:t>
      </w:r>
      <w:r>
        <w:rPr>
          <w:color w:val="000000"/>
        </w:rPr>
        <w:t>          </w:t>
      </w:r>
      <w:r>
        <w:rPr>
          <w:rFonts w:ascii="Times New Roman;serif" w:hAnsi="Times New Roman;serif"/>
          <w:b w:val="false"/>
          <w:color w:val="000000"/>
          <w:sz w:val="22"/>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to the fullest extent permitted by law be presumed that Indemnitee has been successful on the merits or otherwise in such action, suit or proceeding. Anyone seeking to overcome this presumption shall have the burden of proof and the burden of persuasion by clear and convincing evidence.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pStyle w:val="TextBody"/>
        <w:bidi w:val="0"/>
        <w:spacing w:lineRule="auto" w:line="288" w:before="0" w:after="0"/>
        <w:jc w:val="both"/>
        <w:rPr>
          <w:color w:val="000000"/>
        </w:rPr>
      </w:pPr>
      <w:r>
        <w:rPr>
          <w:color w:val="000000"/>
        </w:rPr>
        <w:t> </w:t>
      </w:r>
    </w:p>
    <w:p>
      <w:pPr>
        <w:pStyle w:val="TextBody"/>
        <w:bidi w:val="0"/>
        <w:spacing w:lineRule="auto" w:line="288"/>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Remedies of Indemnitee</w:t>
      </w:r>
      <w:r>
        <w:rPr>
          <w:rFonts w:ascii="Times New Roman;serif" w:hAnsi="Times New Roman;serif"/>
          <w:b w:val="false"/>
          <w:color w:val="000000"/>
          <w:sz w:val="22"/>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25780"/>
                <wp:effectExtent l="0" t="0" r="0" b="0"/>
                <wp:wrapNone/>
                <wp:docPr id="79" name="Frame7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In the event that (i) a determination is made pursuant to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of this Agreement that Indemnitee is not entitled to indemnification under this Agreement, (ii) advancement of Expenses is not timely made pursuant to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of this Agreement, (iii) no determination of entitlement to indemnification is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within thirty (30) days after receipt by the Company of the request for indemnification or (iv) payment of indemnification is not made within ten (10) days after a determination has been made that Indemnitee is entitled to indemnification or such determination is deemed to have been made pursuant to </w:t>
      </w:r>
      <w:r>
        <w:rPr>
          <w:rFonts w:ascii="Times New Roman;serif" w:hAnsi="Times New Roman;serif"/>
          <w:b w:val="false"/>
          <w:color w:val="000000"/>
          <w:sz w:val="22"/>
          <w:u w:val="single"/>
        </w:rPr>
        <w:t>Section 6</w:t>
      </w:r>
      <w:r>
        <w:rPr>
          <w:color w:val="000000"/>
        </w:rPr>
        <w:t> </w:t>
      </w:r>
      <w:r>
        <w:rPr>
          <w:rFonts w:ascii="Times New Roman;serif" w:hAnsi="Times New Roman;serif"/>
          <w:b w:val="false"/>
          <w:color w:val="000000"/>
          <w:sz w:val="22"/>
        </w:rPr>
        <w:t>of this Agreement, Indemnitee shall be entitled to an adjudication in an appropriate court of the State of Delaware, or in any other court of competent jurisdiction, of Indemnitee’s entitlement to such indemnification, contribution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          In the event that a determination shall have been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that Indemnitee is not entitled to indemnification, any judicial proceeding or arbitration commenced pursuant to this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shall be conducted in all respects as a de novo trial, or arbitration, on the merits, and Indemnitee shall not be prejudiced by reason of the adverse determination under </w:t>
      </w:r>
      <w:r>
        <w:rPr>
          <w:rFonts w:ascii="Times New Roman;serif" w:hAnsi="Times New Roman;serif"/>
          <w:b w:val="false"/>
          <w:color w:val="000000"/>
          <w:sz w:val="22"/>
          <w:u w:val="single"/>
        </w:rPr>
        <w:t>Section 6(b)</w:t>
      </w:r>
      <w:r>
        <w:rPr>
          <w:rFonts w:ascii="Times New Roman;serif" w:hAnsi="Times New Roman;serif"/>
          <w:b w:val="false"/>
          <w:color w:val="000000"/>
          <w:sz w:val="22"/>
        </w:rPr>
        <w:t>. In any judicial proceeding or arbitration commenced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Indemnitee shall be presumed to be entitled to indemnification under this Agreement and the Company shall have the burden of proving Indemnitee is not entitled to indemnification or advancement of Expenses, as the case may be, and the Company may not refer to or introduce into evidence any determination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adverse to Indemnitee for any purpose other than to establish its compliance with the terms of this Agreement. If Indemnitee commences a judicial proceeding or arbitration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Indemnitee shall not be required to reimburse the Company for any advances pursuant to </w:t>
      </w:r>
      <w:r>
        <w:rPr>
          <w:rFonts w:ascii="Times New Roman;serif" w:hAnsi="Times New Roman;serif"/>
          <w:b w:val="false"/>
          <w:color w:val="000000"/>
          <w:sz w:val="22"/>
          <w:u w:val="single"/>
        </w:rPr>
        <w:t>Section 5</w:t>
      </w:r>
      <w:r>
        <w:rPr>
          <w:color w:val="000000"/>
        </w:rPr>
        <w:t> </w:t>
      </w:r>
      <w:r>
        <w:rPr>
          <w:rFonts w:ascii="Times New Roman;serif" w:hAnsi="Times New Roman;serif"/>
          <w:b w:val="false"/>
          <w:color w:val="000000"/>
          <w:sz w:val="22"/>
        </w:rPr>
        <w:t>until a final determination is made with respect to Indemnitee’s entitlement to indemnification (as to which all rights of appeal have been exhausted or lapsed).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If a determination shall have been made pursuant to </w:t>
      </w:r>
      <w:r>
        <w:rPr>
          <w:rFonts w:ascii="Times New Roman;serif" w:hAnsi="Times New Roman;serif"/>
          <w:b w:val="false"/>
          <w:color w:val="000000"/>
          <w:sz w:val="22"/>
          <w:u w:val="single"/>
        </w:rPr>
        <w:t>Section 6(b)</w:t>
      </w:r>
      <w:r>
        <w:rPr>
          <w:color w:val="000000"/>
        </w:rPr>
        <w:t> </w:t>
      </w:r>
      <w:r>
        <w:rPr>
          <w:rFonts w:ascii="Times New Roman;serif" w:hAnsi="Times New Roman;serif"/>
          <w:b w:val="false"/>
          <w:color w:val="000000"/>
          <w:sz w:val="22"/>
        </w:rPr>
        <w:t>of this Agreement that Indemnitee is entitled to indemnification, the Company shall be bound by such determination in any judicial proceeding or arbitration commenced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(d)          In the event that Indemnitee, pursuant to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incurs costs, in a judicial or arbitration proceeding or otherwise, attempting to enforce Indemnitee’s rights under, or to recover damages for breach of, this Agreement, or to recover under any directors’ and officers’ liability insurance policies maintained by the Company, the Company shall pay on Indemnitee’s behalf, in advance, any and all expenses (of the types described in the definition of Expenses in </w:t>
      </w:r>
      <w:r>
        <w:rPr>
          <w:rFonts w:ascii="Times New Roman;serif" w:hAnsi="Times New Roman;serif"/>
          <w:b w:val="false"/>
          <w:color w:val="000000"/>
          <w:sz w:val="22"/>
          <w:u w:val="single"/>
        </w:rPr>
        <w:t>Section 12</w:t>
      </w:r>
      <w:r>
        <w:rPr>
          <w:color w:val="000000"/>
        </w:rPr>
        <w:t> </w:t>
      </w:r>
      <w:r>
        <w:rPr>
          <w:rFonts w:ascii="Times New Roman;serif" w:hAnsi="Times New Roman;serif"/>
          <w:b w:val="false"/>
          <w:color w:val="000000"/>
          <w:sz w:val="22"/>
        </w:rPr>
        <w:t>of this Agreement) actually and reasonably incurred by Indemnitee in such efforts, regardless of whether Indemnitee ultimately is determined to be entitled to such indemnification, advancement of expenses or insurance recovery, to the fullest extent permitted by applicable law. It is the intent of the Company that, to the fullest extent permitted by applicable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(e)          The Company shall, to the fullest extent not prohibited by law, be precluded from asserting in any judicial proceeding or arbitration commenced pursuant to this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 xml:space="preserve">that the procedures and presumptions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25780"/>
                <wp:effectExtent l="0" t="0" r="0" b="0"/>
                <wp:wrapNone/>
                <wp:docPr id="80" name="Frame7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Agreement are not valid, binding and enforceable and shall stipulate in any such court or before any such arbitrator that the Company is bound by all the provisions of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          Notwithstanding anything in this Agreement to the contrary, no determination as to entitlement to indemnification under this Agreement shall be required to be made prior to the final disposition of the Proceeding.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8.            </w:t>
      </w:r>
      <w:r>
        <w:rPr>
          <w:rFonts w:ascii="Times New Roman;serif" w:hAnsi="Times New Roman;serif"/>
          <w:b w:val="false"/>
          <w:color w:val="000000"/>
          <w:sz w:val="22"/>
          <w:u w:val="single"/>
        </w:rPr>
        <w:t>Non-Exclusivity; Survival of Rights; Insurance; Subrogation</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(a)          The rights of indemnification and to receive advancement of Expenses as provided by this Agreement shall not be deemed exclusive of any other rights to which Indemnitee may at any time be entitled under applicable law, the Amended &amp; Restated Certificate of Incorporation of the Company (as amended or restated, the “</w:t>
      </w:r>
      <w:r>
        <w:rPr>
          <w:rFonts w:ascii="Times New Roman;serif" w:hAnsi="Times New Roman;serif"/>
          <w:b w:val="false"/>
          <w:color w:val="000000"/>
          <w:sz w:val="22"/>
          <w:u w:val="single"/>
        </w:rPr>
        <w:t>Charter</w:t>
      </w:r>
      <w:r>
        <w:rPr>
          <w:color w:val="000000"/>
        </w:rPr>
        <w:t>”</w:t>
      </w:r>
      <w:r>
        <w:rPr>
          <w:rFonts w:ascii="Times New Roman;serif" w:hAnsi="Times New Roman;serif"/>
          <w:b w:val="false"/>
          <w:color w:val="000000"/>
          <w:sz w:val="22"/>
        </w:rPr>
        <w:t>),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The Company shall, if commercially reasonable, obtain and maintain in effect during the entire period for which the Company is obligated to indemnify Indemnitee under this Agreement, one or more policies of insurance with reputable insurance companies to provide the directors and officers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officer or director under such policy or policies. In all such insurance policies, Indemnitee shall be named as an insured in such a manner as to provide Indemnitee with the same rights and benefits as are accorded to the most favorably insured of the Company’s directors and officers. At the time of the receipt of a notice of a claim pursuant to the terms hereof,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The Company shall not be liable under this Agreement to make any payment of amounts otherwise indemnifiable (or for which advancement of Expenses is provided) hereunder if and to the extent that Indemnitee has otherwise actually received such payment under any insurance policy, contract, agreement or otherwise.</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(e)           The Company’s obligation to indemnify or advance Expenses hereunder to Indemnitee who is or was serving at the request of the Company as a director, officer, employee or agent of any other corporation,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25780"/>
                <wp:effectExtent l="0" t="0" r="0" b="0"/>
                <wp:wrapNone/>
                <wp:docPr id="81" name="Frame7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Exception to Right of Indemnification</w:t>
      </w:r>
      <w:r>
        <w:rPr>
          <w:rFonts w:ascii="Times New Roman;serif" w:hAnsi="Times New Roman;serif"/>
          <w:b w:val="false"/>
          <w:color w:val="000000"/>
          <w:sz w:val="22"/>
        </w:rPr>
        <w:t>. Notwithstanding any provision in this Agreement, the Company shall not be obligated under this Agreement to make any indemnity or advancement of expenses in connection with any claim made against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          for which payment has actually been made to or on behalf of Indemnitee under any insurance policy or other indemnity provision, except with respect to any excess beyond the amount paid under any insurance policy or other indemnity provision; 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for an accounting of profits made from the purchase and sale (or sale and purchase) by Indemnitee of securities of the Company within the meaning of Section 16(b) of the Exchange Act (as hereinafter defined), or similar provisions of state statutory law or common law; 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for reimbursement to the Company of any bonus or other incentive-based or equity-based compensation or of any profits realized by Indemnitee from the sale of securities of the Company, in each case as required under the Exchange Act (including any such reimbursements that arise from an accounting restatement of the Company pursuant to Section 304 of the Sarbanes-Oxley Act of 2002 (the “</w:t>
      </w:r>
      <w:r>
        <w:rPr>
          <w:rFonts w:ascii="Times New Roman;serif" w:hAnsi="Times New Roman;serif"/>
          <w:b w:val="false"/>
          <w:color w:val="000000"/>
          <w:sz w:val="22"/>
          <w:u w:val="single"/>
        </w:rPr>
        <w:t>Sarbanes-Oxley Act</w:t>
      </w:r>
      <w:r>
        <w:rPr>
          <w:color w:val="000000"/>
        </w:rPr>
        <w:t>”</w:t>
      </w:r>
      <w:r>
        <w:rPr>
          <w:rFonts w:ascii="Times New Roman;serif" w:hAnsi="Times New Roman;serif"/>
          <w:b w:val="false"/>
          <w:color w:val="000000"/>
          <w:sz w:val="22"/>
        </w:rPr>
        <w:t>) or Section 954 of the Dodd-Frank Wall Street Reform and Consumer Protection Act in connection with an accounting restatement of the Company or the payment to the Company of profits arising from the purchase and sale by Indemnitee of securities in violation of Section 306 of the Sarbanes-Oxley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in connection with any Proceeding (or any part of any Proceeding) initiated by Indemnitee, including any Proceeding (or any part of any Proceeding) initiated by Indemnitee against the Company or its directors, officers, employees or other indemnitees, unless (i) the Company has joined in or the Board authorized the Proceeding (or any part of any Proceeding) prior to its initiation, (ii) the Company provides the indemnification, in its sole discretion, pursuant to the powers vested in the Company under applicable law, or (iii) the Proceeding is one to enforce Indemnitee’s rights under this Agreement 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10.</w:t>
      </w:r>
      <w:r>
        <w:rPr>
          <w:color w:val="000000"/>
        </w:rPr>
        <w:t>         </w:t>
      </w:r>
      <w:r>
        <w:rPr>
          <w:rFonts w:ascii="Times New Roman;serif" w:hAnsi="Times New Roman;serif"/>
          <w:b w:val="false"/>
          <w:color w:val="000000"/>
          <w:sz w:val="22"/>
          <w:u w:val="single"/>
        </w:rPr>
        <w:t>Non−Disclosure of Payments</w:t>
      </w:r>
      <w:r>
        <w:rPr>
          <w:rFonts w:ascii="Times New Roman;serif" w:hAnsi="Times New Roman;serif"/>
          <w:b w:val="false"/>
          <w:color w:val="000000"/>
          <w:sz w:val="22"/>
        </w:rPr>
        <w:t>. Except as expressly required by the securities laws of the United States of America, neither party shall disclose any payments under this Agreement unless prior approval of the other party is obtained. If any payment information must be disclosed, the Company shall afford the Indemnitee an opportunity to review all such disclosures and, if requested, to explain in such statement any mitigating circumstances regarding the events to be reported.</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Duration of Agreement</w:t>
      </w:r>
      <w:r>
        <w:rPr>
          <w:rFonts w:ascii="Times New Roman;serif" w:hAnsi="Times New Roman;serif"/>
          <w:b w:val="false"/>
          <w:color w:val="000000"/>
          <w:sz w:val="22"/>
        </w:rPr>
        <w:t xml:space="preserve">. All agreements and obligations of the Company contained herein shall continue until and terminate upon the later of (i) twenty (20) years after the date that Indemnitee shall have ceased to serve as a director or officer of the Company or a director, officer, trustee, partner, managing member, fiduciary, employee or agent of any other corporation, partnership, joint venture, trust, employee benefit plan or other enterprise which Indemnitee served at the request of the Company, and (ii) one (1) year after the final termination of any Proceeding (including any rights of appeal thereto) in respect of which Indemnitee is granted rights of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25780"/>
                <wp:effectExtent l="0" t="0" r="0" b="0"/>
                <wp:wrapNone/>
                <wp:docPr id="82" name="Frame7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indemnification or advancement of Expenses hereunder and of any Proceeding commenced by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relating thereto (including any rights of appeal of any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Proceeding). Termination of this Agreement shall not adversely affect any right or protection hereunder of any Indemnitee in respect of any Proceeding (regardless of when such Proceeding is first threatened, commenced or completed) arising out of, or related to, any act or omission occurring prior to the time of such termination.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12.         </w:t>
      </w:r>
      <w:r>
        <w:rPr>
          <w:rFonts w:ascii="Times New Roman;serif" w:hAnsi="Times New Roman;serif"/>
          <w:b w:val="false"/>
          <w:color w:val="000000"/>
          <w:sz w:val="22"/>
          <w:u w:val="single"/>
        </w:rPr>
        <w:t>Definitions</w:t>
      </w:r>
      <w:r>
        <w:rPr>
          <w:rFonts w:ascii="Times New Roman;serif" w:hAnsi="Times New Roman;serif"/>
          <w:b w:val="false"/>
          <w:color w:val="000000"/>
          <w:sz w:val="22"/>
        </w:rPr>
        <w:t>. For purposes of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(a)          “</w:t>
      </w:r>
      <w:r>
        <w:rPr>
          <w:rFonts w:ascii="Times New Roman;serif" w:hAnsi="Times New Roman;serif"/>
          <w:b w:val="false"/>
          <w:color w:val="000000"/>
          <w:sz w:val="22"/>
          <w:u w:val="single"/>
        </w:rPr>
        <w:t>Beneficial Owner</w:t>
      </w:r>
      <w:r>
        <w:rPr>
          <w:color w:val="000000"/>
        </w:rPr>
        <w:t xml:space="preserve">” </w:t>
      </w:r>
      <w:r>
        <w:rPr>
          <w:rFonts w:ascii="Times New Roman;serif" w:hAnsi="Times New Roman;serif"/>
          <w:b w:val="false"/>
          <w:color w:val="000000"/>
          <w:sz w:val="22"/>
        </w:rPr>
        <w:t>shall have the meaning given to such term in Rule 13d-3 under the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Beneficial Owner shall exclude any Person otherwise becoming a Beneficial Owner by reason of the stockholders of the Company approving a merger of the Company with another entity.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(b)          “</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shall be deemed to occur upon the earliest to occur after the date of this Agreement of any of the following events: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  </w:t>
      </w:r>
      <w:r>
        <w:rPr>
          <w:rFonts w:ascii="Times New Roman;serif" w:hAnsi="Times New Roman;serif"/>
          <w:b w:val="false"/>
          <w:i/>
          <w:color w:val="000000"/>
          <w:sz w:val="22"/>
        </w:rPr>
        <w:t>Acquisition of Stock by Third Party</w:t>
      </w:r>
      <w:r>
        <w:rPr>
          <w:rFonts w:ascii="Times New Roman;serif" w:hAnsi="Times New Roman;serif"/>
          <w:b w:val="false"/>
          <w:color w:val="000000"/>
          <w:sz w:val="22"/>
        </w:rPr>
        <w:t>. Any Person (as defined below), other than Apax Partners, L.P. and its affiliates or Welsh, Carson, Anderson &amp; Stowe and its affiliates, and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above), directly or indirectly, of securities of the Company representing more than 50% of the combined voting power of the Company’s then outstanding securities, unless the change in relative Beneficial Ownership of the Company’s securities by any Person results solely from a reduction in the aggregate number of outstanding securities entitled to vote generally in the election of directors;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(ii)  </w:t>
      </w:r>
      <w:r>
        <w:rPr>
          <w:rFonts w:ascii="Times New Roman;serif" w:hAnsi="Times New Roman;serif"/>
          <w:b w:val="false"/>
          <w:i/>
          <w:color w:val="000000"/>
          <w:sz w:val="22"/>
        </w:rPr>
        <w:t>Change in Board of Directors</w:t>
      </w:r>
      <w:r>
        <w:rPr>
          <w:rFonts w:ascii="Times New Roman;serif" w:hAnsi="Times New Roman;serif"/>
          <w:b w:val="false"/>
          <w:color w:val="000000"/>
          <w:sz w:val="22"/>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w:t>
      </w:r>
      <w:r>
        <w:rPr>
          <w:rFonts w:ascii="Times New Roman;serif" w:hAnsi="Times New Roman;serif"/>
          <w:b w:val="false"/>
          <w:color w:val="000000"/>
          <w:sz w:val="22"/>
          <w:u w:val="single"/>
        </w:rPr>
        <w:t>Section 12(b)(i)</w:t>
      </w:r>
      <w:r>
        <w:rPr>
          <w:rFonts w:ascii="Times New Roman;serif" w:hAnsi="Times New Roman;serif"/>
          <w:b w:val="false"/>
          <w:color w:val="000000"/>
          <w:sz w:val="22"/>
        </w:rPr>
        <w:t>, </w:t>
      </w:r>
      <w:r>
        <w:rPr>
          <w:rFonts w:ascii="Times New Roman;serif" w:hAnsi="Times New Roman;serif"/>
          <w:b w:val="false"/>
          <w:color w:val="000000"/>
          <w:sz w:val="22"/>
          <w:u w:val="single"/>
        </w:rPr>
        <w:t>12(b)(iii)</w:t>
      </w:r>
      <w:r>
        <w:rPr>
          <w:color w:val="000000"/>
        </w:rPr>
        <w:t> </w:t>
      </w:r>
      <w:r>
        <w:rPr>
          <w:rFonts w:ascii="Times New Roman;serif" w:hAnsi="Times New Roman;serif"/>
          <w:b w:val="false"/>
          <w:color w:val="000000"/>
          <w:sz w:val="22"/>
        </w:rPr>
        <w:t>or </w:t>
      </w:r>
      <w:r>
        <w:rPr>
          <w:rFonts w:ascii="Times New Roman;serif" w:hAnsi="Times New Roman;serif"/>
          <w:b w:val="false"/>
          <w:color w:val="000000"/>
          <w:sz w:val="22"/>
          <w:u w:val="single"/>
        </w:rPr>
        <w:t>12(b)(iv)</w:t>
      </w:r>
      <w:r>
        <w:rPr>
          <w:rFonts w:ascii="Times New Roman;serif" w:hAnsi="Times New Roman;serif"/>
          <w:b w:val="false"/>
          <w:color w:val="000000"/>
          <w:sz w:val="22"/>
        </w:rPr>
        <w:t>)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(iii)  </w:t>
      </w:r>
      <w:r>
        <w:rPr>
          <w:rFonts w:ascii="Times New Roman;serif" w:hAnsi="Times New Roman;serif"/>
          <w:b w:val="false"/>
          <w:i/>
          <w:color w:val="000000"/>
          <w:sz w:val="22"/>
        </w:rPr>
        <w:t>Corporate Transactions</w:t>
      </w:r>
      <w:r>
        <w:rPr>
          <w:rFonts w:ascii="Times New Roman;serif" w:hAnsi="Times New Roman;serif"/>
          <w:b w:val="false"/>
          <w:color w:val="000000"/>
          <w:sz w:val="22"/>
        </w:rPr>
        <w:t xml:space="preserve">. The effective date of a merger or consolidation of the Company with any other entity, other than a merger or consolidation which would result in the voting securities of the Company outstanding immediately prior to such merger or </w:t>
      </w:r>
      <w:r>
        <w:rPr>
          <w:rFonts w:ascii="Times New Roman;serif" w:hAnsi="Times New Roman;serif"/>
          <w:b w:val="false"/>
          <w:color w:val="000000"/>
          <w:sz w:val="22"/>
          <w:u w:val="single"/>
        </w:rPr>
        <w:t>consolidation</w:t>
      </w:r>
      <w:r>
        <w:rPr>
          <w:color w:val="000000"/>
        </w:rPr>
        <w:t xml:space="preserve"> </w:t>
      </w:r>
      <w:r>
        <w:rPr>
          <w:rFonts w:ascii="Times New Roman;serif" w:hAnsi="Times New Roman;serif"/>
          <w:b w:val="false"/>
          <w:color w:val="000000"/>
          <w:sz w:val="22"/>
        </w:rPr>
        <w:t>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2"/>
        </w:rPr>
        <w:t>(iv) </w:t>
      </w:r>
      <w:r>
        <w:rPr>
          <w:rFonts w:ascii="Times New Roman;serif" w:hAnsi="Times New Roman;serif"/>
          <w:b w:val="false"/>
          <w:i/>
          <w:color w:val="000000"/>
          <w:sz w:val="22"/>
        </w:rPr>
        <w:t>Liquidation.</w:t>
      </w:r>
      <w:r>
        <w:rPr>
          <w:color w:val="000000"/>
        </w:rPr>
        <w:t> </w:t>
      </w:r>
      <w:r>
        <w:rPr>
          <w:rFonts w:ascii="Times New Roman;serif" w:hAnsi="Times New Roman;serif"/>
          <w:b w:val="false"/>
          <w:color w:val="000000"/>
          <w:sz w:val="22"/>
        </w:rPr>
        <w:t xml:space="preserve">The approval by </w:t>
      </w:r>
      <w:r>
        <w:rPr>
          <w:rFonts w:ascii="Times New Roman;serif" w:hAnsi="Times New Roman;serif"/>
          <w:b w:val="false"/>
          <w:color w:val="000000"/>
          <w:sz w:val="22"/>
          <w:u w:val="single"/>
        </w:rPr>
        <w:t>the</w:t>
      </w:r>
      <w:r>
        <w:rPr>
          <w:color w:val="000000"/>
        </w:rPr>
        <w:t xml:space="preserve"> </w:t>
      </w:r>
      <w:r>
        <w:rPr>
          <w:rFonts w:ascii="Times New Roman;serif" w:hAnsi="Times New Roman;serif"/>
          <w:b w:val="false"/>
          <w:color w:val="000000"/>
          <w:sz w:val="22"/>
        </w:rPr>
        <w:t xml:space="preserve">stockholders of the Company of a complete liquidation of the Company or an agreement or series of agreements for the sale or disposition by the Company of all or </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25780"/>
                <wp:effectExtent l="0" t="0" r="0" b="0"/>
                <wp:wrapNone/>
                <wp:docPr id="83" name="Frame7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substantially all of the Company’s assets, or, if such approval is not required, the decision by the Board to proceed with such a liquidation, sale, or disposition in one transaction or a series of related transactions.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(c)         “</w:t>
      </w:r>
      <w:r>
        <w:rPr>
          <w:rFonts w:ascii="Times New Roman;serif" w:hAnsi="Times New Roman;serif"/>
          <w:b w:val="false"/>
          <w:color w:val="000000"/>
          <w:sz w:val="22"/>
          <w:u w:val="single"/>
        </w:rPr>
        <w:t>Corporate Status</w:t>
      </w:r>
      <w:r>
        <w:rPr>
          <w:color w:val="000000"/>
        </w:rPr>
        <w:t xml:space="preserve">” </w:t>
      </w:r>
      <w:r>
        <w:rPr>
          <w:rFonts w:ascii="Times New Roman;serif" w:hAnsi="Times New Roman;serif"/>
          <w:b w:val="false"/>
          <w:color w:val="000000"/>
          <w:sz w:val="22"/>
        </w:rPr>
        <w:t>describes the status of a person who is or was a director, officer, employee, agent or fiduciary of the Company, any direct or indirect subsidiary of the Company, or of any other corporation, partnership, joint venture, trust, employee benefit plan or other enterprise that such person is or was serving at the express written request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(d)          “</w:t>
      </w:r>
      <w:r>
        <w:rPr>
          <w:rFonts w:ascii="Times New Roman;serif" w:hAnsi="Times New Roman;serif"/>
          <w:b w:val="false"/>
          <w:color w:val="000000"/>
          <w:sz w:val="22"/>
          <w:u w:val="single"/>
        </w:rPr>
        <w:t>Disinterested Director</w:t>
      </w:r>
      <w:r>
        <w:rPr>
          <w:color w:val="000000"/>
        </w:rPr>
        <w:t xml:space="preserve">” </w:t>
      </w:r>
      <w:r>
        <w:rPr>
          <w:rFonts w:ascii="Times New Roman;serif" w:hAnsi="Times New Roman;serif"/>
          <w:b w:val="false"/>
          <w:color w:val="000000"/>
          <w:sz w:val="22"/>
        </w:rPr>
        <w:t>means a director of the Company who is not and was not a party to the Proceeding in respect of which indemnification is sought by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(e)         “</w:t>
      </w:r>
      <w:r>
        <w:rPr>
          <w:rFonts w:ascii="Times New Roman;serif" w:hAnsi="Times New Roman;serif"/>
          <w:b w:val="false"/>
          <w:color w:val="000000"/>
          <w:sz w:val="22"/>
          <w:u w:val="single"/>
        </w:rPr>
        <w:t>Enterprise</w:t>
      </w:r>
      <w:r>
        <w:rPr>
          <w:color w:val="000000"/>
        </w:rPr>
        <w:t xml:space="preserve">” </w:t>
      </w:r>
      <w:r>
        <w:rPr>
          <w:rFonts w:ascii="Times New Roman;serif" w:hAnsi="Times New Roman;serif"/>
          <w:b w:val="false"/>
          <w:color w:val="000000"/>
          <w:sz w:val="22"/>
        </w:rPr>
        <w:t>shall mean the Company and any other corporation, partnership, joint venture, trust, employee benefit plan or other enterprise that Indemnitee is or was serving at the request of the Company as a director, officer, trustee, partner, managing member, employee, agent or fiduciary.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Exchange Act</w:t>
      </w:r>
      <w:r>
        <w:rPr>
          <w:color w:val="000000"/>
        </w:rPr>
        <w:t xml:space="preserve">” </w:t>
      </w:r>
      <w:r>
        <w:rPr>
          <w:rFonts w:ascii="Times New Roman;serif" w:hAnsi="Times New Roman;serif"/>
          <w:b w:val="false"/>
          <w:color w:val="000000"/>
          <w:sz w:val="22"/>
        </w:rPr>
        <w:t>shall mean the Securities Exchange Act of 1934, as amended.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(g)         “</w:t>
      </w:r>
      <w:r>
        <w:rPr>
          <w:rFonts w:ascii="Times New Roman;serif" w:hAnsi="Times New Roman;serif"/>
          <w:b w:val="false"/>
          <w:color w:val="000000"/>
          <w:sz w:val="22"/>
          <w:u w:val="single"/>
        </w:rPr>
        <w:t>Expenses</w:t>
      </w:r>
      <w:r>
        <w:rPr>
          <w:color w:val="000000"/>
        </w:rPr>
        <w:t xml:space="preserve">” </w:t>
      </w:r>
      <w:r>
        <w:rPr>
          <w:rFonts w:ascii="Times New Roman;serif" w:hAnsi="Times New Roman;serif"/>
          <w:b w:val="false"/>
          <w:color w:val="000000"/>
          <w:sz w:val="22"/>
        </w:rPr>
        <w:t>shall include all reasonable attorneys’ fees, retainers, court costs, transcript costs, fees of experts and other professionals, witness fees,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Indemnitee as a result of the actual or deemed receipt of any payments under this Agreement,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(h)          “</w:t>
      </w:r>
      <w:r>
        <w:rPr>
          <w:rFonts w:ascii="Times New Roman;serif" w:hAnsi="Times New Roman;serif"/>
          <w:b w:val="false"/>
          <w:color w:val="000000"/>
          <w:sz w:val="22"/>
          <w:u w:val="single"/>
        </w:rPr>
        <w:t>Independent Counsel</w:t>
      </w:r>
      <w:r>
        <w:rPr>
          <w:color w:val="000000"/>
        </w:rPr>
        <w:t xml:space="preserve">” </w:t>
      </w:r>
      <w:r>
        <w:rPr>
          <w:rFonts w:ascii="Times New Roman;serif" w:hAnsi="Times New Roman;serif"/>
          <w:b w:val="false"/>
          <w:color w:val="000000"/>
          <w:sz w:val="22"/>
        </w:rPr>
        <w:t>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disbursements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(i)           “</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shall have the meaning as set forth in Sections 13(d) and 14(d) of the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w:t>
      </w:r>
      <w:r>
        <w:rPr>
          <w:rFonts w:ascii="Times New Roman;serif" w:hAnsi="Times New Roman;serif"/>
          <w:b w:val="false"/>
          <w:color w:val="000000"/>
          <w:sz w:val="22"/>
          <w:u w:val="single"/>
        </w:rPr>
        <w:t>however</w:t>
      </w:r>
      <w:r>
        <w:rPr>
          <w:rFonts w:ascii="Times New Roman;serif" w:hAnsi="Times New Roman;serif"/>
          <w:b w:val="false"/>
          <w:color w:val="000000"/>
          <w:sz w:val="22"/>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25780"/>
                <wp:effectExtent l="0" t="0" r="0" b="0"/>
                <wp:wrapNone/>
                <wp:docPr id="84" name="Frame8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(j)           “</w:t>
      </w:r>
      <w:r>
        <w:rPr>
          <w:rFonts w:ascii="Times New Roman;serif" w:hAnsi="Times New Roman;serif"/>
          <w:b w:val="false"/>
          <w:color w:val="000000"/>
          <w:sz w:val="22"/>
          <w:u w:val="single"/>
        </w:rPr>
        <w:t>Proceeding</w:t>
      </w:r>
      <w:r>
        <w:rPr>
          <w:color w:val="000000"/>
        </w:rPr>
        <w:t xml:space="preserve">” </w:t>
      </w:r>
      <w:r>
        <w:rPr>
          <w:rFonts w:ascii="Times New Roman;serif" w:hAnsi="Times New Roman;serif"/>
          <w:b w:val="false"/>
          <w:color w:val="000000"/>
          <w:sz w:val="22"/>
        </w:rPr>
        <w:t>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the fact that Indemnitee is or was an officer or director of the Company, by reason of any action taken by Indemnitee or of any inaction on Indemnitee’s part while acting as an officer or director of the Company, or by reason of the fact that Indemnitee is or was serving at the request of the Company as a director, officer, employee, agent or fiduciary of another corporation, partnership, joint venture, trust or other enterprise;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to enforce Indemnitee’s rights under this Agreement.</w:t>
      </w:r>
    </w:p>
    <w:p>
      <w:pPr>
        <w:pStyle w:val="TextBody"/>
        <w:bidi w:val="0"/>
        <w:spacing w:lineRule="auto" w:line="288" w:before="0" w:after="0"/>
        <w:ind w:left="0" w:right="0" w:firstLine="216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13.         </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provision or provisions of this Agreement shall be held to be invalid, illegal or unenforceable for any reason whatsoever: (i)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fullest extent necessary to conform to applicable law and to give the maximum effect to the intent of the parties hereto; and (iii)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and Nominating Member indemnification rights to the fullest extent permitted by applicable laws.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14.         </w:t>
      </w:r>
      <w:r>
        <w:rPr>
          <w:rFonts w:ascii="Times New Roman;serif" w:hAnsi="Times New Roman;serif"/>
          <w:b w:val="false"/>
          <w:color w:val="000000"/>
          <w:sz w:val="22"/>
          <w:u w:val="single"/>
        </w:rPr>
        <w:t>Enforcement and Binding Effect</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(a)          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(b)          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(c)          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Indemnitee’s spouse, assigns, heirs, devisees, executors and administrators and other legal representatives.</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 xml:space="preserve">(d)          The Company shall require and cause any successor (whether direct or indirect by purchase, merger, consolidation or otherwise) to all or substantially all of the business and/or assets of the Company to expressly </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5780"/>
                <wp:effectExtent l="0" t="0" r="0" b="0"/>
                <wp:wrapNone/>
                <wp:docPr id="85" name="Frame8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assume and agree to perform this Agreement in the same manner and to the same extent that the Company would be required to perform if no such succession had taken place.</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ind w:left="0" w:right="0" w:hanging="90"/>
        <w:jc w:val="both"/>
        <w:rPr>
          <w:rFonts w:ascii="Times New Roman;serif" w:hAnsi="Times New Roman;serif"/>
          <w:b w:val="false"/>
          <w:color w:val="000000"/>
          <w:sz w:val="22"/>
        </w:rPr>
      </w:pPr>
      <w:r>
        <w:rPr>
          <w:rFonts w:ascii="Times New Roman;serif" w:hAnsi="Times New Roman;serif"/>
          <w:b w:val="false"/>
          <w:color w:val="000000"/>
          <w:sz w:val="22"/>
        </w:rPr>
        <w:t>(e)          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ind w:left="0" w:right="0" w:hanging="90"/>
        <w:jc w:val="both"/>
        <w:rPr/>
      </w:pPr>
      <w:r>
        <w:rPr>
          <w:color w:val="000000"/>
        </w:rPr>
        <w:t> </w:t>
      </w:r>
      <w:r>
        <w:rPr>
          <w:rFonts w:ascii="Times New Roman;serif" w:hAnsi="Times New Roman;serif"/>
          <w:b w:val="false"/>
          <w:color w:val="000000"/>
          <w:sz w:val="22"/>
        </w:rPr>
        <w:t>15.         </w:t>
      </w:r>
      <w:r>
        <w:rPr>
          <w:rFonts w:ascii="Times New Roman;serif" w:hAnsi="Times New Roman;serif"/>
          <w:b w:val="false"/>
          <w:color w:val="000000"/>
          <w:sz w:val="22"/>
          <w:u w:val="single"/>
        </w:rPr>
        <w:t>Modification and Waiver</w:t>
      </w:r>
      <w:r>
        <w:rPr>
          <w:rFonts w:ascii="Times New Roman;serif" w:hAnsi="Times New Roman;serif"/>
          <w:b w:val="false"/>
          <w:color w:val="000000"/>
          <w:sz w:val="22"/>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ind w:left="0" w:right="0" w:hanging="90"/>
        <w:jc w:val="both"/>
        <w:rPr/>
      </w:pPr>
      <w:r>
        <w:rPr>
          <w:rFonts w:ascii="Times New Roman;serif" w:hAnsi="Times New Roman;serif"/>
          <w:b w:val="false"/>
          <w:color w:val="000000"/>
          <w:sz w:val="22"/>
        </w:rPr>
        <w:t>16.          </w:t>
      </w:r>
      <w:r>
        <w:rPr>
          <w:rFonts w:ascii="Times New Roman;serif" w:hAnsi="Times New Roman;serif"/>
          <w:b w:val="false"/>
          <w:color w:val="000000"/>
          <w:sz w:val="22"/>
          <w:u w:val="single"/>
        </w:rPr>
        <w:t>Notice By Indemnitee</w:t>
      </w:r>
      <w:r>
        <w:rPr>
          <w:rFonts w:ascii="Times New Roman;serif" w:hAnsi="Times New Roman;serif"/>
          <w:b w:val="false"/>
          <w:color w:val="000000"/>
          <w:sz w:val="22"/>
        </w:rPr>
        <w:t>. Indemnitee agrees promptly to notify the Company in writing upon being served with or otherwise receiving any summons, citation, subpoena, complaint, indictment, information or other document relating to any Proceeding or matter which may be subject to indemnification or advancement of Expenses covered hereunder. The failure to so notify the Company shall not relieve the Company of any obligation which it may have to Indemnitee under this Agreement or otherwise unless and only to the extent that such failure or delay materially prejudices the Company.</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17.         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and other communications given or made pursuant to this Agreement shall be in writing and shall be deemed effectively given: (i) upon personal delivery to the party to be notified, (ii) when sent by confirmed electronic mail or facsimile if sent during normal business hours of the recipient, and if not so confirmed, then on the next business day, (iii) five (5) days after having been sent by registered or certified mail, return receipt requested, postage prepaid, or (iv) one (1) day after deposit with a nationally recognized overnight courier, specifying next day delivery, with written verification of receipt. All communications shall be sent:</w:t>
      </w:r>
    </w:p>
    <w:p>
      <w:pPr>
        <w:pStyle w:val="TextBody"/>
        <w:bidi w:val="0"/>
        <w:spacing w:lineRule="auto" w:line="288" w:before="0" w:after="0"/>
        <w:ind w:left="0" w:right="0" w:hanging="9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To Indemnitee at the address set forth below Indemnitee’s signature hereto.</w:t>
      </w:r>
    </w:p>
    <w:p>
      <w:pPr>
        <w:pStyle w:val="TextBody"/>
        <w:bidi w:val="0"/>
        <w:spacing w:lineRule="auto" w:line="288" w:before="0" w:after="0"/>
        <w:jc w:val="both"/>
        <w:rPr>
          <w:color w:val="000000"/>
        </w:rPr>
      </w:pPr>
      <w:r>
        <w:rPr>
          <w:color w:val="000000"/>
        </w:rPr>
        <w:t> </w:t>
      </w:r>
    </w:p>
    <w:tbl>
      <w:tblPr>
        <w:tblW w:w="2726"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588"/>
        <w:gridCol w:w="588"/>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To the Company at:</w:t>
            </w:r>
          </w:p>
        </w:tc>
      </w:tr>
    </w:tbl>
    <w:p>
      <w:pPr>
        <w:pStyle w:val="TextBody"/>
        <w:bidi w:val="0"/>
        <w:spacing w:lineRule="auto" w:line="288" w:before="0" w:after="0"/>
        <w:ind w:left="0" w:right="0" w:firstLine="216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InnovAge Holding Corp.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8950 E. Lowry Boulevard</w:t>
        <w:br/>
        <w:t>Denver, Colorado 80230</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Chief Legal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 to such other address as may have been furnished to Indemnitee by the Company or to the Company by Indemnitee, as the case may be.</w:t>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5780"/>
                <wp:effectExtent l="0" t="0" r="0" b="0"/>
                <wp:wrapNone/>
                <wp:docPr id="86" name="Frame8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18.         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19.         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of the paragraphs of this Agreement are inserted for convenience only and shall not be deemed to constitute part of this Agreement or to affect the construction thereof.</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20.         </w:t>
      </w:r>
      <w:r>
        <w:rPr>
          <w:rFonts w:ascii="Times New Roman;serif" w:hAnsi="Times New Roman;serif"/>
          <w:b w:val="false"/>
          <w:color w:val="000000"/>
          <w:sz w:val="22"/>
          <w:u w:val="single"/>
        </w:rPr>
        <w:t>Usage of Pronouns</w:t>
      </w:r>
      <w:r>
        <w:rPr>
          <w:rFonts w:ascii="Times New Roman;serif" w:hAnsi="Times New Roman;serif"/>
          <w:b w:val="false"/>
          <w:color w:val="000000"/>
          <w:sz w:val="22"/>
        </w:rPr>
        <w:t>. Use of the masculine pronoun shall be deemed to include usage of the feminine pronoun where appropriate.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21.         </w:t>
      </w:r>
      <w:r>
        <w:rPr>
          <w:rFonts w:ascii="Times New Roman;serif" w:hAnsi="Times New Roman;serif"/>
          <w:b w:val="false"/>
          <w:color w:val="000000"/>
          <w:sz w:val="22"/>
          <w:u w:val="single"/>
        </w:rPr>
        <w:t>Governing Law and Consent to Jurisdiction.</w:t>
      </w:r>
      <w:r>
        <w:rPr>
          <w:color w:val="000000"/>
        </w:rPr>
        <w:t> </w:t>
      </w:r>
      <w:r>
        <w:rPr>
          <w:rFonts w:ascii="Times New Roman;serif" w:hAnsi="Times New Roman;serif"/>
          <w:b w:val="false"/>
          <w:color w:val="000000"/>
          <w:sz w:val="22"/>
        </w:rPr>
        <w:t>This Agreement and the legal relations among the parties shall be governed by, and construed and enforced in accordance with, the laws of the State of Delaware, without regard to its conflict-of-laws rules. Except with respect to any arbitration commenced by Indemnitee pursuant to </w:t>
      </w:r>
      <w:r>
        <w:rPr>
          <w:rFonts w:ascii="Times New Roman;serif" w:hAnsi="Times New Roman;serif"/>
          <w:b w:val="false"/>
          <w:color w:val="000000"/>
          <w:sz w:val="22"/>
          <w:u w:val="single"/>
        </w:rPr>
        <w:t>Section 7</w:t>
      </w:r>
      <w:r>
        <w:rPr>
          <w:color w:val="000000"/>
        </w:rPr>
        <w:t> </w:t>
      </w:r>
      <w:r>
        <w:rPr>
          <w:rFonts w:ascii="Times New Roman;serif" w:hAnsi="Times New Roman;serif"/>
          <w:b w:val="false"/>
          <w:color w:val="000000"/>
          <w:sz w:val="22"/>
        </w:rPr>
        <w:t>of this Agreement, the Company and Indemnitee hereby irrevocably and unconditionally (i) agree that any action or proceeding arising out of or in connection with this Agreement shall be brought only in the Chancery Court of the State of Delaware (the “</w:t>
      </w:r>
      <w:r>
        <w:rPr>
          <w:rFonts w:ascii="Times New Roman;serif" w:hAnsi="Times New Roman;serif"/>
          <w:b w:val="false"/>
          <w:color w:val="000000"/>
          <w:sz w:val="22"/>
          <w:u w:val="single"/>
        </w:rPr>
        <w:t>Delaware Court</w:t>
      </w:r>
      <w:r>
        <w:rPr>
          <w:color w:val="000000"/>
        </w:rPr>
        <w:t>”</w:t>
      </w:r>
      <w:r>
        <w:rPr>
          <w:rFonts w:ascii="Times New Roman;serif" w:hAnsi="Times New Roman;serif"/>
          <w:b w:val="false"/>
          <w:color w:val="000000"/>
          <w:sz w:val="22"/>
        </w:rPr>
        <w:t>), and not in any other state or federal court in the United States of America or any court in any other country, (ii) consent to submit to the exclusive jurisdiction of the Delaware Court for purposes of any action or proceeding arising out of or in connection with this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5780"/>
                <wp:effectExtent l="0" t="0" r="0" b="0"/>
                <wp:wrapNone/>
                <wp:docPr id="87" name="Frame8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2"/>
        </w:rPr>
        <w:t>IN WITNESS WHEREOF</w:t>
      </w:r>
      <w:r>
        <w:rPr>
          <w:rFonts w:ascii="Times New Roman;serif" w:hAnsi="Times New Roman;serif"/>
          <w:b w:val="false"/>
          <w:color w:val="000000"/>
          <w:sz w:val="22"/>
        </w:rPr>
        <w:t>, the parties hereto have executed this Agreement on and as of the day and year first written above.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 to Indemnification Agreement</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5780"/>
                <wp:effectExtent l="0" t="0" r="0" b="0"/>
                <wp:wrapNone/>
                <wp:docPr id="88" name="Frame8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5780"/>
                <wp:effectExtent l="0" t="0" r="0" b="0"/>
                <wp:wrapNone/>
                <wp:docPr id="89" name="Frame8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TCO GROUP HOLDINGS, L.P.</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CLASS B UNIT AWARD AGREEMENT</w:t>
      </w:r>
    </w:p>
    <w:p>
      <w:pPr>
        <w:pStyle w:val="TextBody"/>
        <w:bidi w:val="0"/>
        <w:spacing w:before="0" w:after="0"/>
        <w:jc w:val="center"/>
        <w:rPr/>
      </w:pPr>
      <w:r>
        <w:rPr/>
      </w:r>
    </w:p>
    <w:p>
      <w:pPr>
        <w:pStyle w:val="TextBody"/>
        <w:bidi w:val="0"/>
        <w:spacing w:lineRule="auto" w:line="288" w:before="0" w:after="240"/>
        <w:ind w:left="0" w:right="0" w:firstLine="360"/>
        <w:jc w:val="both"/>
        <w:rPr/>
      </w:pPr>
      <w:r>
        <w:rPr>
          <w:rFonts w:ascii="Times New Roman;serif" w:hAnsi="Times New Roman;serif"/>
          <w:b w:val="false"/>
          <w:color w:val="000000"/>
          <w:sz w:val="24"/>
        </w:rPr>
        <w:t>THIS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evidences an award of Class B Units granted pursuant to the TCO Group Holdings, L.P. Equity Incentive Plan (as from time to time amended and in effect,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on September 5, 2025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and is entered into between TCO Group Holdings, L.P., a Delaware limited partnership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 and the undersigned Participant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All capitalized terms that are used but not defined in this Agreement (including </w:t>
      </w:r>
      <w:r>
        <w:rPr>
          <w:rFonts w:ascii="Times New Roman;serif" w:hAnsi="Times New Roman;serif"/>
          <w:b w:val="false"/>
          <w:color w:val="000000"/>
          <w:sz w:val="24"/>
          <w:u w:val="single"/>
        </w:rPr>
        <w:t>Appendix A</w:t>
      </w:r>
      <w:r>
        <w:rPr>
          <w:color w:val="000000"/>
        </w:rPr>
        <w:t xml:space="preserve"> </w:t>
      </w:r>
      <w:r>
        <w:rPr>
          <w:rFonts w:ascii="Times New Roman;serif" w:hAnsi="Times New Roman;serif"/>
          <w:b w:val="false"/>
          <w:color w:val="000000"/>
          <w:sz w:val="24"/>
        </w:rPr>
        <w:t>attached hereto) have the meanings ascribed to them in the Plan.</w:t>
      </w:r>
    </w:p>
    <w:p>
      <w:pPr>
        <w:pStyle w:val="TextBody"/>
        <w:bidi w:val="0"/>
        <w:spacing w:lineRule="auto" w:line="288"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w:t>
      </w:r>
      <w:r>
        <w:rPr>
          <w:rFonts w:ascii="Times New Roman;serif" w:hAnsi="Times New Roman;serif"/>
          <w:b w:val="false"/>
          <w:color w:val="000000"/>
          <w:sz w:val="24"/>
        </w:rPr>
        <w:t>. Subject to the terms and conditions set forth in this Agreement, the Plan and the LP Agreement, the Partnership hereby grants to the Participant on the Grant Date 366,602 Class B Units, each with a Hurdle Amount of $3.68 (this “</w:t>
      </w:r>
      <w:r>
        <w:rPr>
          <w:rFonts w:ascii="Times New Roman;serif" w:hAnsi="Times New Roman;serif"/>
          <w:b w:val="false"/>
          <w:color w:val="000000"/>
          <w:sz w:val="24"/>
          <w:u w:val="single"/>
        </w:rPr>
        <w:t>Award</w:t>
      </w:r>
      <w:r>
        <w:rPr>
          <w:color w:val="000000"/>
        </w:rPr>
        <w:t>”</w:t>
      </w:r>
      <w:r>
        <w:rPr>
          <w:rFonts w:ascii="Times New Roman;serif" w:hAnsi="Times New Roman;serif"/>
          <w:b w:val="false"/>
          <w:color w:val="000000"/>
          <w:sz w:val="24"/>
        </w:rPr>
        <w:t>). It is intended that this Award qualify as a “profits interest” for U.S. federal income tax purposes and this Agreement will be interpreted in accordance with that intent. Notwithstanding anything to the contrary in this Agreement, if the Participant does not commence employment with the Company (as defined below) or its Subsidiaries as Chief Administrative Officer on or before October 30, 2025, this Agreement and the Award shall automatically terminate and be forfeited and cancelled without consideration, and the Participant shall have no rights under this Agreement.</w:t>
      </w:r>
    </w:p>
    <w:p>
      <w:pPr>
        <w:pStyle w:val="TextBody"/>
        <w:bidi w:val="0"/>
        <w:spacing w:lineRule="auto" w:line="288"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w:t>
      </w:r>
      <w:r>
        <w:rPr>
          <w:color w:val="000000"/>
        </w:rPr>
        <w:t xml:space="preserve"> </w:t>
      </w:r>
      <w:r>
        <w:rPr>
          <w:rFonts w:ascii="Times New Roman;serif" w:hAnsi="Times New Roman;serif"/>
          <w:b w:val="false"/>
          <w:color w:val="000000"/>
          <w:sz w:val="24"/>
        </w:rPr>
        <w:t>For purposes of this Agreement, the Class B Units subject to this Award that are or become vested, in each case, in accordance with the provisions of this Agreement, are referred to as “</w:t>
      </w:r>
      <w:r>
        <w:rPr>
          <w:rFonts w:ascii="Times New Roman;serif" w:hAnsi="Times New Roman;serif"/>
          <w:b w:val="false"/>
          <w:color w:val="000000"/>
          <w:sz w:val="24"/>
          <w:u w:val="single"/>
        </w:rPr>
        <w:t>Vested</w:t>
      </w:r>
      <w:r>
        <w:rPr>
          <w:color w:val="000000"/>
        </w:rPr>
        <w:t xml:space="preserve">” </w:t>
      </w:r>
      <w:r>
        <w:rPr>
          <w:rFonts w:ascii="Times New Roman;serif" w:hAnsi="Times New Roman;serif"/>
          <w:b w:val="false"/>
          <w:color w:val="000000"/>
          <w:sz w:val="24"/>
        </w:rPr>
        <w:t>and the Class B Units subject to this Award that have not become vested in accordance with the provisions of this Agreement are referred to as “</w:t>
      </w:r>
      <w:r>
        <w:rPr>
          <w:rFonts w:ascii="Times New Roman;serif" w:hAnsi="Times New Roman;serif"/>
          <w:b w:val="false"/>
          <w:color w:val="000000"/>
          <w:sz w:val="24"/>
          <w:u w:val="single"/>
        </w:rPr>
        <w:t>Unvested</w:t>
      </w:r>
      <w:r>
        <w:rPr>
          <w:color w:val="000000"/>
        </w:rPr>
        <w:t>”</w:t>
      </w:r>
      <w:r>
        <w:rPr>
          <w:rFonts w:ascii="Times New Roman;serif" w:hAnsi="Times New Roman;serif"/>
          <w:b w:val="false"/>
          <w:color w:val="000000"/>
          <w:sz w:val="24"/>
        </w:rPr>
        <w:t xml:space="preserve">. Class B Units subject to this Award shall vest under this Agreement in accordance with the terms of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hereto if, and only if, the Participant remains in Service on the applicable vesting date(s). </w:t>
      </w:r>
    </w:p>
    <w:p>
      <w:pPr>
        <w:pStyle w:val="TextBody"/>
        <w:bidi w:val="0"/>
        <w:spacing w:lineRule="auto" w:line="288" w:before="0" w:after="240"/>
        <w:ind w:left="0" w:right="0" w:hanging="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Cessation of Service; Forfeiture</w:t>
      </w:r>
      <w:r>
        <w:rPr>
          <w:rFonts w:ascii="Times New Roman;serif" w:hAnsi="Times New Roman;serif"/>
          <w:b w:val="false"/>
          <w:color w:val="000000"/>
          <w:sz w:val="24"/>
        </w:rPr>
        <w:t xml:space="preserve">. </w:t>
      </w:r>
    </w:p>
    <w:p>
      <w:pPr>
        <w:pStyle w:val="TextBody"/>
        <w:bidi w:val="0"/>
        <w:spacing w:lineRule="auto" w:line="288" w:before="0" w:after="240"/>
        <w:ind w:left="0" w:right="0" w:firstLine="108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 General</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3(b)</w:t>
      </w:r>
      <w:r>
        <w:rPr>
          <w:color w:val="000000"/>
        </w:rPr>
        <w:t xml:space="preserve"> </w:t>
      </w:r>
      <w:r>
        <w:rPr>
          <w:rFonts w:ascii="Times New Roman;serif" w:hAnsi="Times New Roman;serif"/>
          <w:b w:val="false"/>
          <w:color w:val="000000"/>
          <w:sz w:val="24"/>
        </w:rPr>
        <w:t xml:space="preserve">below, if the Participant’s Service ceases for any reason, (i) no additional portion of this Award will become Vested at or after the time of such cessation of Service, (ii) the portion of this Award that is then Unvested will be immediately and automatically forfeited for no consideration payable to the Participant, and (iii) except as provided in this Agreement, the Vested portion of this Award will remain outstanding and subject to the terms and conditions of the Plan, this Agreement and the LP Agreement, including the repurchase provisions set forth in Section 10.1 and Section 10.4 of the LP Agreement. Following the cessation of the Participant’s Service for any reason, the Participant’s retention of the Vested portion of this Award will in all cases be conditioned upon the Participant (or, if applicable, the Participant’s estate or beneficiary) signing and returning to the Partnership (without revoking) a timely and effective general release of claims in a form provided by the Partnership by the deadline specified therein, which in all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85445"/>
                <wp:effectExtent l="0" t="0" r="0" b="0"/>
                <wp:wrapNone/>
                <wp:docPr id="90" name="Frame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events shall become effective and irrevocable not later than the sixtieth (60</w:t>
      </w:r>
      <w:r>
        <w:rPr>
          <w:rFonts w:ascii="Times New Roman;serif" w:hAnsi="Times New Roman;serif"/>
          <w:b w:val="false"/>
          <w:color w:val="000000"/>
          <w:sz w:val="16"/>
        </w:rPr>
        <w:t>th</w:t>
      </w:r>
      <w:r>
        <w:rPr>
          <w:rFonts w:ascii="Times New Roman;serif" w:hAnsi="Times New Roman;serif"/>
          <w:b w:val="false"/>
          <w:color w:val="000000"/>
          <w:sz w:val="24"/>
        </w:rPr>
        <w:t>) calendar day following the date the Participant’s Service ceases.</w:t>
      </w:r>
    </w:p>
    <w:p>
      <w:pPr>
        <w:pStyle w:val="TextBody"/>
        <w:bidi w:val="0"/>
        <w:spacing w:lineRule="auto" w:line="288" w:before="0" w:after="240"/>
        <w:ind w:left="0" w:right="0" w:firstLine="108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Cause; Breach of Restrictive Covenants</w:t>
      </w:r>
      <w:r>
        <w:rPr>
          <w:rFonts w:ascii="Times New Roman;serif" w:hAnsi="Times New Roman;serif"/>
          <w:b w:val="false"/>
          <w:color w:val="000000"/>
          <w:sz w:val="24"/>
        </w:rPr>
        <w:t xml:space="preserve">. Notwithstanding anything in </w:t>
      </w:r>
      <w:r>
        <w:rPr>
          <w:rFonts w:ascii="Times New Roman;serif" w:hAnsi="Times New Roman;serif"/>
          <w:b w:val="false"/>
          <w:color w:val="000000"/>
          <w:sz w:val="24"/>
          <w:u w:val="single"/>
        </w:rPr>
        <w:t>Section 3(a)</w:t>
      </w:r>
      <w:r>
        <w:rPr>
          <w:color w:val="000000"/>
        </w:rPr>
        <w:t xml:space="preserve"> </w:t>
      </w:r>
      <w:r>
        <w:rPr>
          <w:rFonts w:ascii="Times New Roman;serif" w:hAnsi="Times New Roman;serif"/>
          <w:b w:val="false"/>
          <w:color w:val="000000"/>
          <w:sz w:val="24"/>
        </w:rPr>
        <w:t>to the contrary, in the event that the Participant’s Service is terminated for Cause (to be defined in the Employment Agreement between Total Community Options, Inc., d/b/a InnovAge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the Participant, dated on or after the date hereof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xml:space="preserve">)) (or at a time when the Administrator determines the Partnership or any of its Affiliates could have terminated the Participant’s Service for Cause) or the Participant breaches any Restrictive Covenant (as defined below), all Class B Units subject to this Award (whether Vested or Unvested) will be immediately forfeited for no consideration payable to the Participant. </w:t>
      </w:r>
    </w:p>
    <w:p>
      <w:pPr>
        <w:pStyle w:val="TextBody"/>
        <w:bidi w:val="0"/>
        <w:spacing w:lineRule="auto" w:line="288"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 The Participant acknowledges and agrees that the Participant will execute, no later than the date hereof, and shall be bound by, the restrictive covenants set forth in the Employment Agreement, in addition to any confidentiality, non-competition, non-solicitation, no-hire, non-disparagement, invention assignment, cooperation or other similar obligations of the Participant to the Partnership or any of its Affiliates (such obligations, collectively,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 xml:space="preserve">), which Restrictive Covenants shall survive any termination, expiration, forfeiture, transfer or other disposition of this Award in accordance with its terms. In addition to any remedies that may be available to the Partnership or any of its Affiliates, the Administrator may cause this Award (whether or not Vested) to be forfeited and the proceeds from the any disposition and/or distributions or other amounts received in respect of this Award to be disgorged to the Partnership, with interest and related earnings, if at any time the Participant is not in compliance with all of the provisions of the Restrictive Covenants. </w:t>
      </w:r>
    </w:p>
    <w:p>
      <w:pPr>
        <w:pStyle w:val="TextBody"/>
        <w:bidi w:val="0"/>
        <w:spacing w:lineRule="auto" w:line="288"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lineRule="auto" w:line="288"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Agreement shall be binding upon and inure to the benefit of the Partnership and the Participant and their respective heirs, executors, administrators, legal representatives, successors and assigns.</w:t>
      </w:r>
    </w:p>
    <w:p>
      <w:pPr>
        <w:pStyle w:val="TextBody"/>
        <w:bidi w:val="0"/>
        <w:spacing w:lineRule="auto" w:line="288"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 Rights to Service</w:t>
      </w:r>
      <w:r>
        <w:rPr>
          <w:rFonts w:ascii="Times New Roman;serif" w:hAnsi="Times New Roman;serif"/>
          <w:b w:val="false"/>
          <w:color w:val="000000"/>
          <w:sz w:val="24"/>
        </w:rPr>
        <w:t>. Nothing contained in this Agreement shall be construed as giving the Participant any right to be retained, in any position, as an employee or other service provider of the Partnership or any of its Affiliates.</w:t>
      </w:r>
    </w:p>
    <w:p>
      <w:pPr>
        <w:pStyle w:val="TextBody"/>
        <w:bidi w:val="0"/>
        <w:spacing w:lineRule="auto" w:line="288"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Election under Section 83(b)</w:t>
      </w:r>
      <w:r>
        <w:rPr>
          <w:rFonts w:ascii="Times New Roman;serif" w:hAnsi="Times New Roman;serif"/>
          <w:b w:val="false"/>
          <w:color w:val="000000"/>
          <w:sz w:val="24"/>
        </w:rPr>
        <w:t xml:space="preserve">. The Participant shall execute and deliver to the Partnership with a copy of the Election Pursuant to Section 83(b) of the Code, substantially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The Election Pursuant to Section 83(b) of the Code shall be filed by the Participant with the appropriate Internal Revenue Service office not later than thirty (30) days after the Grant Date. The Participant should consult the Participant’s tax advisor to determine if there is a comparable election to file in the state of the Participant’s residence and </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1" name="Frame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whether such filing is desirable under the circumstances. The Participant acknowledges that it is the sole responsibility of the Participant, and not the Partnership (or its Affiliates or Partnership Representative), to file the election under Section 83(b) of the Code even if the Participant requests that the Partnership (or its Affiliates or Partnership Representative) assist the Participant in making such filing.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Administrator will make such provision for the withholding of taxes and other legally required withholdings as it deems necessary under applicable law or as required under the LP Agreement. Except to the extent the Administrator permits the Participant to pay by other means, the Participant shall remit cash in an amount sufficient to satisfy any such taxes or withholdings at such time as is directed by the Partnership. By signing this Agreement, the Participant authorizes the Partnership and its Affiliates to withhold any taxes and other legally required withholdings that it determines are required from any other compensation paid or payable to the Participant by the Partnership or any of its Affiliates. Any amounts withheld by the Partnership or any of its Affiliates will be treated as if they were directly paid to the Participant.</w:t>
      </w:r>
    </w:p>
    <w:p>
      <w:pPr>
        <w:pStyle w:val="TextBody"/>
        <w:bidi w:val="0"/>
        <w:spacing w:lineRule="auto" w:line="288"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Consultation with Counsel</w:t>
      </w:r>
      <w:r>
        <w:rPr>
          <w:rFonts w:ascii="Times New Roman;serif" w:hAnsi="Times New Roman;serif"/>
          <w:b w:val="false"/>
          <w:color w:val="000000"/>
          <w:sz w:val="24"/>
        </w:rPr>
        <w:t>. The Participant hereby acknowledges and represents that the Participant has had the opportunity to consult with independent legal counsel regarding the Participant’s rights and obligations under this Agreement and that the Participant fully understands the terms and conditions contained herein.</w:t>
      </w:r>
    </w:p>
    <w:p>
      <w:pPr>
        <w:pStyle w:val="TextBody"/>
        <w:bidi w:val="0"/>
        <w:spacing w:lineRule="auto" w:line="288"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All notices required or permitted hereunder shall be in writing and deemed effectively given upon personal delivery or upon deposit in the United States Post Office, by registered or certified mail, postage prepaid, addressed to the other party hereto at the address shown beneath their or its respective signature to this Agreement, or at such other address or addresses as either party shall designate to the other in accordance with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Unit Certificate Restrictive Legends</w:t>
      </w:r>
      <w:r>
        <w:rPr>
          <w:rFonts w:ascii="Times New Roman;serif" w:hAnsi="Times New Roman;serif"/>
          <w:b w:val="false"/>
          <w:color w:val="000000"/>
          <w:sz w:val="24"/>
        </w:rPr>
        <w:t>. Certificated Class B Units evidencing this Award, to the extent such certificates are issued, may bear such restrictive legends as the Partnership and/or the Partnership’s counsel may deem necessary or advisable under applicable law or pursuant to this Agreement, including, without limitation, the following legends:</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THE UNITS OR OTHER INTERESTS REPRESENTED BY THIS CERTIFICATE WERE ORIGINALLY ISSUED ON SEPTEMBER 5, 2025, HAVE NOT BEEN REGISTERED UNDER THE SECURITIES ACT OF 1933, AS AMENDED (THE “ACT”), OR APPLICABLE STATE SECURITIES LAWS (“STATE ACTS”) AND MAY NOT BE SOLD OR TRANSFERRED IN THE ABSENCE OF AN EFFECTIVE REGISTRATION STATEMENT UNDER THE ACT OR STATE ACTS OR AN EXEMPTION FROM REGISTRATION THEREUNDER. THE TRANSFER OF THE UNITS REPRESENTED BY THIS CERTIFICATE IS SUBJECT TO THE CONDITIONS SPECIFIED IN THE PARTNERSHIP’S SECOND AMENDED AND RESTATED LIMITED PARTNERSHIP AGREEMENT, DATED AS OF MARCH 3, 2021 AS IT MAY BE AMENDED FROM TIME TO TIME, GOVERNING THE ISSUER (THE “PARTNERSHIP”) AND BY AND AMONG THE MEMBERS. A COPY OF SUCH AGREEMENT SHALL BE FURNISHED BY THE PARTNERSHIP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2" name="Frame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THE HOLDER HEREOF UPON WRITTEN REQUEST AND WITHOUT CHARGE.”</w:t>
      </w:r>
    </w:p>
    <w:p>
      <w:pPr>
        <w:pStyle w:val="TextBody"/>
        <w:bidi w:val="0"/>
        <w:spacing w:lineRule="auto" w:line="288"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Entire Agreement; Amendment</w:t>
      </w:r>
      <w:r>
        <w:rPr>
          <w:rFonts w:ascii="Times New Roman;serif" w:hAnsi="Times New Roman;serif"/>
          <w:b w:val="false"/>
          <w:color w:val="000000"/>
          <w:sz w:val="24"/>
        </w:rPr>
        <w:t xml:space="preserve">. This Agreement, the Plan and the LP Agreement constitute the entire agreement between the parties, and supersede all prior and contemporaneous agreements and understandings, relating to the subject matter of this Agreement. This Agreement may be amended in accordance with the Plan. </w:t>
      </w:r>
    </w:p>
    <w:p>
      <w:pPr>
        <w:pStyle w:val="TextBody"/>
        <w:bidi w:val="0"/>
        <w:spacing w:lineRule="auto" w:line="288"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construed, interpreted and enforced in accordance with the laws of the State of Delaware, without regard to otherwise governing principles of conflicts of laws. In the event of any alleged breach or threatened breach of this Agreement, the parties hereby consent and submit to the jurisdiction of the federal and state courts in and of the State of Delaware and to service of legal process in the State of Delaware.</w:t>
      </w:r>
    </w:p>
    <w:p>
      <w:pPr>
        <w:pStyle w:val="TextBody"/>
        <w:bidi w:val="0"/>
        <w:spacing w:lineRule="auto" w:line="288"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Power of Attorney</w:t>
      </w:r>
      <w:r>
        <w:rPr>
          <w:rFonts w:ascii="Times New Roman;serif" w:hAnsi="Times New Roman;serif"/>
          <w:b w:val="false"/>
          <w:color w:val="000000"/>
          <w:sz w:val="24"/>
        </w:rPr>
        <w:t xml:space="preserve">. The Participant hereby irrevocably constitutes and appoints each of the Partnership and any of its officers with full power of substitution, acting jointly or severally, as its attorney-in-fact and agent to sign, execute and deliver, in its name and on its behalf, all or any such agreement, deeds, instruments, documents and/or any counterpart thereof or certificates or to take any such action as it deems necessary from time to time or as is required under any applicable law to admit the Participant as a member of the Partnership or to conduct the affairs of the Partnership, including (without limitation) the power and authority to sign, execute and deliver (or attach signature pages to) (i) the LP Agreement; (ii) any amendment to the LP Agreement adopted in accordance with its terms; and (iii) all documentation associated with the repurchase of any Class B Units pursuant to Section 10 of the LP Agreement. This power of attorney is given to secure the obligations of the Participant hereunder and deemed coupled with an interest of the Partnership and is irrevocable. The Participant shall, as a condition to the issuance of this Award hereunder, execute and deliver to the Partnership a signature page to the LP Agreement, agreeing to be bound by the terms thereof as a “Management Investor” thereunder with respect to the Class B Units subject to this Award. </w:t>
      </w:r>
    </w:p>
    <w:p>
      <w:pPr>
        <w:pStyle w:val="TextBody"/>
        <w:bidi w:val="0"/>
        <w:spacing w:lineRule="auto" w:line="288"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Certain Distributions</w:t>
      </w:r>
      <w:r>
        <w:rPr>
          <w:rFonts w:ascii="Times New Roman;serif" w:hAnsi="Times New Roman;serif"/>
          <w:b w:val="false"/>
          <w:color w:val="000000"/>
          <w:sz w:val="24"/>
        </w:rPr>
        <w:t xml:space="preserve">. The provisions set forth in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 xml:space="preserve">are intended to support the treatment of the Class B Units issued pursuant to this Agreement as “profits interests” within the meaning of Revenue Procedures 93-27 and 2001-43; for the avoidance of doubt, the provisions set forth in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are in limitation of the distribution provisions of the LP Agreement and nothing herein shall expand the right to, or increase the amount of, any distributions to be made to the Class B Units. Notwithstanding anything to the contrary, the Class B Units issued pursuant to this Agreement shall represent an interest in future appreciation of the Partnership, and the Administrator shall have the unilateral ability to make necessary adjustments to such Class B Units and/or to limit distributions made in respect of such Class B Units to support the treatment of the Class B Units issued pursuant to this Agreement as “profits interests” within the meaning of Revenue Procedures 93-27 and 2001-43.</w:t>
      </w:r>
    </w:p>
    <w:p>
      <w:pPr>
        <w:pStyle w:val="TextBody"/>
        <w:bidi w:val="0"/>
        <w:spacing w:lineRule="auto" w:line="288"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Further Representations and Acknowledgements of the Participant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Participant hereby represents that the Participant has read the Plan and the LP Agreement and is familiar with their respective terms. The Participant hereby acknowledges that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3" name="Frame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Participant has carefully read this Agreement and agrees, on behalf of the Participant and on behalf of the Participant’s beneficiaries, estate and permitted assigns, to be bound by all of the provisions set forth herein and that the Class B Units subject to this Award are subject to all of the terms and provisions of this Agreement, the Plan and the LP Agreement.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Participant acknowledges that nothing in this Agreement (including exhibits hereto) alters the nature of Service with Partnership or any Affiliate of the Partnership, except that from and after the date hereof, the Participant shall be treated as a partner in the Partnership for U.S. federal income tax purposes. The Participant acknowledges having been afforded a reasonable opportunity to consult with financial or legal advisors regarding the consequences of Participant’s acceptance of the grant on the terms and conditions set forth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Participant hereby represents and warrants to the Partnership that the Participant either (i) is not a married individual or (ii) has caused the Participant’s spouse to execute and deliver to the Partnership the Spousal Consent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If the spouse of the Participant fails to execute the Spousal Consent, such Participant’s Class B Units shall be subject to forfeiture without consideration upon written notice from the Partnership.</w:t>
      </w:r>
    </w:p>
    <w:p>
      <w:pPr>
        <w:pStyle w:val="TextBody"/>
        <w:bidi w:val="0"/>
        <w:spacing w:lineRule="auto" w:line="288"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any of which may be executed and transmitted by facsimile or electronic means (including “pdf”), and each of which will be deemed to be an original, but all of which together will be deemed to be one and the same instrument.</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4"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val="false"/>
          <w:color w:val="000000"/>
          <w:sz w:val="24"/>
        </w:rPr>
        <w:t>IN WITNESS WHEREOF, the parties hereto have executed this Agreement as of the day and year first above written.</w:t>
      </w:r>
    </w:p>
    <w:p>
      <w:pPr>
        <w:pStyle w:val="TextBody"/>
        <w:bidi w:val="0"/>
        <w:spacing w:before="0" w:after="240"/>
        <w:jc w:val="left"/>
        <w:rPr/>
      </w:pPr>
      <w:r>
        <w:rPr/>
      </w:r>
    </w:p>
    <w:tbl>
      <w:tblPr>
        <w:tblW w:w="5505" w:type="dxa"/>
        <w:jc w:val="left"/>
        <w:tblInd w:w="0" w:type="dxa"/>
        <w:tblLayout w:type="fixed"/>
        <w:tblCellMar>
          <w:top w:w="28" w:type="dxa"/>
          <w:left w:w="28" w:type="dxa"/>
          <w:bottom w:w="28" w:type="dxa"/>
          <w:right w:w="28" w:type="dxa"/>
        </w:tblCellMar>
      </w:tblPr>
      <w:tblGrid>
        <w:gridCol w:w="1764"/>
        <w:gridCol w:w="1550"/>
        <w:gridCol w:w="2191"/>
      </w:tblGrid>
      <w:tr>
        <w:trPr/>
        <w:tc>
          <w:tcPr>
            <w:tcW w:w="1764"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TCO Group Holdings, L.P.</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TCO Group Holdings, GP, LLC, its General Partner</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Andrew Cavanna            </w:t>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Andrew Cavanna</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Meredith Delk</w:t>
            </w:r>
          </w:p>
        </w:tc>
      </w:tr>
    </w:tbl>
    <w:p>
      <w:pPr>
        <w:pStyle w:val="TextBody"/>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w:t>
        <w:br/>
        <w:t>Meredith Delk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A</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VESTING SCHEDULE</w:t>
      </w:r>
    </w:p>
    <w:p>
      <w:pPr>
        <w:pStyle w:val="TextBody"/>
        <w:bidi w:val="0"/>
        <w:spacing w:lineRule="auto" w:line="288" w:before="0" w:after="120"/>
        <w:ind w:left="0" w:right="0" w:firstLine="720"/>
        <w:jc w:val="left"/>
        <w:rPr/>
      </w:pPr>
      <w:r>
        <w:rPr>
          <w:rFonts w:ascii="Times New Roman;serif" w:hAnsi="Times New Roman;serif"/>
          <w:b w:val="false"/>
          <w:color w:val="000000"/>
          <w:sz w:val="24"/>
        </w:rPr>
        <w:t xml:space="preserve">The Class B Units shall become Vested in accordance with the vesting schedule set forth on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xml:space="preserve">. All capitalized terms used in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xml:space="preserve">, unless separately defined herein, have the meanings set forth in the Agreement to which this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is attached or, if not defined in such Agreement, in the Plan. </w:t>
      </w:r>
    </w:p>
    <w:p>
      <w:pPr>
        <w:pStyle w:val="TextBody"/>
        <w:bidi w:val="0"/>
        <w:spacing w:before="0" w:after="120"/>
        <w:ind w:left="0" w:right="0" w:firstLine="720"/>
        <w:jc w:val="left"/>
        <w:rPr/>
      </w:pPr>
      <w:r>
        <w:rPr/>
      </w:r>
    </w:p>
    <w:p>
      <w:pPr>
        <w:pStyle w:val="TextBody"/>
        <w:bidi w:val="0"/>
        <w:spacing w:lineRule="auto" w:line="288"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Time-Based Units</w:t>
      </w:r>
      <w:r>
        <w:rPr>
          <w:rFonts w:ascii="Times New Roman;serif" w:hAnsi="Times New Roman;serif"/>
          <w:b w:val="false"/>
          <w:color w:val="000000"/>
          <w:sz w:val="24"/>
        </w:rPr>
        <w:t>. One-third (33.33%) of the Class B Units subject to this Award (the “</w:t>
      </w:r>
      <w:r>
        <w:rPr>
          <w:rFonts w:ascii="Times New Roman;serif" w:hAnsi="Times New Roman;serif"/>
          <w:b w:val="false"/>
          <w:color w:val="000000"/>
          <w:sz w:val="24"/>
          <w:u w:val="single"/>
        </w:rPr>
        <w:t>Time-Based Units</w:t>
      </w:r>
      <w:r>
        <w:rPr>
          <w:color w:val="000000"/>
        </w:rPr>
        <w:t>”</w:t>
      </w:r>
      <w:r>
        <w:rPr>
          <w:rFonts w:ascii="Times New Roman;serif" w:hAnsi="Times New Roman;serif"/>
          <w:b w:val="false"/>
          <w:color w:val="000000"/>
          <w:sz w:val="24"/>
        </w:rPr>
        <w:t xml:space="preserve">) shall be eligible to vest over a period of three years from the Vesting Commencement Date as follows, in each case,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Participant remains in continuous Service through the applicable vesting date and, in each case, rounded down to the nearest whole Class B Unit, with any fractional Class B Units carried over to the next vesting date:</w:t>
      </w:r>
    </w:p>
    <w:tbl>
      <w:tblPr>
        <w:tblW w:w="10003" w:type="dxa"/>
        <w:jc w:val="left"/>
        <w:tblInd w:w="0" w:type="dxa"/>
        <w:tblLayout w:type="fixed"/>
        <w:tblCellMar>
          <w:top w:w="28" w:type="dxa"/>
          <w:left w:w="28" w:type="dxa"/>
          <w:bottom w:w="28" w:type="dxa"/>
          <w:right w:w="28" w:type="dxa"/>
        </w:tblCellMar>
      </w:tblPr>
      <w:tblGrid>
        <w:gridCol w:w="755"/>
        <w:gridCol w:w="663"/>
        <w:gridCol w:w="666"/>
        <w:gridCol w:w="689"/>
        <w:gridCol w:w="689"/>
        <w:gridCol w:w="691"/>
        <w:gridCol w:w="1712"/>
        <w:gridCol w:w="1712"/>
        <w:gridCol w:w="2426"/>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Percentage of </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Time-Vesting Units</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Cumulative</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 xml:space="preserve">Percentage of </w:t>
            </w:r>
          </w:p>
          <w:p>
            <w:pPr>
              <w:pStyle w:val="TableContents"/>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Time-Vesting Units</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Time Vesting Schedule</w:t>
            </w:r>
          </w:p>
        </w:tc>
      </w:tr>
      <w:tr>
        <w:trPr/>
        <w:tc>
          <w:tcPr>
            <w:tcW w:w="20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20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58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One-year anniversary of the Vesting Commencement Date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33.33%</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66.66%</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Two-year anniversary of the Vesting Commencement Date</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33.34%</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c>
          <w:tcPr>
            <w:tcW w:w="5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Three-year anniversary of the Vesting Commencement Date</w:t>
            </w:r>
          </w:p>
        </w:tc>
      </w:tr>
    </w:tbl>
    <w:p>
      <w:pPr>
        <w:pStyle w:val="TextBody"/>
        <w:bidi w:val="0"/>
        <w:spacing w:before="0" w:after="120"/>
        <w:jc w:val="left"/>
        <w:rPr/>
      </w:pPr>
      <w:r>
        <w:rPr/>
      </w:r>
    </w:p>
    <w:p>
      <w:pPr>
        <w:pStyle w:val="TextBody"/>
        <w:bidi w:val="0"/>
        <w:spacing w:lineRule="auto" w:line="288" w:before="0" w:after="240"/>
        <w:jc w:val="both"/>
        <w:rPr/>
      </w:pPr>
      <w:r>
        <w:rPr>
          <w:rFonts w:ascii="Times New Roman;serif" w:hAnsi="Times New Roman;serif"/>
          <w:b w:val="false"/>
          <w:color w:val="000000"/>
          <w:sz w:val="24"/>
        </w:rPr>
        <w:t xml:space="preserve">For purposes 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w:t>
      </w:r>
      <w:r>
        <w:rPr>
          <w:rFonts w:ascii="Times New Roman;serif" w:hAnsi="Times New Roman;serif"/>
          <w:b w:val="false"/>
          <w:color w:val="000000"/>
          <w:sz w:val="24"/>
          <w:u w:val="single"/>
        </w:rPr>
        <w:t>Vesting Commencement Date</w:t>
      </w:r>
      <w:r>
        <w:rPr>
          <w:color w:val="000000"/>
        </w:rPr>
        <w:t xml:space="preserve">” </w:t>
      </w:r>
      <w:r>
        <w:rPr>
          <w:rFonts w:ascii="Times New Roman;serif" w:hAnsi="Times New Roman;serif"/>
          <w:b w:val="false"/>
          <w:color w:val="000000"/>
          <w:sz w:val="24"/>
        </w:rPr>
        <w:t>means the date on which the Participant commences employment with the Company or its Subsidiaries as Chief Administrative Officer.</w:t>
      </w:r>
    </w:p>
    <w:p>
      <w:pPr>
        <w:pStyle w:val="TextBody"/>
        <w:bidi w:val="0"/>
        <w:spacing w:lineRule="auto" w:line="288" w:before="0" w:after="240"/>
        <w:jc w:val="both"/>
        <w:rPr/>
      </w:pPr>
      <w:r>
        <w:rPr>
          <w:rFonts w:ascii="Times New Roman;serif" w:hAnsi="Times New Roman;serif"/>
          <w:b w:val="false"/>
          <w:color w:val="000000"/>
          <w:sz w:val="24"/>
        </w:rPr>
        <w:t>Notwithstanding the foregoing, in the event that the Participant’s Service is terminated without Cause or due to the Participant’s death or Disability, or if the Participant resigns for Good Reason (each, as defined in the Employment Agreement) (in each case pursuant to the terms of the Employment Agreement) prior to the one-year anniversary of the Vesting Commencement Date (the date of such termination, the “</w:t>
      </w:r>
      <w:r>
        <w:rPr>
          <w:rFonts w:ascii="Times New Roman;serif" w:hAnsi="Times New Roman;serif"/>
          <w:b w:val="false"/>
          <w:color w:val="000000"/>
          <w:sz w:val="24"/>
          <w:u w:val="single"/>
        </w:rPr>
        <w:t>Year 1 Termination Date</w:t>
      </w:r>
      <w:r>
        <w:rPr>
          <w:color w:val="000000"/>
        </w:rPr>
        <w:t>”</w:t>
      </w:r>
      <w:r>
        <w:rPr>
          <w:rFonts w:ascii="Times New Roman;serif" w:hAnsi="Times New Roman;serif"/>
          <w:b w:val="false"/>
          <w:color w:val="000000"/>
          <w:sz w:val="24"/>
        </w:rPr>
        <w:t>), the percentage of the Time-Based Units that shall vest will be equal to the product of (I) (A) the number of calendar days between the Vesting Commencement Date and the Year 1 Termination Date, divided by (B) 365, and (II) 33.33%, rounded down to the nearest whole Class B Unit.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 Change of Control, all Time-Based Units that are then outstanding and Unvested shall automatically become Vested upon the consummation of such Change of Control, subject to the Participant’s continued Service through such Change of Control. If a Time-Based Unit would not be entitled to receive any distributions at the time of a Change of Control if all the assets of the Partnership were then sold at Fair Market Value and then the proceeds were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distributed in a complete liquidation of the Partnership in accordance with Section 4.1 of the LP Agreement and the provisions of this Agreement, such Time-Based Unit will be immediately and automatically canceled and terminated upon the consummation of the Change of Control, without payment of any consideration and without any action on the part of the Participant.</w:t>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in no event will more than 100% of the Time-Based Units (representing 33.33% of the Class B Units subject to this Award) vest pursuant to this </w:t>
      </w:r>
      <w:r>
        <w:rPr>
          <w:rFonts w:ascii="Times New Roman;serif" w:hAnsi="Times New Roman;serif"/>
          <w:b w:val="false"/>
          <w:color w:val="000000"/>
          <w:sz w:val="24"/>
          <w:u w:val="single"/>
        </w:rPr>
        <w:t>Section A</w:t>
      </w:r>
      <w:r>
        <w:rPr>
          <w:rFonts w:ascii="Times New Roman;serif" w:hAnsi="Times New Roman;serif"/>
          <w:b w:val="false"/>
          <w:color w:val="000000"/>
          <w:sz w:val="24"/>
        </w:rPr>
        <w:t xml:space="preserve">. </w:t>
      </w:r>
    </w:p>
    <w:p>
      <w:pPr>
        <w:pStyle w:val="TextBody"/>
        <w:bidi w:val="0"/>
        <w:spacing w:lineRule="auto" w:line="288" w:before="0" w:after="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Performance-Based Units</w:t>
      </w:r>
      <w:r>
        <w:rPr>
          <w:rFonts w:ascii="Times New Roman;serif" w:hAnsi="Times New Roman;serif"/>
          <w:b w:val="false"/>
          <w:color w:val="000000"/>
          <w:sz w:val="24"/>
        </w:rPr>
        <w:t>. Two-third (66.67%) of the Class B Units subject to this Award (the “</w:t>
      </w:r>
      <w:r>
        <w:rPr>
          <w:rFonts w:ascii="Times New Roman;serif" w:hAnsi="Times New Roman;serif"/>
          <w:b w:val="false"/>
          <w:color w:val="000000"/>
          <w:sz w:val="24"/>
          <w:u w:val="single"/>
        </w:rPr>
        <w:t>Performance-Based Units</w:t>
      </w:r>
      <w:r>
        <w:rPr>
          <w:color w:val="000000"/>
        </w:rPr>
        <w:t>”</w:t>
      </w:r>
      <w:r>
        <w:rPr>
          <w:rFonts w:ascii="Times New Roman;serif" w:hAnsi="Times New Roman;serif"/>
          <w:b w:val="false"/>
          <w:color w:val="000000"/>
          <w:sz w:val="24"/>
        </w:rPr>
        <w:t>) shall be eligible to vest (rounded down to the nearest whole Class B Unit) based on Apax Investor’s achievement of the MOIC targets set forth below on a Measurement Date, subject to the Participant’s continued Service through such date. Notwithstanding the foregoing, if the Participant’s Service is terminated without Cause, due to death or Disability, or if the Participant resigns for Good Reason (in each case, as defined in the Employment Agreement), the Performance-Based Units shall remain outstanding for one hundred twenty (120) days following such termination (the “</w:t>
      </w:r>
      <w:r>
        <w:rPr>
          <w:rFonts w:ascii="Times New Roman;serif" w:hAnsi="Times New Roman;serif"/>
          <w:b w:val="false"/>
          <w:color w:val="000000"/>
          <w:sz w:val="24"/>
          <w:u w:val="single"/>
        </w:rPr>
        <w:t>Tail Period</w:t>
      </w:r>
      <w:r>
        <w:rPr>
          <w:color w:val="000000"/>
        </w:rPr>
        <w:t>”</w:t>
      </w:r>
      <w:r>
        <w:rPr>
          <w:rFonts w:ascii="Times New Roman;serif" w:hAnsi="Times New Roman;serif"/>
          <w:b w:val="false"/>
          <w:color w:val="000000"/>
          <w:sz w:val="24"/>
        </w:rPr>
        <w:t>). If a Measurement Date occurs during the Tail Period and the applicable MOIC targets are achieved, the Performance-Based Units shall vest. If no Measurement Date occurs during the Tail Period, or if the applicable MOIC targets are not achieved on such Measurement Date, all outstanding Performance-Based Units shall automatically be forfeited and cancelled without consideration as of the last day of the Tail Period.</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w:t>
      </w:r>
      <w:r>
        <w:rPr>
          <w:rFonts w:ascii="Times New Roman;serif" w:hAnsi="Times New Roman;serif"/>
          <w:b w:val="false"/>
          <w:color w:val="000000"/>
          <w:sz w:val="24"/>
        </w:rPr>
        <w:t>33.33% of the Performance-Based Units shall vest if the Apax Investor achieves a MOIC equal to 1.04x on a Measurement Date;</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ii.</w:t>
      </w:r>
      <w:r>
        <w:rPr>
          <w:rFonts w:ascii="Times New Roman;serif" w:hAnsi="Times New Roman;serif"/>
          <w:b w:val="false"/>
          <w:color w:val="000000"/>
          <w:sz w:val="24"/>
        </w:rPr>
        <w:t>66.66% of the Performance-Based Units shall vest if the Apax Investor achieves a MOIC equal to 1.36x on a Measurement Date; and</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iii.</w:t>
      </w:r>
      <w:r>
        <w:rPr>
          <w:rFonts w:ascii="Times New Roman;serif" w:hAnsi="Times New Roman;serif"/>
          <w:b w:val="false"/>
          <w:color w:val="000000"/>
          <w:sz w:val="24"/>
        </w:rPr>
        <w:t>100% of the Performance-Based Units shall vest if the Apax Investor achieves a MOIC equal to at least 1.68x on a Measurement Date.</w:t>
      </w:r>
    </w:p>
    <w:p>
      <w:pPr>
        <w:pStyle w:val="TextBody"/>
        <w:bidi w:val="0"/>
        <w:spacing w:before="0" w:after="0"/>
        <w:jc w:val="both"/>
        <w:rPr/>
      </w:pPr>
      <w:r>
        <w:rPr/>
      </w:r>
    </w:p>
    <w:p>
      <w:pPr>
        <w:pStyle w:val="TextBody"/>
        <w:bidi w:val="0"/>
        <w:spacing w:lineRule="auto" w:line="288" w:before="0" w:after="0"/>
        <w:ind w:left="0" w:right="0" w:firstLine="900"/>
        <w:jc w:val="both"/>
        <w:rPr/>
      </w:pPr>
      <w:r>
        <w:rPr>
          <w:rFonts w:ascii="Times New Roman;serif" w:hAnsi="Times New Roman;serif"/>
          <w:b w:val="false"/>
          <w:color w:val="000000"/>
          <w:sz w:val="23"/>
        </w:rPr>
        <w:t>iv.</w:t>
      </w:r>
      <w:r>
        <w:rPr>
          <w:rFonts w:ascii="Times New Roman;serif" w:hAnsi="Times New Roman;serif"/>
          <w:b w:val="false"/>
          <w:color w:val="000000"/>
          <w:sz w:val="24"/>
        </w:rPr>
        <w:t xml:space="preserve">Performance-Based Units will vest upon a Measurement Date only to the extent the performance targets set forth in </w:t>
      </w:r>
      <w:r>
        <w:rPr>
          <w:rFonts w:ascii="Times New Roman;serif" w:hAnsi="Times New Roman;serif"/>
          <w:b w:val="false"/>
          <w:color w:val="000000"/>
          <w:sz w:val="24"/>
          <w:u w:val="single"/>
        </w:rPr>
        <w:t>Section B</w:t>
      </w:r>
      <w:r>
        <w:rPr>
          <w:color w:val="000000"/>
        </w:rPr>
        <w:t xml:space="preserve"> </w:t>
      </w:r>
      <w:r>
        <w:rPr>
          <w:rFonts w:ascii="Times New Roman;serif" w:hAnsi="Times New Roman;serif"/>
          <w:b w:val="false"/>
          <w:color w:val="000000"/>
          <w:sz w:val="24"/>
        </w:rPr>
        <w:t>are achieved on such Measurement Date. For the avoidance of doubt, none of the Performance-Based Units shall vest if the Apax Investor achieves a MOIC less than 1.04x on a Measurement Date.</w:t>
      </w:r>
    </w:p>
    <w:p>
      <w:pPr>
        <w:pStyle w:val="TextBody"/>
        <w:bidi w:val="0"/>
        <w:spacing w:before="0" w:after="0"/>
        <w:jc w:val="both"/>
        <w:rPr/>
      </w:pPr>
      <w:r>
        <w:rPr/>
      </w:r>
    </w:p>
    <w:p>
      <w:pPr>
        <w:pStyle w:val="TextBody"/>
        <w:bidi w:val="0"/>
        <w:spacing w:lineRule="auto" w:line="288"/>
        <w:ind w:left="0" w:right="0" w:firstLine="900"/>
        <w:jc w:val="both"/>
        <w:rPr/>
      </w:pPr>
      <w:r>
        <w:rPr>
          <w:rFonts w:ascii="Times New Roman;serif" w:hAnsi="Times New Roman;serif"/>
          <w:b w:val="false"/>
          <w:color w:val="000000"/>
          <w:sz w:val="23"/>
        </w:rPr>
        <w:t>v.</w:t>
      </w:r>
      <w:r>
        <w:rPr>
          <w:rFonts w:ascii="Times New Roman;serif" w:hAnsi="Times New Roman;serif"/>
          <w:b w:val="false"/>
          <w:color w:val="000000"/>
          <w:sz w:val="24"/>
        </w:rPr>
        <w:t xml:space="preserve">Any Performance-Based Units that do not become Vested upon a Change of Control shall be forfeited for no consideration payable to the Participant upon the consummation of such Change of Control. If any Performance-Based Unit would not be entitled to receive any distributions at the time of a Change of Control if all the assets of the Partnership were then sold at Fair Market Value and then the proceeds were distributed in a complete liquidation of the Partnership in accordance with Section 4.1 of the LP Agreement and the provisions of this Agreement, such Performance-Based Unit will be immediately and automatically canceled and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terminated upon the consummation of the Change of Control, without payment of any consideration and without any action on the part of the Participant.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 xml:space="preserve">For the avoidance of doubt, in no event will more than 100% of the Performance-Based Units (representing 66.67% of the Class B Units subject to this Award) vest pursuant to this </w:t>
      </w:r>
      <w:r>
        <w:rPr>
          <w:rFonts w:ascii="Times New Roman;serif" w:hAnsi="Times New Roman;serif"/>
          <w:b w:val="false"/>
          <w:color w:val="000000"/>
          <w:sz w:val="24"/>
          <w:u w:val="single"/>
        </w:rPr>
        <w:t>Section B</w:t>
      </w:r>
      <w:r>
        <w:rPr>
          <w:rFonts w:ascii="Times New Roman;serif" w:hAnsi="Times New Roman;serif"/>
          <w:b w:val="false"/>
          <w:color w:val="000000"/>
          <w:sz w:val="24"/>
        </w:rPr>
        <w:t>.</w:t>
      </w:r>
    </w:p>
    <w:p>
      <w:pPr>
        <w:pStyle w:val="TextBody"/>
        <w:bidi w:val="0"/>
        <w:spacing w:lineRule="auto" w:line="288" w:before="120" w:after="240"/>
        <w:jc w:val="both"/>
        <w:rPr/>
      </w:pPr>
      <w:r>
        <w:rPr>
          <w:rFonts w:ascii="Times New Roman;serif" w:hAnsi="Times New Roman;serif"/>
          <w:b w:val="false"/>
          <w:color w:val="000000"/>
          <w:sz w:val="24"/>
        </w:rPr>
        <w:t xml:space="preserve">C. </w:t>
      </w:r>
      <w:r>
        <w:rPr>
          <w:rFonts w:ascii="Times New Roman;serif" w:hAnsi="Times New Roman;serif"/>
          <w:b w:val="false"/>
          <w:color w:val="000000"/>
          <w:sz w:val="24"/>
          <w:u w:val="single"/>
        </w:rPr>
        <w:t>Wind-Up</w:t>
      </w:r>
      <w:r>
        <w:rPr>
          <w:rFonts w:ascii="Times New Roman;serif" w:hAnsi="Times New Roman;serif"/>
          <w:b w:val="false"/>
          <w:color w:val="000000"/>
          <w:sz w:val="24"/>
        </w:rPr>
        <w:t xml:space="preserve">. All Class B Units subject to this Award that have not fully Vested in accordance with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and each Class B Unit subject to this Award (whether or not Vested) that would not be entitled to receive any distributions as of the Wind-Up Date if all the assets of the Partnership were then sold at Fair Market Value and then the proceeds were distributed in a complete liquidation of the Partnership in accordance with Section 4.1 of the LP Agreement and the provisions of this Agreement, will be immediately and automatically canceled and terminated on the Wind-Up Date, without payment of any consideration and without any action on the part of the Participant</w:t>
      </w:r>
      <w:r>
        <w:rPr>
          <w:rFonts w:ascii="Times New Roman;serif" w:hAnsi="Times New Roman;serif"/>
          <w:b w:val="false"/>
          <w:color w:val="000000"/>
          <w:sz w:val="23"/>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ELECTION TO INCLUDE IN GROSS INCOME</w:t>
        <w:br/>
        <w:t xml:space="preserve">IN YEAR OF TRANSFER OF PROPERTY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83(B) OF</w:t>
        <w:br/>
        <w:t>THE INTERNAL REVENUE CODE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undersigned taxpayer hereby elects, pursuant to Section 83(b) of the Internal Revenue Code of 1986, as amended, to include in gross income as compensation for services the excess (if any) of the fair market value of the property described below over the amount paid for such property.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    The name, taxpayer identification number, address of the undersigned, and the taxable</w:t>
      </w:r>
    </w:p>
    <w:p>
      <w:pPr>
        <w:pStyle w:val="TextBody"/>
        <w:bidi w:val="0"/>
        <w:spacing w:lineRule="auto" w:line="288" w:before="0" w:after="0"/>
        <w:jc w:val="left"/>
        <w:rPr/>
      </w:pPr>
      <w:r>
        <w:rPr>
          <w:rFonts w:ascii="Times New Roman;serif" w:hAnsi="Times New Roman;serif"/>
          <w:b w:val="false"/>
          <w:color w:val="000000"/>
          <w:sz w:val="24"/>
        </w:rPr>
        <w:t>year for which this election is being made are: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Name:    </w:t>
      </w:r>
      <w:r>
        <w:rPr>
          <w:color w:val="000000"/>
          <w:u w:val="single"/>
        </w:rPr>
        <w:t>                            </w:t>
      </w:r>
    </w:p>
    <w:p>
      <w:pPr>
        <w:pStyle w:val="TextBody"/>
        <w:bidi w:val="0"/>
        <w:spacing w:lineRule="auto" w:line="288" w:before="0" w:after="0"/>
        <w:jc w:val="left"/>
        <w:rPr/>
      </w:pPr>
      <w:r>
        <w:rPr>
          <w:rFonts w:ascii="Times New Roman;serif" w:hAnsi="Times New Roman;serif"/>
          <w:b w:val="false"/>
          <w:color w:val="000000"/>
          <w:sz w:val="24"/>
        </w:rPr>
        <w:br/>
        <w:t>Address:</w:t>
      </w:r>
      <w:r>
        <w:rPr>
          <w:color w:val="000000"/>
          <w:u w:val="single"/>
        </w:rPr>
        <w:t xml:space="preserve">                             </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Social Security Number:</w:t>
      </w:r>
      <w:r>
        <w:rPr>
          <w:color w:val="000000"/>
          <w:u w:val="single"/>
        </w:rPr>
        <w:t>                    </w: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Taxable Year: 2025</w:t>
      </w:r>
    </w:p>
    <w:p>
      <w:pPr>
        <w:pStyle w:val="TextBody"/>
        <w:bidi w:val="0"/>
        <w:spacing w:lineRule="auto" w:line="288" w:before="0" w:after="240"/>
        <w:jc w:val="both"/>
        <w:rPr/>
      </w:pPr>
      <w:r>
        <w:rPr>
          <w:rFonts w:ascii="Times New Roman;serif" w:hAnsi="Times New Roman;serif"/>
          <w:b w:val="false"/>
          <w:color w:val="000000"/>
          <w:sz w:val="24"/>
        </w:rPr>
        <w:t>2.    The property with respect to which this election is being consists of 366,602 unvested Class B Units (the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each of which represents an interest in the profits of TCO Group Holdings, L.P., a Delaware limited partnership (the “</w:t>
      </w:r>
      <w:r>
        <w:rPr>
          <w:rFonts w:ascii="Times New Roman;serif" w:hAnsi="Times New Roman;serif"/>
          <w:b w:val="false"/>
          <w:color w:val="000000"/>
          <w:sz w:val="24"/>
          <w:u w:val="single"/>
        </w:rPr>
        <w:t>Partnership</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    The date on which the Units were transferred to the undersigned was September 5, 2025.</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4.    The Award is subject to service-based and performance-based vesting conditions, in each case, subject to taxpayer’s continued service through the applicable vesting date(s). Upon cessation of the taxpayer’s service, all Units, to the extent not vested, will be forfeited.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5.    The fair market value of the Award at the time of transfer (determined without regard to any restrictions other than those which by their terms will never lapse) is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6.    The amount paid for the Award by the undersigned was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7.    The amount to include in gross income is $0.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undersigned will file this election with the Internal Revenue Service office with which the taxpayer files his or her annual income tax return not later than 30 days after the date of the transfer of the property. A copy of the election will also be furnished to the Partnership. The undersigned is the person performing the services in connection with which the property was transferred.</w:t>
      </w:r>
    </w:p>
    <w:p>
      <w:pPr>
        <w:pStyle w:val="TextBody"/>
        <w:bidi w:val="0"/>
        <w:spacing w:lineRule="auto" w:line="288"/>
        <w:jc w:val="left"/>
        <w:rPr/>
      </w:pPr>
      <w:r>
        <w:rPr>
          <w:rFonts w:ascii="Times New Roman;serif" w:hAnsi="Times New Roman;serif"/>
          <w:b w:val="false"/>
          <w:color w:val="000000"/>
          <w:sz w:val="24"/>
        </w:rPr>
        <w:t>Dated:</w:t>
      </w:r>
      <w:r>
        <w:rPr>
          <w:color w:val="000000"/>
          <w:u w:val="single"/>
        </w:rPr>
        <w:t>                </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5445"/>
                <wp:effectExtent l="0" t="0" r="0" b="0"/>
                <wp:wrapNone/>
                <wp:docPr id="99" name="Frame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4"/>
        </w:rPr>
        <w:t>Taxpayer:</w:t>
      </w:r>
      <w:r>
        <w:rPr>
          <w:color w:val="000000"/>
          <w:u w:val="single"/>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56" w:before="0" w:after="12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SPOUSAL CONSENT</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val="false"/>
          <w:color w:val="000000"/>
          <w:sz w:val="24"/>
        </w:rPr>
      </w:pPr>
      <w:r>
        <w:rPr>
          <w:rFonts w:ascii="Times New Roman;serif" w:hAnsi="Times New Roman;serif"/>
          <w:b w:val="false"/>
          <w:color w:val="000000"/>
          <w:sz w:val="24"/>
        </w:rPr>
        <w:t>The undersigned represents that the undersigned is the spouse of:</w:t>
      </w:r>
    </w:p>
    <w:p>
      <w:pPr>
        <w:pStyle w:val="TextBody"/>
        <w:bidi w:val="0"/>
        <w:spacing w:lineRule="auto" w:line="556" w:before="0" w:after="480"/>
        <w:jc w:val="center"/>
        <w:rPr/>
      </w:pPr>
      <w:r>
        <w:rPr>
          <w:rFonts w:ascii="Times New Roman;serif" w:hAnsi="Times New Roman;serif"/>
          <w:b w:val="false"/>
          <w:color w:val="000000"/>
          <w:sz w:val="24"/>
        </w:rPr>
        <w:t>Meredith Delk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and that the undersigned is familiar with the terms of the Award Agreement (the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executed by the Participant dated as of September 5, 2025, as well as the Plan and the LP Agreement referred to therein. The undersigned is aware that the Agreement, the Plan and LP Agreement provide, among other things, certain restrictions on transfer, certain forced sale and certain buyback rights relating to Participant’s Class B Units. The undersigned hereby agrees that the interest of the undersigned’s spouse in all property which is the subject of the Agreement shall be irrevocably bound by the terms of the Agreement and by any amendment, modification, waiver or termination signed by the undersigned’s spouse. The undersigned further agrees that the undersigned’s community property interest in all property which is the subject of the Agreement shall be irrevocably bound by the terms of the Agreement, and that the Agreement shall be binding on the executors, administrators, heirs and assigns of the undersigned. The undersigned further authorizes the undersigned’s spouse to amend, modify or terminate the Agreement, or waive any rights thereunder, and that each such amendment, modification, waiver or termination signed by the undersigned’s spouse shall be binding on the community property interest of undersigned in all property which is the subject of such Agreement and on the executors, administrators, heirs and assigns of the undersigned, each as fully as if the undersigned had signed such amendment, modification, waiver or termination.</w: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Executed as of the ____ day of _____________, 2025.</w:t>
      </w:r>
    </w:p>
    <w:p>
      <w:pPr>
        <w:pStyle w:val="TextBody"/>
        <w:bidi w:val="0"/>
        <w:spacing w:before="0" w:after="240"/>
        <w:ind w:left="0" w:right="0" w:firstLine="72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____________________________</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APPENDIX A</w:t>
      </w:r>
    </w:p>
    <w:p>
      <w:pPr>
        <w:pStyle w:val="TextBody"/>
        <w:bidi w:val="0"/>
        <w:spacing w:lineRule="auto" w:line="288" w:before="0" w:after="0"/>
        <w:jc w:val="center"/>
        <w:rPr/>
      </w:pPr>
      <w:r>
        <w:rPr>
          <w:rFonts w:ascii="Times New Roman;serif" w:hAnsi="Times New Roman;serif"/>
          <w:b/>
          <w:color w:val="000000"/>
          <w:sz w:val="24"/>
        </w:rPr>
        <w:br/>
      </w:r>
      <w:r>
        <w:rPr>
          <w:rFonts w:ascii="Times New Roman;serif" w:hAnsi="Times New Roman;serif"/>
          <w:b/>
          <w:color w:val="000000"/>
          <w:sz w:val="24"/>
          <w:u w:val="single"/>
        </w:rPr>
        <w:t>DEFINITIONS</w:t>
      </w:r>
    </w:p>
    <w:p>
      <w:pPr>
        <w:pStyle w:val="TextBody"/>
        <w:bidi w:val="0"/>
        <w:spacing w:before="0" w:after="0"/>
        <w:jc w:val="center"/>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when used with reference to another Person means any Person, directly or indirectly, through one or more intermediaries, controlling, controlled by, or under common control with, such other Person.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Apax Investor</w:t>
      </w:r>
      <w:r>
        <w:rPr>
          <w:color w:val="000000"/>
        </w:rPr>
        <w:t xml:space="preserve">” </w:t>
      </w:r>
      <w:r>
        <w:rPr>
          <w:rFonts w:ascii="Times New Roman;serif" w:hAnsi="Times New Roman;serif"/>
          <w:b w:val="false"/>
          <w:color w:val="000000"/>
          <w:sz w:val="24"/>
        </w:rPr>
        <w:t>means Ignite Aggregator LP (together with its permitted transferees (as set forth in the LP Agreement)).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 the sale of all or substantially all of the assets of the Partnership and its subsidiaries (as set forth in the LP Agreement) on a consolidated basis to a Person, or group of Persons acting in concert, who are Independent Third Parties, (b) a merger, reorganization, consolidation or other similar corporate transaction in which the outstanding voting securities (as set forth in the LP Agreement) of the Partnership are exchanged for securities of the successor entity and, immediately after such transaction, a Person or group of Persons acting in concert, who are Independent Third Parties, beneficially own a majority of the outstanding voting securities, and rights to the majority of the residual economic interests in the common equity, of the successor entity (or a parent entity thereof), or (c) the acquisition (whether by sale, merger or otherwise) of a majority of the outstanding voting securities, and rights to the majority of the residual economic interests in the common equity, of the Partnership by a Person, or group of Persons acting in concert, who are Independent Third Parties. For the sake of clarity, in no event will a transaction be a Change of Control if either Sponsor Investor or its Affiliates continue to control or jointly control the Partnership or its subsidiaries.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Equity Securities</w:t>
      </w:r>
      <w:r>
        <w:rPr>
          <w:color w:val="000000"/>
        </w:rPr>
        <w:t xml:space="preserve">” </w:t>
      </w:r>
      <w:r>
        <w:rPr>
          <w:rFonts w:ascii="Times New Roman;serif" w:hAnsi="Times New Roman;serif"/>
          <w:b w:val="false"/>
          <w:color w:val="000000"/>
          <w:sz w:val="24"/>
        </w:rPr>
        <w:t>means, as applicable, (i) any capital stock, partnership or membership interests or other share capital, (ii) any securities directly or indirectly convertible into or exchangeable or exercisable for any capital stock, partnership or membership interests or other share capital or containing any profit participation features, (iii) any rights or options directly or indirectly to subscribe for or to purchase any capital stock, partnership or membership interests, other share capital or securities containing any profit participation features or to subscribe for or to purchase any securities directly or indirectly convertible into or exchangeable or exercisable for any capital stock, partnership or membership interests, other share capital or securities containing any profit participation features, (iv) any share appreciation rights, phantom share rights or other similar rights, or (v) any Equity Securities issued or issuable with respect to any of the securities referred to in clauses (i) through (iv) above in connection with a combination of shares, recapitalization, merger, consolidation or other reorganization.</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Independent Third Party</w:t>
      </w:r>
      <w:r>
        <w:rPr>
          <w:color w:val="000000"/>
        </w:rPr>
        <w:t xml:space="preserve">” </w:t>
      </w:r>
      <w:r>
        <w:rPr>
          <w:rFonts w:ascii="Times New Roman;serif" w:hAnsi="Times New Roman;serif"/>
          <w:b w:val="false"/>
          <w:color w:val="000000"/>
          <w:sz w:val="24"/>
        </w:rPr>
        <w:t xml:space="preserve">means any Person that, as of the time of determination, is not an Affiliate of the Apax Investor or the WCAS Investor.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Measurement Date</w:t>
      </w:r>
      <w:r>
        <w:rPr>
          <w:color w:val="000000"/>
        </w:rPr>
        <w:t xml:space="preserve">” </w:t>
      </w:r>
      <w:r>
        <w:rPr>
          <w:rFonts w:ascii="Times New Roman;serif" w:hAnsi="Times New Roman;serif"/>
          <w:b w:val="false"/>
          <w:color w:val="000000"/>
          <w:sz w:val="24"/>
        </w:rPr>
        <w:t>means any date on or after the Grant Date on which Apax Investor receives Apax Returns.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Partnership Representative</w:t>
      </w:r>
      <w:r>
        <w:rPr>
          <w:color w:val="000000"/>
        </w:rPr>
        <w:t xml:space="preserve">” </w:t>
      </w:r>
      <w:r>
        <w:rPr>
          <w:rFonts w:ascii="Times New Roman;serif" w:hAnsi="Times New Roman;serif"/>
          <w:b w:val="false"/>
          <w:color w:val="000000"/>
          <w:sz w:val="24"/>
        </w:rPr>
        <w:t xml:space="preserve">means TCO Group Holdings GP, LLC and any successor to such Person, or its designee, shall be the “partnership representative” (within the meaning of Code Section 6223(a)) of the Partnership. </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a partnership (including a limited partnership), a corporation, a limited liability company, an association, a joint stock company, a trust, a joint venture, an unincorporated organization, association or other entity or any foreign, United States federal, state, county provincial or local governmental or any subdivision, department, instrumentality, authority, regulatory commission, board, bureau, agency, court, tribunal, arbitral (public or private), judicial, executive or regulatory or administrative body.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Service Provider</w:t>
      </w:r>
      <w:r>
        <w:rPr>
          <w:color w:val="000000"/>
        </w:rPr>
        <w:t xml:space="preserve">” </w:t>
      </w:r>
      <w:r>
        <w:rPr>
          <w:rFonts w:ascii="Times New Roman;serif" w:hAnsi="Times New Roman;serif"/>
          <w:b w:val="false"/>
          <w:color w:val="000000"/>
          <w:sz w:val="24"/>
        </w:rPr>
        <w:t>means any director, officer, observer, employee, manager, consultant or independent contractor providing services to or for the benefit of the Partnership or any of its subsidiaries (as set forth in the LP Agreement). With respect to any particular Service Provider, as used herein, “Service Provider” shall also include any Person or permitted transferee (as set forth in the LP Agreement) to whom or which the Service Provider has elected Units or other Equity Securities of the Partnership be issued in lieu of such Service Provider directly receiving such Units or other Equity Securities (whether or not such Service Provider holds any Units or other Equity Securities of the Partnership).</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color w:val="000000"/>
          <w:sz w:val="24"/>
          <w:u w:val="single"/>
        </w:rPr>
        <w:t>Sponsor Investor</w:t>
      </w:r>
      <w:r>
        <w:rPr>
          <w:color w:val="000000"/>
        </w:rPr>
        <w:t xml:space="preserve">” </w:t>
      </w:r>
      <w:r>
        <w:rPr>
          <w:rFonts w:ascii="Times New Roman;serif" w:hAnsi="Times New Roman;serif"/>
          <w:b w:val="false"/>
          <w:color w:val="000000"/>
          <w:sz w:val="24"/>
        </w:rPr>
        <w:t xml:space="preserve">means each of the Apax Investor and the WCAS Investor (together with each of their permitted transferees (as set forth in the LP Agreement)). </w:t>
      </w:r>
    </w:p>
    <w:p>
      <w:pPr>
        <w:pStyle w:val="TextBody"/>
        <w:bidi w:val="0"/>
        <w:spacing w:before="0" w:after="0"/>
        <w:jc w:val="both"/>
        <w:rPr/>
      </w:pPr>
      <w:r>
        <w:rPr/>
      </w:r>
    </w:p>
    <w:p>
      <w:pPr>
        <w:pStyle w:val="TextBody"/>
        <w:bidi w:val="0"/>
        <w:spacing w:lineRule="auto" w:line="288"/>
        <w:jc w:val="both"/>
        <w:rPr/>
      </w:pPr>
      <w:r>
        <w:rPr>
          <w:color w:val="000000"/>
        </w:rPr>
        <w:t>“</w:t>
      </w:r>
      <w:r>
        <w:rPr>
          <w:rFonts w:ascii="Times New Roman;serif" w:hAnsi="Times New Roman;serif"/>
          <w:b w:val="false"/>
          <w:color w:val="000000"/>
          <w:sz w:val="24"/>
          <w:u w:val="single"/>
        </w:rPr>
        <w:t>WCAS Investor</w:t>
      </w:r>
      <w:r>
        <w:rPr>
          <w:color w:val="000000"/>
        </w:rPr>
        <w:t xml:space="preserve">” </w:t>
      </w:r>
      <w:r>
        <w:rPr>
          <w:rFonts w:ascii="Times New Roman;serif" w:hAnsi="Times New Roman;serif"/>
          <w:b w:val="false"/>
          <w:color w:val="000000"/>
          <w:sz w:val="24"/>
        </w:rPr>
        <w:t>means, collectively, Welsh, Carson, Anderson &amp; Stowe XII, L.P., Welsh, Carson, Anderson &amp; Stowe XII Delaware, L.P., Welsh, Carson, Anderson &amp; Stowe XII Delaware II, L.P., Welsh, Carson, Anderson &amp; Stowe XII Cayman, L.P., WCAS XII Co-Investors LLC, WCAS Management Corporation and WCAS Co-Invest Holdco, L.P. (together with each of their permitted transferees, as set forth in the LP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Patrick Blair,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InnovAge Holding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83"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599"/>
        <w:gridCol w:w="599"/>
        <w:gridCol w:w="85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 of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Benjamin C. Adams,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InnovAge Holding Corp.;</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98"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604"/>
        <w:gridCol w:w="604"/>
        <w:gridCol w:w="86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InnovAge Holding Corp. (the “Company”) for the fiscal quarter ended September 30, 2025 as filed with the U.S. Securities and Exchange Commission (the “Report”), I, Patrick Blair, Chief Executive Officer of the Company, hereby certify, pursuant to 18 U.S.C. Section 1350, as adopted pursuant to Section 906 of the Sarbanes-Oxley Act of 2002, that, to my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783"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599"/>
        <w:gridCol w:w="599"/>
        <w:gridCol w:w="857"/>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Blair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5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Patrick Blair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55"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Pursuant to Rule 18 U.S.C. Section 1350</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InnovAge Holding Corp. (the “Company”) for the fiscal quarter ended September 30, 2025 as filed with the U.S. Securities and Exchange Commission (the “Report”), I, Benjamin C. Adams, Chief Financial Officer of the Company, hereby certify, pursuant to 18 U.S.C. Section 1350, as adopted pursuant to Section 906 of the Sarbanes-Oxley Act of 2002, that, to my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as amended;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240" w:after="283"/>
        <w:jc w:val="left"/>
        <w:rPr/>
      </w:pPr>
      <w:r>
        <w:rPr/>
      </w:r>
    </w:p>
    <w:tbl>
      <w:tblPr>
        <w:tblW w:w="4798" w:type="dxa"/>
        <w:jc w:val="left"/>
        <w:tblInd w:w="0" w:type="dxa"/>
        <w:tblLayout w:type="fixed"/>
        <w:tblCellMar>
          <w:top w:w="28" w:type="dxa"/>
          <w:left w:w="28" w:type="dxa"/>
          <w:bottom w:w="28" w:type="dxa"/>
          <w:right w:w="28" w:type="dxa"/>
        </w:tblCellMar>
      </w:tblPr>
      <w:tblGrid>
        <w:gridCol w:w="759"/>
        <w:gridCol w:w="668"/>
        <w:gridCol w:w="672"/>
        <w:gridCol w:w="208"/>
        <w:gridCol w:w="208"/>
        <w:gridCol w:w="213"/>
        <w:gridCol w:w="604"/>
        <w:gridCol w:w="604"/>
        <w:gridCol w:w="86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C. Adams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C. Adams</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85"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34376/000110465921033328/tm2037889d18_ex3-1.htm" TargetMode="External"/><Relationship Id="rId4" Type="http://schemas.openxmlformats.org/officeDocument/2006/relationships/hyperlink" Target="https://www.sec.gov/Archives/edgar/data/1834376/000183437625000003/ex32-innvdeamendment.htm" TargetMode="External"/><Relationship Id="rId5" Type="http://schemas.openxmlformats.org/officeDocument/2006/relationships/hyperlink" Target="https://www.sec.gov/Archives/edgar/data/1834376/000110465921033328/tm2037889d18_ex3-2.htm" TargetMode="External"/><Relationship Id="rId6" Type="http://schemas.openxmlformats.org/officeDocument/2006/relationships/hyperlink" Target="https://www.sec.gov/Archives/edgar/data/1834376/000183437625000054/ex101amendmentno2tocredi.htm" TargetMode="External"/><Relationship Id="rId7" Type="http://schemas.openxmlformats.org/officeDocument/2006/relationships/hyperlink" Target="https://www.sec.gov/Archives/edgar/data/1834376/000183437625000054/ex101amendmentno2tocredi.htm" TargetMode="External"/><Relationship Id="rId8" Type="http://schemas.openxmlformats.org/officeDocument/2006/relationships/hyperlink" Target="https://www.sec.gov/Archives/edgar/data/1834376/000183437625000054/ex101amendmentno2tocredi.htm" TargetMode="External"/><Relationship Id="rId9" Type="http://schemas.openxmlformats.org/officeDocument/2006/relationships/hyperlink" Target="https://www.sec.gov/Archives/edgar/data/1834376/000183437625000054/ex101amendmentno2tocredi.htm" TargetMode="External"/><Relationship Id="rId10" Type="http://schemas.openxmlformats.org/officeDocument/2006/relationships/hyperlink" Target="https://www.sec.gov/Archives/edgar/data/1834376/000183437625000062/ex109-tcogroupholdingslpxp.htm" TargetMode="External"/><Relationship Id="rId11" Type="http://schemas.openxmlformats.org/officeDocument/2006/relationships/hyperlink" Target="https://www.sec.gov/Archives/edgar/data/1834376/000183437625000062/ex109-tcogroupholdingslpxp.htm" TargetMode="External"/><Relationship Id="rId12" Type="http://schemas.openxmlformats.org/officeDocument/2006/relationships/hyperlink" Target="https://www.sec.gov/Archives/edgar/data/1834376/000183437625000062/ex109-tcogroupholdingslpxp.htm" TargetMode="External"/><Relationship Id="rId13" Type="http://schemas.openxmlformats.org/officeDocument/2006/relationships/hyperlink" Target="https://www.sec.gov/Archives/edgar/data/1834376/000183437625000062/ex109-tcogroupholdingslpxp.htm" TargetMode="External"/><Relationship Id="rId14" Type="http://schemas.openxmlformats.org/officeDocument/2006/relationships/hyperlink" Target="https://www.sec.gov/Archives/edgar/data/1834376/000183437625000062/ex1014-tcogroupholdingslpx.htm" TargetMode="External"/><Relationship Id="rId15" Type="http://schemas.openxmlformats.org/officeDocument/2006/relationships/hyperlink" Target="https://www.sec.gov/Archives/edgar/data/1834376/000183437625000062/ex1017-tcogroupholdingslpx.htm" TargetMode="External"/><Relationship Id="rId16" Type="http://schemas.openxmlformats.org/officeDocument/2006/relationships/hyperlink" Target="https://www.sec.gov/Archives/edgar/data/1834376/000183437625000062/ex1017-tcogroupholdingslpx.htm" TargetMode="External"/><Relationship Id="rId17" Type="http://schemas.openxmlformats.org/officeDocument/2006/relationships/hyperlink" Target="https://www.sec.gov/Archives/edgar/data/1834376/000183437625000062/ex1017-tcogroupholdingslpx.htm" TargetMode="External"/><Relationship Id="rId18" Type="http://schemas.openxmlformats.org/officeDocument/2006/relationships/hyperlink" Target="https://www.sec.gov/Archives/edgar/data/1834376/000183437625000062/ex1017-tcogroupholdingslpx.htm" TargetMode="External"/><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46578</Words>
  <Characters>256736</Characters>
  <CharactersWithSpaces>302618</CharactersWithSpaces>
  <Paragraphs>2760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