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5, 2026</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INNOVAGE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437" w:type="dxa"/>
        <w:jc w:val="left"/>
        <w:tblInd w:w="0" w:type="dxa"/>
        <w:tblLayout w:type="fixed"/>
        <w:tblCellMar>
          <w:top w:w="28" w:type="dxa"/>
          <w:left w:w="28" w:type="dxa"/>
          <w:bottom w:w="28" w:type="dxa"/>
          <w:right w:w="28" w:type="dxa"/>
        </w:tblCellMar>
      </w:tblPr>
      <w:tblGrid>
        <w:gridCol w:w="1220"/>
        <w:gridCol w:w="1072"/>
        <w:gridCol w:w="1082"/>
        <w:gridCol w:w="792"/>
        <w:gridCol w:w="792"/>
        <w:gridCol w:w="800"/>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001-40159</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81-0710819</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8950 E. Lowry Boulevard</w:t>
              <w:br/>
              <w:t>Denver, CO</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80230</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(844) 803-8745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793" w:type="dxa"/>
        <w:jc w:val="left"/>
        <w:tblInd w:w="0" w:type="dxa"/>
        <w:tblLayout w:type="fixed"/>
        <w:tblCellMar>
          <w:top w:w="28" w:type="dxa"/>
          <w:left w:w="28" w:type="dxa"/>
          <w:bottom w:w="28" w:type="dxa"/>
          <w:right w:w="28" w:type="dxa"/>
        </w:tblCellMar>
      </w:tblPr>
      <w:tblGrid>
        <w:gridCol w:w="1057"/>
        <w:gridCol w:w="928"/>
        <w:gridCol w:w="939"/>
        <w:gridCol w:w="314"/>
        <w:gridCol w:w="314"/>
        <w:gridCol w:w="316"/>
        <w:gridCol w:w="855"/>
        <w:gridCol w:w="855"/>
        <w:gridCol w:w="1215"/>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2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w:t>
              <w:br/>
              <w:t>registered</w:t>
            </w:r>
          </w:p>
        </w:tc>
      </w:tr>
      <w:tr>
        <w:trPr/>
        <w:tc>
          <w:tcPr>
            <w:tcW w:w="29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$0.001 par value</w:t>
            </w:r>
          </w:p>
        </w:tc>
        <w:tc>
          <w:tcPr>
            <w:tcW w:w="9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INNV</w:t>
            </w:r>
          </w:p>
        </w:tc>
        <w:tc>
          <w:tcPr>
            <w:tcW w:w="29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br/>
              <w:t>(Nasdaq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u w:val="single"/>
        </w:rPr>
        <w:t>Item 2.02</w:t>
      </w:r>
      <w:r>
        <w:rPr>
          <w:rFonts w:ascii="Times New Roman;serif" w:hAnsi="Times New Roman;serif"/>
          <w:b/>
          <w:color w:val="000000"/>
          <w:sz w:val="20"/>
        </w:rPr>
        <w:t>.    </w:t>
      </w:r>
      <w:r>
        <w:rPr>
          <w:rFonts w:ascii="Times New Roman;serif" w:hAnsi="Times New Roman;serif"/>
          <w:b/>
          <w:color w:val="000000"/>
          <w:sz w:val="20"/>
          <w:u w:val="single"/>
        </w:rPr>
        <w:t>Results of Operations and Financial Condition</w:t>
      </w:r>
      <w:r>
        <w:rPr>
          <w:rFonts w:ascii="Times New Roman;serif" w:hAnsi="Times New Roman;serif"/>
          <w:b/>
          <w:color w:val="000000"/>
          <w:sz w:val="20"/>
        </w:rPr>
        <w: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5, 2026, InnovAge Holding Corp. issued a press release announcing financial results for the third fiscal quarter ended March 31, 2026, and related matters. A copy of this press release is furnished as Exhibit 99.1 hereto and is incorporated in this Item 2.02 by reference.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exhibit attached hereto,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Item 9.01</w:t>
      </w:r>
      <w:r>
        <w:rPr>
          <w:rFonts w:ascii="Times New Roman;serif" w:hAnsi="Times New Roman;serif"/>
          <w:b/>
          <w:color w:val="000000"/>
          <w:sz w:val="20"/>
        </w:rPr>
        <w:t>.    </w:t>
      </w:r>
      <w:r>
        <w:rPr>
          <w:rFonts w:ascii="Times New Roman;serif" w:hAnsi="Times New Roman;serif"/>
          <w:b/>
          <w:color w:val="000000"/>
          <w:sz w:val="20"/>
          <w:u w:val="single"/>
        </w:rPr>
        <w:t>Financial Statements and Exhibits</w:t>
      </w:r>
      <w:r>
        <w:rPr>
          <w:rFonts w:ascii="Times New Roman;serif" w:hAnsi="Times New Roman;serif"/>
          <w:b/>
          <w:color w:val="000000"/>
          <w:sz w:val="20"/>
        </w:rPr>
        <w:t>.</w:t>
      </w:r>
    </w:p>
    <w:p>
      <w:pPr>
        <w:pStyle w:val="TextBody"/>
        <w:bidi w:val="0"/>
        <w:spacing w:lineRule="auto" w:line="288" w:before="240" w:after="283"/>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p>
    <w:tbl>
      <w:tblPr>
        <w:tblW w:w="620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499"/>
        <w:gridCol w:w="1499"/>
        <w:gridCol w:w="213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nv-20260505xexx991.htm">
              <w:r>
                <w:rPr>
                  <w:rStyle w:val="InternetLink"/>
                  <w:rFonts w:ascii="Times New Roman;serif" w:hAnsi="Times New Roman;serif"/>
                  <w:b w:val="false"/>
                  <w:color w:val="000080"/>
                  <w:sz w:val="20"/>
                  <w:u w:val="single"/>
                </w:rPr>
                <w:t xml:space="preserve">Press Release of InnovAge Holding Corp., dated </w:t>
              </w:r>
            </w:hyperlink>
            <w:hyperlink w:anchor="innv-20260505xexx991.htm">
              <w:r>
                <w:rPr>
                  <w:rStyle w:val="InternetLink"/>
                  <w:rFonts w:ascii="Times New Roman;serif" w:hAnsi="Times New Roman;serif"/>
                  <w:b w:val="false"/>
                  <w:color w:val="000080"/>
                  <w:sz w:val="20"/>
                  <w:u w:val="single"/>
                </w:rPr>
                <w:t>May 5</w:t>
              </w:r>
            </w:hyperlink>
            <w:hyperlink w:anchor="innv-20260505xexx991.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01" w:type="dxa"/>
        <w:jc w:val="left"/>
        <w:tblInd w:w="0" w:type="dxa"/>
        <w:tblLayout w:type="fixed"/>
        <w:tblCellMar>
          <w:top w:w="28" w:type="dxa"/>
          <w:left w:w="28" w:type="dxa"/>
          <w:bottom w:w="28" w:type="dxa"/>
          <w:right w:w="28" w:type="dxa"/>
        </w:tblCellMar>
      </w:tblPr>
      <w:tblGrid>
        <w:gridCol w:w="591"/>
        <w:gridCol w:w="520"/>
        <w:gridCol w:w="523"/>
        <w:gridCol w:w="409"/>
        <w:gridCol w:w="409"/>
        <w:gridCol w:w="409"/>
        <w:gridCol w:w="592"/>
        <w:gridCol w:w="592"/>
        <w:gridCol w:w="85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INNOVAGE HOLDING CORP.</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/s/ </w:t>
            </w:r>
            <w:r>
              <w:rPr>
                <w:rFonts w:ascii="Times New Roman;serif" w:hAnsi="Times New Roman;serif"/>
                <w:b w:val="false"/>
                <w:color w:val="000000"/>
                <w:sz w:val="20"/>
              </w:rPr>
              <w:t>Benjamin C. Adams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240" w:after="283"/>
        <w:jc w:val="left"/>
        <w:rPr/>
      </w:pPr>
      <w:r>
        <w:rPr/>
        <w:drawing>
          <wp:inline distT="0" distB="0" distL="0" distR="0">
            <wp:extent cx="2381250" cy="1247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124777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INNOVAGE ANNOUNCES FINANCIAL RESULTS FOR THE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FISCAL THIRD QUARTER ENDED MARCH 31, 2025</w:t>
      </w:r>
    </w:p>
    <w:p>
      <w:pPr>
        <w:pStyle w:val="TextBody"/>
        <w:bidi w:val="0"/>
        <w:spacing w:lineRule="auto" w:line="288" w:before="240" w:after="283"/>
        <w:jc w:val="both"/>
        <w:rPr/>
      </w:pPr>
      <w:r>
        <w:rPr>
          <w:rFonts w:ascii="Times New Roman;serif" w:hAnsi="Times New Roman;serif"/>
          <w:b/>
          <w:color w:val="000000"/>
          <w:sz w:val="24"/>
        </w:rPr>
        <w:t>DENVER, CO., May 5, 2026</w:t>
      </w:r>
      <w:r>
        <w:rPr>
          <w:color w:val="000000"/>
        </w:rPr>
        <w:t> </w:t>
      </w:r>
      <w:r>
        <w:rPr>
          <w:rFonts w:ascii="Times New Roman;serif" w:hAnsi="Times New Roman;serif"/>
          <w:b w:val="false"/>
          <w:color w:val="000000"/>
          <w:sz w:val="24"/>
        </w:rPr>
        <w:t>(GLOBE NEWSWIRE) -- InnovAge Holding Corp. (“InnovAge” or the “Company”) (Nasdaq: INNV), an industry leader in providing comprehensive healthcare programs to frail, predominantly dual-eligible seniors through the Program of All-inclusive Care for the Elderly (PACE), today announced financial results for its fiscal third quarter ended March 31,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 delivered a solid third quarter, reflecting continued improvement in operating execution and financial performance,” said Patrick Blair, Chief Executive Officer of InnovAge. “These results are being driven by stronger performance across our centers and the benefits of the investments we’ve made over the past several years to strengthen our platform. At the same time, we continue reinvesting in our clinical teams, technology, and quality capabilities to further improve participant outcomes and experience over the long term. Based on our performance year to date, we are raising our fiscal 2026 revenue and Adjusted EBITDA guidance.    </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Financial Results</w:t>
      </w:r>
    </w:p>
    <w:p>
      <w:pPr>
        <w:pStyle w:val="TextBody"/>
        <w:bidi w:val="0"/>
        <w:spacing w:before="0" w:after="0"/>
        <w:jc w:val="both"/>
        <w:rPr/>
      </w:pPr>
      <w:r>
        <w:rPr/>
      </w:r>
    </w:p>
    <w:tbl>
      <w:tblPr>
        <w:tblW w:w="8149" w:type="dxa"/>
        <w:jc w:val="left"/>
        <w:tblInd w:w="0" w:type="dxa"/>
        <w:tblLayout w:type="fixed"/>
        <w:tblCellMar>
          <w:top w:w="28" w:type="dxa"/>
          <w:left w:w="28" w:type="dxa"/>
          <w:bottom w:w="28" w:type="dxa"/>
          <w:right w:w="28" w:type="dxa"/>
        </w:tblCellMar>
      </w:tblPr>
      <w:tblGrid>
        <w:gridCol w:w="1710"/>
        <w:gridCol w:w="1505"/>
        <w:gridCol w:w="1510"/>
        <w:gridCol w:w="211"/>
        <w:gridCol w:w="826"/>
        <w:gridCol w:w="271"/>
        <w:gridCol w:w="109"/>
        <w:gridCol w:w="109"/>
        <w:gridCol w:w="109"/>
        <w:gridCol w:w="211"/>
        <w:gridCol w:w="826"/>
        <w:gridCol w:w="271"/>
        <w:gridCol w:w="109"/>
        <w:gridCol w:w="109"/>
        <w:gridCol w:w="109"/>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 and per share amounts</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InnovAge Holding Corp.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Center-level Contribution Margin</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Fiscal Third Quarter 2026 Financial Performance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Total revenues of $251.9 million, increased approximately 15.5% compared to $218.1 million in the third quarter of fiscal year 2025</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4"/>
        </w:rPr>
        <w:t xml:space="preserve">Loss Before Income Taxes of $29.8 million decreased approximately 169.2%, compared to a Loss Before Income Taxes of $11.1 million in the third quarter of fiscal year 2025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Loss Before Income Taxes as a percent of revenue was 11.8%, an increase of 6.7 percentage points, compared to Loss Before Income Tax as a percent of revenue of 5.1% in the third quarter of fiscal year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Center-level Contribution Margin</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$61.0 million, increased 49.8% compared to $40.7 million in the third quarter of fiscal year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Center-level Contribution Margin</w:t>
      </w:r>
      <w:r>
        <w:rPr>
          <w:rFonts w:ascii="Times New Roman;serif" w:hAnsi="Times New Roman;serif"/>
          <w:b w:val="false"/>
          <w:color w:val="000000"/>
          <w:sz w:val="16"/>
        </w:rPr>
        <w:t>(1)</w:t>
      </w:r>
      <w:r>
        <w:rPr>
          <w:color w:val="000000"/>
        </w:rPr>
        <w:t> </w:t>
      </w:r>
      <w:r>
        <w:rPr>
          <w:rFonts w:ascii="Times New Roman;serif" w:hAnsi="Times New Roman;serif"/>
          <w:b w:val="false"/>
          <w:color w:val="000000"/>
          <w:sz w:val="24"/>
        </w:rPr>
        <w:t>as a percent of revenue was 24.2%, an increase of 5.5 percentage points compared to 18.7% in the third quarter of fiscal year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Net loss of $29.9 million, compared to net loss of $11.1 million in the third quarter of fiscal year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Net loss margin of 11.9%, an increase of 6.8 percentage points, compared to a net loss margin of 5.1% in the third quarter of fiscal year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Net loss attributable to InnovAge Holding Corp. of $29.5 million, or loss per share of $0.22, compared to net loss attributable to InnovAge Holding Corp. of $11.4 million, or a loss per share of $0.08 in the third quarter of fiscal year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Adjusted EBITDA</w:t>
      </w:r>
      <w:r>
        <w:rPr>
          <w:rFonts w:ascii="Times New Roman;serif" w:hAnsi="Times New Roman;serif"/>
          <w:b w:val="false"/>
          <w:color w:val="000000"/>
          <w:sz w:val="16"/>
        </w:rPr>
        <w:t>(1) </w:t>
      </w:r>
      <w:r>
        <w:rPr>
          <w:rFonts w:ascii="Times New Roman;serif" w:hAnsi="Times New Roman;serif"/>
          <w:b w:val="false"/>
          <w:color w:val="000000"/>
          <w:sz w:val="24"/>
        </w:rPr>
        <w:t>of $30.5 million, an increase of $19.7 million, compared to Adjusted EBITDA of $10.8 million in the third quarter of fiscal year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Adjusted EBITDA</w:t>
      </w:r>
      <w:r>
        <w:rPr>
          <w:rFonts w:ascii="Times New Roman;serif" w:hAnsi="Times New Roman;serif"/>
          <w:b w:val="false"/>
          <w:color w:val="000000"/>
          <w:sz w:val="16"/>
        </w:rPr>
        <w:t>(1)</w:t>
      </w:r>
      <w:r>
        <w:rPr>
          <w:color w:val="000000"/>
        </w:rPr>
        <w:t> </w:t>
      </w:r>
      <w:r>
        <w:rPr>
          <w:rFonts w:ascii="Times New Roman;serif" w:hAnsi="Times New Roman;serif"/>
          <w:b w:val="false"/>
          <w:color w:val="000000"/>
          <w:sz w:val="24"/>
        </w:rPr>
        <w:t>margin of 12.1%, an increase of 7.2 percentage points, compared to 4.9% in the third quarter of fiscal year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Census of approximately 8,050 participants compared to 7,530 participants in the third quarter of fiscal year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Ended the third quarter of fiscal year 2026 with $95.5 million in cash and cash equivalents plus $43.1 million in short-term investments, and $69.4 million in debt on the balance sheet, representing debt under the Company’s senior secured term loan, revolving credit facility and finance lease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Center-level Contribution Margin and Center-level Contribution Margin as a percentage of revenue, Adjusted EBITDA and Adjusted EBITDA margin are non-GAAP measures. For more details and for a definition and reconciliation of these non-GAAP measures to the most closely comparable GAAP measures for the periods indicated, see “Note Regarding Use of Non-GAAP Financial Measures” and “Reconciliation of GAAP and Non-GAAP Measures” below.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 xml:space="preserve">Full Fiscal Year 2026 Financial Guidance </w: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Based on information as of today, May 5, 2026, InnovAge is raising total revenues and Adjusted EBITDA guidance for the full year fiscal 2026. Census and Total Member Months remain unchanged. </w:t>
      </w:r>
    </w:p>
    <w:p>
      <w:pPr>
        <w:pStyle w:val="TextBody"/>
        <w:bidi w:val="0"/>
        <w:spacing w:before="0" w:after="0"/>
        <w:jc w:val="both"/>
        <w:rPr/>
      </w:pPr>
      <w:r>
        <w:rPr/>
      </w:r>
    </w:p>
    <w:tbl>
      <w:tblPr>
        <w:tblW w:w="4146" w:type="dxa"/>
        <w:jc w:val="left"/>
        <w:tblInd w:w="0" w:type="dxa"/>
        <w:tblLayout w:type="fixed"/>
        <w:tblCellMar>
          <w:top w:w="28" w:type="dxa"/>
          <w:left w:w="28" w:type="dxa"/>
          <w:bottom w:w="28" w:type="dxa"/>
          <w:right w:w="28" w:type="dxa"/>
        </w:tblCellMar>
      </w:tblPr>
      <w:tblGrid>
        <w:gridCol w:w="762"/>
        <w:gridCol w:w="672"/>
        <w:gridCol w:w="680"/>
        <w:gridCol w:w="224"/>
        <w:gridCol w:w="497"/>
        <w:gridCol w:w="109"/>
        <w:gridCol w:w="109"/>
        <w:gridCol w:w="109"/>
        <w:gridCol w:w="109"/>
        <w:gridCol w:w="224"/>
        <w:gridCol w:w="497"/>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Revised Guidance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Census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Member Months</w:t>
            </w:r>
            <w:r>
              <w:rPr>
                <w:rFonts w:ascii="Times New Roman;serif" w:hAnsi="Times New Roman;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Expected results and estimates may be impacted by factors outside the Company’s control, and actual results may be materially different from this guidance. See “Forward-Looking Statements - Safe Harbor” included 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We define Total Member Months as the total number of participants as of period end multiplied by the number of months within a year in which each participant was enrolled in our program. Management believes this is a useful metric as it more precisely tracks the number of participants the Company serves throughout the year.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2"/>
        </w:rPr>
        <w:t>(2)</w:t>
      </w:r>
      <w:r>
        <w:rPr>
          <w:rFonts w:ascii="Times New Roman;serif" w:hAnsi="Times New Roman;serif"/>
          <w:b w:val="false"/>
          <w:color w:val="000000"/>
          <w:sz w:val="18"/>
        </w:rPr>
        <w:t>Adjusted EBITDA is a non-GAAP measure. See “Note Regarding Use of Non-GAAP Financial Measures” and “Reconciliation of GAAP and Non-GAAP Measures” for a definition of Adjusted EBITDA and a reconciliation to net income (loss), the most closely comparable GAAP measure. The Company is unable to provide guidance for net income (loss) or a reconciliation of the Company’s Adjusted EBITDA guidance because it cannot provide a meaningful or accurate calculation or estimation of certain reconciling items without unreasonable effort. The Company’s inability to do so is due to the inherent difficulty in forecasting and quantifying certain amounts that are necessary for such reconciliation, including variations in effective tax rate, expenses to be incurred for acquisition activities and other one-time or exceptional items.</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lineRule="auto" w:line="288" w:before="240" w:after="283"/>
        <w:jc w:val="both"/>
        <w:rPr/>
      </w:pPr>
      <w:r>
        <w:rPr>
          <w:rFonts w:ascii="Times New Roman;serif" w:hAnsi="Times New Roman;serif"/>
          <w:b w:val="false"/>
          <w:color w:val="000000"/>
          <w:sz w:val="24"/>
        </w:rPr>
        <w:t>The Company will host a conference call this afternoon at 5:00 PM Eastern Time.  A live audio webcast of the call will be available on the Company’s website, </w:t>
      </w:r>
      <w:r>
        <w:rPr>
          <w:rFonts w:ascii="Times New Roman;serif" w:hAnsi="Times New Roman;serif"/>
          <w:b w:val="false"/>
          <w:color w:val="661DE8"/>
          <w:sz w:val="24"/>
          <w:u w:val="single"/>
        </w:rPr>
        <w:t>https://investor.innovage.com</w:t>
      </w:r>
      <w:r>
        <w:rPr>
          <w:rFonts w:ascii="Times New Roman;serif" w:hAnsi="Times New Roman;serif"/>
          <w:b w:val="false"/>
          <w:color w:val="000000"/>
          <w:sz w:val="24"/>
        </w:rPr>
        <w:t>. A replay of the call will be available via webcast for on-demand listening shortly after the completion of the call, at the same web link, and will remain available for a limited time.  To access the call by phone, please go to this link (</w:t>
      </w:r>
      <w:r>
        <w:rPr>
          <w:rFonts w:ascii="Times New Roman;serif" w:hAnsi="Times New Roman;serif"/>
          <w:b w:val="false"/>
          <w:color w:val="661DE8"/>
          <w:sz w:val="24"/>
          <w:u w:val="single"/>
        </w:rPr>
        <w:t>registration link</w:t>
      </w:r>
      <w:r>
        <w:rPr>
          <w:rFonts w:ascii="Times New Roman;serif" w:hAnsi="Times New Roman;serif"/>
          <w:b w:val="false"/>
          <w:color w:val="000000"/>
          <w:sz w:val="24"/>
        </w:rPr>
        <w:t>), for dialing instructions and a unique access pin.  We encourage participants to dial into the call fifteen minutes ahead of the scheduled start time.</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About InnovAge</w:t>
      </w:r>
    </w:p>
    <w:p>
      <w:pPr>
        <w:pStyle w:val="TextBody"/>
        <w:bidi w:val="0"/>
        <w:spacing w:lineRule="auto" w:line="288" w:before="240" w:after="283"/>
        <w:jc w:val="both"/>
        <w:rPr/>
      </w:pPr>
      <w:r>
        <w:rPr>
          <w:rFonts w:ascii="Times New Roman;serif" w:hAnsi="Times New Roman;serif"/>
          <w:b w:val="false"/>
          <w:color w:val="000000"/>
          <w:sz w:val="24"/>
        </w:rPr>
        <w:t>InnovAge is a market leader in managing the care of high-cost, frail, and predominantly dual-eligible seniors through the Program of All-inclusive Care for the Elderly (PACE). With a mission of enabling older adults to age independently in their own homes for as long as safely possible, InnovAge’s patient-centered care model is designed to improve the quality of care our participants receive while reducing over-utilization of high-cost care settings. InnovAge believes its PACE healthcare model is one in which all constituencies — participants, their families, providers and government payors — “win.” As of March 31, 2026, InnovAge served approximately 8,050 participants across 20 centers in six states. </w:t>
      </w:r>
      <w:r>
        <w:rPr>
          <w:rFonts w:ascii="Times New Roman;serif" w:hAnsi="Times New Roman;serif"/>
          <w:b w:val="false"/>
          <w:color w:val="661DE8"/>
          <w:sz w:val="24"/>
          <w:u w:val="single"/>
        </w:rPr>
        <w:t>https://www.innovage.com</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Investor Contact: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Ryan Kubota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rkubota@innovage.com</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Media Contact: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press@innovage.com</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Forward-Looking Statements - Safe Harbor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This press release may contain “forward-looking statements” within the meaning of the safe harbor provisions of the U.S. Private Securities Litigation Reform Act of 1995. Forward-looking statements can be identified by words such as: “anticipate,” “estimate,” “expect,” “project,” “plan,” “intend,” “believe,” “may,” “will,” “should,” “can have,” “likely” and other words and terms of similar meaning in connection with any discussion of the timing or nature of future operating or financial performance or other events. </w:t>
      </w:r>
      <w:r>
        <w:rPr>
          <w:rFonts w:ascii="Times New Roman;serif" w:hAnsi="Times New Roman;serif"/>
          <w:b w:val="false"/>
          <w:color w:val="212529"/>
          <w:sz w:val="22"/>
        </w:rPr>
        <w:t>Forward-looking statements may be identified by the fact that they</w:t>
      </w:r>
      <w:r>
        <w:rPr>
          <w:color w:val="000000"/>
        </w:rPr>
        <w:t xml:space="preserve"> </w:t>
      </w:r>
      <w:r>
        <w:rPr>
          <w:rFonts w:ascii="Times New Roman;serif" w:hAnsi="Times New Roman;serif"/>
          <w:b w:val="false"/>
          <w:color w:val="000000"/>
          <w:sz w:val="22"/>
        </w:rPr>
        <w:t>do not relate strictly to historical or current facts. Examples of forward-looking statements include, among others, statements we may make regarding quarterly or annual guidance; financial outlook, including future revenues and future earnings; mid-term and long-term financial goals; the viability of our growth strategy including our ability or expectations to increase the number of participants we serve, build and/or open de novo centers, or to identify and execute tuck-in acquisitions, joint ventures and other strategic partnerships; the expected impact of government policies including rate pressures resulting from Medicaid budget cuts, and the macroeconomic environment; our ability to control costs, mitigate the effects of elevated expenses or reduced healthcare budgets, expand our payer capabilities, execute clinical value and operational value initiatives and strengthen enterprise functions; and the effects of any of the foregoing on our future results of operations or financial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Because forward-looking statements relate to the future, they are subject to inherent uncertainties, risks and changes in circumstances that are difficult to predict and many of which are outside of our control and may cause our actual results and financial condition to differ materially. Important factors that could cause our actual results and financial condition to differ materially include, among others, the following: (i) the viability of our growth strategy, including our ability to find suitable geographies for new centers and to attract new participant and retain existing participants in new and existing centers and our ability to obtain licenses to open such centers; (ii) our ability to identify, successfully complete and integrate acquisitions, joint ventures another strategic partnerships; (iii) the impact of state and federal efforts to reduce healthcare spending, including recent legislation reducing the budget that funds Medicaid (iv) the impact on our business from macroeconomic related challenges, including labor shortages and labor competition; (v) inspections, reviews, audits and investigations under the federal and state government programs, including our ability to sufficiently cure any deficiencies identified; (vi) legal proceedings, enforcement actions and litigation and disputes; (vii) the risk that the cost of providing services will exceed our compensation, which we assume under our PACE contracts; (viii) the dependence of our revenues upon a limited number of government payors, including the risk of sudden loss of any of our government contracts; (ix) the risk that our submissions to government payors may contain inaccurate or unsupportable information, including regarding risk adjustment scores of participants, subjecting us to repayment obligations or penalties; (x) and our ability to comply with the continued listing requirements of Nasdaq. </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Forward-looking statements are based only on information currently available to us and speaks only as of the date on which they are made. Except as required by law, we undertake no obligation to publicly update any forward-looking statement, whether written or oral, that may be made from time to time, whether as a result of new information, future developments or otherwise. We advise you not to place undue reliance on forward-looking statements and to review our risk factors and other disclosures included in the reports we file or furnish with the Securities and Exchange Commission, including our Annual Report on Form 10-K, Quarterly Reports on Form 10-Q and Current Reports on Form 8-K.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Note Regarding Use of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reporting financial information in accordance with generally accepted accounting principles (“GAAP”), the Company is also reporting Center-level Contribution Margin, Center-level Contribution Margin as a percent of revenue, Adjusted EBITDA and Adjusted EBITDA margin, which are non-GAAP financial measures. These non-GAAP measures are supplemental measures of operating performance monitored by management that are not defined under GAAP and that do not represent, and should not be considered as, an alternative to the most directly comparable GAAP measures. We believe that these non-GAAP measures are appropriate measures of operating performance because they allow us to more effectively evaluate our core operating performance and trends from period to period. Our definitions and calculations of non-GAAP measures may vary and not be comparable to similarly titled measures reported by other companies. We believe that these non-GAAP measures help investors and analysts in comparing our results across reporting periods on a consistent basis by excluding items that we do not believe are indicative of our core operating performance.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The Company’s management uses Center-level Contribution Margin as the measure for assessing performance of its operating segments and allocating resources, predominantly in the annual budget and forecasting process. For the purpose of evaluating Center-level Contribution Margin on a center-by-center basis, we do not allocate our sales and marketing expense or corporate, general and administrative expenses across our centers. We define Center-level Contribution Margin as total revenues less external provider costs and cost of care, excluding depreciation and amortization, which includes all medical and pharmacy costs.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define Adjusted EBITDA as net income (loss) adjusted for interest expense, net, other investment income, depreciation and amortization, and provision (benefit) for income tax as well as addbacks for non-recurring expenses or exceptional items, including charges relating to management equity compensation, litigation costs and settlement, M&amp;A diligence, transaction and integration, business optimization, impairments and loss on assets held for sale, and loss (gain) on sale of assets. Adjusted EBITDA margin is Adjusted EBITDA expressed as a percentage of our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Schedule 1</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InnovAge</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 THOUSANDS, EXCEPT NUMBER OF SHARES) (UNAUDITED)</w:t>
      </w:r>
    </w:p>
    <w:tbl>
      <w:tblPr>
        <w:tblW w:w="10205" w:type="dxa"/>
        <w:jc w:val="left"/>
        <w:tblInd w:w="0" w:type="dxa"/>
        <w:tblLayout w:type="fixed"/>
        <w:tblCellMar>
          <w:top w:w="28" w:type="dxa"/>
          <w:left w:w="28" w:type="dxa"/>
          <w:bottom w:w="28" w:type="dxa"/>
          <w:right w:w="28" w:type="dxa"/>
        </w:tblCellMar>
      </w:tblPr>
      <w:tblGrid>
        <w:gridCol w:w="2957"/>
        <w:gridCol w:w="2387"/>
        <w:gridCol w:w="2405"/>
        <w:gridCol w:w="196"/>
        <w:gridCol w:w="736"/>
        <w:gridCol w:w="109"/>
        <w:gridCol w:w="109"/>
        <w:gridCol w:w="109"/>
        <w:gridCol w:w="109"/>
        <w:gridCol w:w="196"/>
        <w:gridCol w:w="736"/>
        <w:gridCol w:w="156"/>
      </w:tblGrid>
      <w:tr>
        <w:trPr/>
        <w:tc>
          <w:tcPr>
            <w:tcW w:w="2957"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64,129 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41,775 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Noncurrent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168,044 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142,046 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526,851 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76,750 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and estimated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58,971 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Medicaid and Medicare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Noncurrent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57,464 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Common stock, $0.001 par value; 500,000,000 authorized as of March 31, 2026 and June 30, 2025; 137,174,126 issued and 135,711,147 outstanding as of March 31, 2026 and 136,903,271 issued and 135,440,292 outstanding as of June 30,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Treasury stock at cost, 1,462,979 shares as of March 31, 2026 and June 30,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343,378 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(101,047)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InnovAge Holding Corp.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526,851 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Schedule 2</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InnovAge</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 THOUSANDS, EXCEPT NUMBER OF SHARES AND PER SHARE DATA) (UNAUDITED)</w:t>
      </w:r>
    </w:p>
    <w:tbl>
      <w:tblPr>
        <w:tblW w:w="8938" w:type="dxa"/>
        <w:jc w:val="left"/>
        <w:tblInd w:w="0" w:type="dxa"/>
        <w:tblLayout w:type="fixed"/>
        <w:tblCellMar>
          <w:top w:w="28" w:type="dxa"/>
          <w:left w:w="28" w:type="dxa"/>
          <w:bottom w:w="28" w:type="dxa"/>
          <w:right w:w="28" w:type="dxa"/>
        </w:tblCellMar>
      </w:tblPr>
      <w:tblGrid>
        <w:gridCol w:w="2075"/>
        <w:gridCol w:w="1815"/>
        <w:gridCol w:w="1839"/>
        <w:gridCol w:w="211"/>
        <w:gridCol w:w="826"/>
        <w:gridCol w:w="109"/>
        <w:gridCol w:w="109"/>
        <w:gridCol w:w="109"/>
        <w:gridCol w:w="109"/>
        <w:gridCol w:w="211"/>
        <w:gridCol w:w="826"/>
        <w:gridCol w:w="109"/>
        <w:gridCol w:w="109"/>
        <w:gridCol w:w="109"/>
        <w:gridCol w:w="109"/>
        <w:gridCol w:w="109"/>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InnovAge Holding Corp.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number of common shares outstanding - 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135,704,645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135,200,314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number of common shares outstanding - 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135,704,645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135,200,314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 diluted</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Schedule 3</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InnovAge</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 THOUSANDS) (UNAUDITED)</w:t>
      </w:r>
    </w:p>
    <w:tbl>
      <w:tblPr>
        <w:tblW w:w="10205" w:type="dxa"/>
        <w:jc w:val="left"/>
        <w:tblInd w:w="0" w:type="dxa"/>
        <w:tblLayout w:type="fixed"/>
        <w:tblCellMar>
          <w:top w:w="28" w:type="dxa"/>
          <w:left w:w="28" w:type="dxa"/>
          <w:bottom w:w="28" w:type="dxa"/>
          <w:right w:w="28" w:type="dxa"/>
        </w:tblCellMar>
      </w:tblPr>
      <w:tblGrid>
        <w:gridCol w:w="2840"/>
        <w:gridCol w:w="2376"/>
        <w:gridCol w:w="2389"/>
        <w:gridCol w:w="215"/>
        <w:gridCol w:w="783"/>
        <w:gridCol w:w="111"/>
        <w:gridCol w:w="111"/>
        <w:gridCol w:w="111"/>
        <w:gridCol w:w="111"/>
        <w:gridCol w:w="215"/>
        <w:gridCol w:w="783"/>
        <w:gridCol w:w="160"/>
      </w:tblGrid>
      <w:tr>
        <w:trPr/>
        <w:tc>
          <w:tcPr>
            <w:tcW w:w="2840"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 March 31,</w:t>
            </w:r>
          </w:p>
        </w:tc>
      </w:tr>
      <w:tr>
        <w:trPr/>
        <w:tc>
          <w:tcPr>
            <w:tcW w:w="7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uncollectible accounts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rentals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and estimated claims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Medicaid and Medicare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 held for sale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investments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finance lease obligations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long-term debt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long-term debt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financing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equity securities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joint venture partner</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settlements of stock-based compensation awards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 including cash of $0.08 million reclassified to assets held for sale for the nine months ended March 31, 2026</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78" w:type="dxa"/>
        <w:jc w:val="left"/>
        <w:tblInd w:w="0" w:type="dxa"/>
        <w:tblLayout w:type="fixed"/>
        <w:tblCellMar>
          <w:top w:w="28" w:type="dxa"/>
          <w:left w:w="28" w:type="dxa"/>
          <w:bottom w:w="28" w:type="dxa"/>
          <w:right w:w="28" w:type="dxa"/>
        </w:tblCellMar>
      </w:tblPr>
      <w:tblGrid>
        <w:gridCol w:w="2577"/>
        <w:gridCol w:w="2267"/>
        <w:gridCol w:w="2280"/>
        <w:gridCol w:w="211"/>
        <w:gridCol w:w="721"/>
        <w:gridCol w:w="109"/>
        <w:gridCol w:w="109"/>
        <w:gridCol w:w="109"/>
        <w:gridCol w:w="109"/>
        <w:gridCol w:w="211"/>
        <w:gridCol w:w="721"/>
        <w:gridCol w:w="154"/>
      </w:tblGrid>
      <w:tr>
        <w:trPr/>
        <w:tc>
          <w:tcPr>
            <w:tcW w:w="257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Less: change in cash and restricted cash reclassified to assets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INCREASE IN CASH, CASH EQUIVALENTS &amp;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&amp;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&amp;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Flows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purchased under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Schedule 4</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InnovAge</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RECONCILIATION OF GAAP AND NON-GAAP MEASURES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 THOUSANDS)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EBITDA</w:t>
      </w:r>
    </w:p>
    <w:tbl>
      <w:tblPr>
        <w:tblW w:w="7189" w:type="dxa"/>
        <w:jc w:val="left"/>
        <w:tblInd w:w="0" w:type="dxa"/>
        <w:tblLayout w:type="fixed"/>
        <w:tblCellMar>
          <w:top w:w="28" w:type="dxa"/>
          <w:left w:w="28" w:type="dxa"/>
          <w:bottom w:w="28" w:type="dxa"/>
          <w:right w:w="28" w:type="dxa"/>
        </w:tblCellMar>
      </w:tblPr>
      <w:tblGrid>
        <w:gridCol w:w="1385"/>
        <w:gridCol w:w="1208"/>
        <w:gridCol w:w="1232"/>
        <w:gridCol w:w="211"/>
        <w:gridCol w:w="796"/>
        <w:gridCol w:w="271"/>
        <w:gridCol w:w="109"/>
        <w:gridCol w:w="109"/>
        <w:gridCol w:w="109"/>
        <w:gridCol w:w="211"/>
        <w:gridCol w:w="796"/>
        <w:gridCol w:w="271"/>
        <w:gridCol w:w="109"/>
        <w:gridCol w:w="109"/>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income</w:t>
            </w:r>
            <w:r>
              <w:rPr>
                <w:rFonts w:ascii="Times New Roman;serif" w:hAnsi="Times New Roman;serif"/>
                <w:b w:val="false"/>
                <w:color w:val="000000"/>
                <w:sz w:val="13"/>
              </w:rPr>
              <w:t>(a)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costs and settlement</w:t>
            </w:r>
            <w:r>
              <w:rPr>
                <w:rFonts w:ascii="Times New Roman;serif" w:hAnsi="Times New Roman;serif"/>
                <w:b w:val="false"/>
                <w:color w:val="000000"/>
                <w:sz w:val="13"/>
              </w:rPr>
              <w:t>(b)</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M&amp;A diligence, transaction and integration</w:t>
            </w:r>
            <w:r>
              <w:rPr>
                <w:rFonts w:ascii="Times New Roman;serif" w:hAnsi="Times New Roman;serif"/>
                <w:b w:val="false"/>
                <w:color w:val="000000"/>
                <w:sz w:val="13"/>
              </w:rPr>
              <w:t>(c)</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Business optimization</w:t>
            </w:r>
            <w:r>
              <w:rPr>
                <w:rFonts w:ascii="Times New Roman;serif" w:hAnsi="Times New Roman;serif"/>
                <w:b w:val="false"/>
                <w:color w:val="000000"/>
                <w:sz w:val="13"/>
              </w:rPr>
              <w:t>(d)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Impairments and loss on assets held for sale</w:t>
            </w:r>
            <w:r>
              <w:rPr>
                <w:rFonts w:ascii="Times New Roman;serif" w:hAnsi="Times New Roman;serif"/>
                <w:b w:val="false"/>
                <w:color w:val="000000"/>
                <w:sz w:val="13"/>
              </w:rPr>
              <w: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(a)Reflects investment income related to short-term investments included in our consolidated statement of operations. </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(b)Reflects charges/(credits) related to litigation by stockholders, civil investigative demands, and settlement with our former pharmacy provider. Refer to Note 9, "Commitments and Contingencies" to our condensed consolidated financial statements for more information regarding these proceedings.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 </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(c)Reflects charges related to M&amp;A diligence, transactions and integrations. </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(d)Reflects charges related to business optimization initiatives. Such charges relate to one-time investments in projects designed to enhance our technology and compliance systems and improve and support the efficiency and effectiveness of our operations. For the three months ended March 31, 2026, this consists of costs related to organizational restructure. For the three months ended March 31, 2025, this primarily includes costs related to other non-recurring projects aimed at reducing costs and improving efficiencies. </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(e)For the three months ended March 31, 2025, reflects loss on sale of center equipment that was originally purchased for the previously planned de novo center in Louisville, Kentucky that the Company is no longer pursuing.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09" w:type="dxa"/>
        <w:jc w:val="left"/>
        <w:tblInd w:w="0" w:type="dxa"/>
        <w:tblLayout w:type="fixed"/>
        <w:tblCellMar>
          <w:top w:w="28" w:type="dxa"/>
          <w:left w:w="28" w:type="dxa"/>
          <w:bottom w:w="28" w:type="dxa"/>
          <w:right w:w="28" w:type="dxa"/>
        </w:tblCellMar>
      </w:tblPr>
      <w:tblGrid>
        <w:gridCol w:w="1010"/>
        <w:gridCol w:w="886"/>
        <w:gridCol w:w="894"/>
        <w:gridCol w:w="476"/>
        <w:gridCol w:w="1629"/>
        <w:gridCol w:w="714"/>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income</w:t>
            </w:r>
            <w:r>
              <w:rPr>
                <w:rFonts w:ascii="Times New Roman;serif" w:hAnsi="Times New Roman;serif"/>
                <w:b w:val="false"/>
                <w:color w:val="000000"/>
                <w:sz w:val="13"/>
              </w:rPr>
              <w:t>(a)</w:t>
            </w:r>
          </w:p>
        </w:tc>
        <w:tc>
          <w:tcPr>
            <w:tcW w:w="2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w:t>
            </w:r>
          </w:p>
        </w:tc>
        <w:tc>
          <w:tcPr>
            <w:tcW w:w="2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costs and settlement</w:t>
            </w:r>
            <w:r>
              <w:rPr>
                <w:rFonts w:ascii="Times New Roman;serif" w:hAnsi="Times New Roman;serif"/>
                <w:b w:val="false"/>
                <w:color w:val="000000"/>
                <w:sz w:val="13"/>
              </w:rPr>
              <w:t>(b)</w:t>
            </w:r>
          </w:p>
        </w:tc>
        <w:tc>
          <w:tcPr>
            <w:tcW w:w="2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Business optimization</w:t>
            </w:r>
            <w:r>
              <w:rPr>
                <w:rFonts w:ascii="Times New Roman;serif" w:hAnsi="Times New Roman;serif"/>
                <w:b w:val="false"/>
                <w:color w:val="000000"/>
                <w:sz w:val="13"/>
              </w:rPr>
              <w:t>(c)</w:t>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22,151 </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2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(a)Reflects investment income related to short-term investments included in our consolidated statement of operations. </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(b)Reflects charges/(credits) related to litigation by stockholders, civil investigative demands, and settlement with our former pharmacy provider. Refer to Note 9, "Commitments and Contingencies" to our condensed consolidated financial statements for more information regarding these proceedings.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(c)Reflects charges related to business optimization initiatives. Such charges relate to one-time investments in projects designed to enhance our technology and compliance systems and improve and support the efficiency and effectiveness of our operations. For the three months ended December 31, 2025, this consists of costs related to organizational restructure.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Center-Level Contribution Margin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6"/>
        <w:gridCol w:w="593"/>
        <w:gridCol w:w="556"/>
        <w:gridCol w:w="211"/>
        <w:gridCol w:w="826"/>
        <w:gridCol w:w="109"/>
        <w:gridCol w:w="109"/>
        <w:gridCol w:w="109"/>
        <w:gridCol w:w="109"/>
        <w:gridCol w:w="221"/>
        <w:gridCol w:w="425"/>
        <w:gridCol w:w="114"/>
        <w:gridCol w:w="109"/>
        <w:gridCol w:w="109"/>
        <w:gridCol w:w="109"/>
        <w:gridCol w:w="211"/>
        <w:gridCol w:w="826"/>
        <w:gridCol w:w="271"/>
        <w:gridCol w:w="109"/>
        <w:gridCol w:w="109"/>
        <w:gridCol w:w="109"/>
        <w:gridCol w:w="211"/>
        <w:gridCol w:w="826"/>
        <w:gridCol w:w="109"/>
        <w:gridCol w:w="109"/>
        <w:gridCol w:w="109"/>
        <w:gridCol w:w="109"/>
        <w:gridCol w:w="221"/>
        <w:gridCol w:w="425"/>
        <w:gridCol w:w="114"/>
        <w:gridCol w:w="109"/>
        <w:gridCol w:w="109"/>
        <w:gridCol w:w="109"/>
        <w:gridCol w:w="211"/>
        <w:gridCol w:w="826"/>
        <w:gridCol w:w="318"/>
      </w:tblGrid>
      <w:tr>
        <w:trPr/>
        <w:tc>
          <w:tcPr>
            <w:tcW w:w="9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251,502 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217,819 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251,943 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218,142 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113,247 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107,896 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77,676 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69,499 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61,020 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40,747 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Sales and marketing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6,922 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 general and administrative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38,597 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Operating loss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(29,079)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(10,158)</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Loss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(29,773)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(11,061)</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Loss Before Income Taxes as a percent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Center- Level Contribution Margin as a %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bl>
    <w:tbl>
      <w:tblPr>
        <w:tblW w:w="8673" w:type="dxa"/>
        <w:jc w:val="left"/>
        <w:tblInd w:w="0" w:type="dxa"/>
        <w:tblLayout w:type="fixed"/>
        <w:tblCellMar>
          <w:top w:w="28" w:type="dxa"/>
          <w:left w:w="28" w:type="dxa"/>
          <w:bottom w:w="28" w:type="dxa"/>
          <w:right w:w="28" w:type="dxa"/>
        </w:tblCellMar>
      </w:tblPr>
      <w:tblGrid>
        <w:gridCol w:w="1686"/>
        <w:gridCol w:w="1481"/>
        <w:gridCol w:w="1483"/>
        <w:gridCol w:w="211"/>
        <w:gridCol w:w="826"/>
        <w:gridCol w:w="109"/>
        <w:gridCol w:w="109"/>
        <w:gridCol w:w="109"/>
        <w:gridCol w:w="109"/>
        <w:gridCol w:w="253"/>
        <w:gridCol w:w="487"/>
        <w:gridCol w:w="130"/>
        <w:gridCol w:w="109"/>
        <w:gridCol w:w="109"/>
        <w:gridCol w:w="109"/>
        <w:gridCol w:w="211"/>
        <w:gridCol w:w="826"/>
        <w:gridCol w:w="316"/>
      </w:tblGrid>
      <w:tr>
        <w:trPr/>
        <w:tc>
          <w:tcPr>
            <w:tcW w:w="168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Before Income Taxes as a %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Center- Level Contribution Margin as a %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(a)Center-level Contribution Margin from a segment below the quantitative thresholds were primarily attributable to the Senior Housing operating segment of the Company. This segment never met any of the quantitative thresholds for determining reportable segments. As of September 11, 2025, the Company no longer operates Senior Housing as the remaining Senior Housing assets were sold. </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4329</Words>
  <Characters>24964</Characters>
  <CharactersWithSpaces>28848</CharactersWithSpaces>
  <Paragraphs>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