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 10-K</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200" w:after="283"/>
        <w:jc w:val="center"/>
        <w:rPr/>
      </w:pPr>
      <w:r>
        <w:rPr>
          <w:rFonts w:ascii="Wingdings;sans-serif" w:hAnsi="Wingdings;sans-serif"/>
          <w:b/>
          <w:color w:val="000000"/>
          <w:sz w:val="16"/>
        </w:rPr>
        <w:t>x</w:t>
      </w:r>
      <w:r>
        <w:rPr>
          <w:color w:val="000000"/>
        </w:rPr>
        <w:t>    </w:t>
      </w:r>
      <w:r>
        <w:rPr>
          <w:rFonts w:ascii="Times New Roman;serif" w:hAnsi="Times New Roman;serif"/>
          <w:b/>
          <w:color w:val="000000"/>
          <w:sz w:val="16"/>
        </w:rPr>
        <w:t>ANNUAL REPORT PURSUANT TO SECTION 13 OR 15(d) OF THE SECURITIES</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EXCHANGE ACT OF 1934</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fiscal year ended June 30,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60" w:after="283"/>
        <w:jc w:val="center"/>
        <w:rPr/>
      </w:pPr>
      <w:r>
        <w:rPr>
          <w:rFonts w:ascii="Wingdings;sans-serif" w:hAnsi="Wingdings;sans-serif"/>
          <w:b/>
          <w:color w:val="000000"/>
          <w:sz w:val="16"/>
        </w:rPr>
        <w:t>o</w:t>
      </w:r>
      <w:r>
        <w:rPr>
          <w:color w:val="000000"/>
        </w:rPr>
        <w:t>    </w:t>
      </w:r>
      <w:r>
        <w:rPr>
          <w:rFonts w:ascii="Times New Roman;serif" w:hAnsi="Times New Roman;serif"/>
          <w:b/>
          <w:color w:val="000000"/>
          <w:sz w:val="16"/>
        </w:rPr>
        <w:t>TRANSITION REPORT PURSUANT TO SECTION 13 OR 15(d) OF THE SECURITIES</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EXCHANGE ACT OF 1934</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__________to</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Commission File Number: 001-40159</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before="120" w:after="283"/>
        <w:jc w:val="center"/>
        <w:rPr/>
      </w:pPr>
      <w:r>
        <w:rPr/>
        <w:drawing>
          <wp:inline distT="0" distB="0" distL="0" distR="0">
            <wp:extent cx="19050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524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InnovAge Holding Corp.</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tbl>
      <w:tblPr>
        <w:tblW w:w="4003" w:type="dxa"/>
        <w:jc w:val="left"/>
        <w:tblInd w:w="0" w:type="dxa"/>
        <w:tblLayout w:type="fixed"/>
        <w:tblCellMar>
          <w:top w:w="28" w:type="dxa"/>
          <w:left w:w="28" w:type="dxa"/>
          <w:bottom w:w="28" w:type="dxa"/>
          <w:right w:w="28" w:type="dxa"/>
        </w:tblCellMar>
      </w:tblPr>
      <w:tblGrid>
        <w:gridCol w:w="900"/>
        <w:gridCol w:w="791"/>
        <w:gridCol w:w="798"/>
        <w:gridCol w:w="442"/>
        <w:gridCol w:w="442"/>
        <w:gridCol w:w="630"/>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81-0710819</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Number)</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8950 E. Lowry Boulevard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Denver, CO</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80230</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(844) 803-8745</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w:t>
      </w:r>
    </w:p>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Securities Act:</w:t>
      </w:r>
    </w:p>
    <w:tbl>
      <w:tblPr>
        <w:tblW w:w="7317" w:type="dxa"/>
        <w:jc w:val="left"/>
        <w:tblInd w:w="0" w:type="dxa"/>
        <w:tblLayout w:type="fixed"/>
        <w:tblCellMar>
          <w:top w:w="28" w:type="dxa"/>
          <w:left w:w="28" w:type="dxa"/>
          <w:bottom w:w="28" w:type="dxa"/>
          <w:right w:w="28" w:type="dxa"/>
        </w:tblCellMar>
      </w:tblPr>
      <w:tblGrid>
        <w:gridCol w:w="922"/>
        <w:gridCol w:w="808"/>
        <w:gridCol w:w="819"/>
        <w:gridCol w:w="484"/>
        <w:gridCol w:w="484"/>
        <w:gridCol w:w="486"/>
        <w:gridCol w:w="970"/>
        <w:gridCol w:w="970"/>
        <w:gridCol w:w="1374"/>
      </w:tblGrid>
      <w:tr>
        <w:trPr/>
        <w:tc>
          <w:tcPr>
            <w:tcW w:w="9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left w:val="single" w:sz="8" w:space="0" w:color="000000"/>
            </w:tcBorders>
            <w:tcMar>
              <w:top w:w="52" w:type="dxa"/>
              <w:left w:w="38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52" w:type="dxa"/>
              <w:left w:w="38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52" w:type="dxa"/>
              <w:left w:w="380" w:type="dxa"/>
              <w:bottom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$0.001 par value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INNV</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The Nasdaq Stock Market LLC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Securities registered pursuant to Section 12(g) of the Securities Act: </w:t>
      </w:r>
      <w:r>
        <w:rPr>
          <w:rFonts w:ascii="Times New Roman;serif" w:hAnsi="Times New Roman;serif"/>
          <w:b/>
          <w:color w:val="000000"/>
          <w:sz w:val="16"/>
        </w:rPr>
        <w:t>None.</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r>
        <w:rPr>
          <w:color w:val="000000"/>
        </w:rPr>
        <w:t xml:space="preserve">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671" w:type="dxa"/>
        <w:jc w:val="left"/>
        <w:tblInd w:w="0" w:type="dxa"/>
        <w:tblLayout w:type="fixed"/>
        <w:tblCellMar>
          <w:top w:w="28" w:type="dxa"/>
          <w:left w:w="28" w:type="dxa"/>
          <w:bottom w:w="28" w:type="dxa"/>
          <w:right w:w="28" w:type="dxa"/>
        </w:tblCellMar>
      </w:tblPr>
      <w:tblGrid>
        <w:gridCol w:w="603"/>
        <w:gridCol w:w="530"/>
        <w:gridCol w:w="532"/>
        <w:gridCol w:w="205"/>
        <w:gridCol w:w="205"/>
        <w:gridCol w:w="206"/>
        <w:gridCol w:w="669"/>
        <w:gridCol w:w="669"/>
        <w:gridCol w:w="672"/>
        <w:gridCol w:w="215"/>
        <w:gridCol w:w="215"/>
        <w:gridCol w:w="216"/>
        <w:gridCol w:w="674"/>
        <w:gridCol w:w="674"/>
        <w:gridCol w:w="677"/>
        <w:gridCol w:w="109"/>
        <w:gridCol w:w="109"/>
        <w:gridCol w:w="491"/>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68" w:before="200" w:after="283"/>
        <w:ind w:left="0" w:right="0" w:firstLine="36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Based on the closing price of the registrant’s common stock as reported on the Nasdaq Global Select Market, the aggregate market value of the registrant’s common stock held by non-affiliates on December 31, 2025 (the last business day of the registrant’s most recently completed second fiscal quarter) was $111.4 million.</w:t>
      </w:r>
    </w:p>
    <w:p>
      <w:pPr>
        <w:pStyle w:val="TextBody"/>
        <w:bidi w:val="0"/>
        <w:spacing w:lineRule="auto" w:line="288" w:before="12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September 1, 2026, there were 136,451,425 shares of the registrant’s common stock outstanding.</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120" w:after="283"/>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 xml:space="preserve">Portions of the registrant’s proxy statement for the upcoming Annual Meeting of Stockholders to be filed with the U.S. Securities and Exchange Commission no later than 120 days after the end of the registrant’s fiscal year ended June 30, 2026, are incorporated by reference in Part III of this Annual Report on Form 10-K to the extent described herein.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8"/>
        <w:gridCol w:w="288"/>
        <w:gridCol w:w="290"/>
        <w:gridCol w:w="2974"/>
        <w:gridCol w:w="2966"/>
        <w:gridCol w:w="2984"/>
        <w:gridCol w:w="109"/>
        <w:gridCol w:w="109"/>
        <w:gridCol w:w="157"/>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3">
              <w:r>
                <w:rPr>
                  <w:rStyle w:val="InternetLink"/>
                  <w:rFonts w:ascii="Times New Roman;serif" w:hAnsi="Times New Roman;serif"/>
                  <w:b/>
                  <w:color w:val="0000FF"/>
                  <w:sz w:val="20"/>
                  <w:u w:val="single"/>
                </w:rPr>
                <w:t>PART I</w:t>
              </w:r>
            </w:hyperlink>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3">
              <w:r>
                <w:rPr>
                  <w:rStyle w:val="InternetLink"/>
                  <w:rFonts w:ascii="Times New Roman;serif" w:hAnsi="Times New Roman;serif"/>
                  <w:b w:val="false"/>
                  <w:strike w:val="false"/>
                  <w:dstrike w:val="false"/>
                  <w:color w:val="000000"/>
                  <w:sz w:val="20"/>
                  <w:u w:val="none"/>
                  <w:effect w:val="none"/>
                </w:rPr>
                <w:t>1</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
              <w:r>
                <w:rPr>
                  <w:rStyle w:val="InternetLink"/>
                  <w:rFonts w:ascii="Times New Roman;serif" w:hAnsi="Times New Roman;serif"/>
                  <w:b w:val="false"/>
                  <w:color w:val="0000FF"/>
                  <w:sz w:val="20"/>
                  <w:u w:val="single"/>
                </w:rPr>
                <w:t>Item 1.</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
              <w:r>
                <w:rPr>
                  <w:rStyle w:val="InternetLink"/>
                  <w:rFonts w:ascii="Times New Roman;serif" w:hAnsi="Times New Roman;serif"/>
                  <w:b w:val="false"/>
                  <w:color w:val="0000FF"/>
                  <w:sz w:val="20"/>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6">
              <w:r>
                <w:rPr>
                  <w:rStyle w:val="InternetLink"/>
                  <w:rFonts w:ascii="Times New Roman;serif" w:hAnsi="Times New Roman;serif"/>
                  <w:b w:val="false"/>
                  <w:strike w:val="false"/>
                  <w:dstrike w:val="false"/>
                  <w:color w:val="000000"/>
                  <w:sz w:val="20"/>
                  <w:u w:val="none"/>
                  <w:effect w:val="none"/>
                </w:rPr>
                <w:t>1</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
              <w:r>
                <w:rPr>
                  <w:rStyle w:val="InternetLink"/>
                  <w:rFonts w:ascii="Times New Roman;serif" w:hAnsi="Times New Roman;serif"/>
                  <w:b w:val="false"/>
                  <w:color w:val="0000FF"/>
                  <w:sz w:val="20"/>
                  <w:u w:val="single"/>
                </w:rPr>
                <w:t>Item 1A.</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9">
              <w:r>
                <w:rPr>
                  <w:rStyle w:val="InternetLink"/>
                  <w:rFonts w:ascii="Times New Roman;serif" w:hAnsi="Times New Roman;serif"/>
                  <w:b w:val="false"/>
                  <w:strike w:val="false"/>
                  <w:dstrike w:val="false"/>
                  <w:color w:val="000000"/>
                  <w:sz w:val="20"/>
                  <w:u w:val="none"/>
                  <w:effect w:val="none"/>
                </w:rPr>
                <w:t>17</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22">
              <w:r>
                <w:rPr>
                  <w:rStyle w:val="InternetLink"/>
                  <w:rFonts w:ascii="Times New Roman;serif" w:hAnsi="Times New Roman;serif"/>
                  <w:b w:val="false"/>
                  <w:color w:val="0000FF"/>
                  <w:sz w:val="20"/>
                  <w:u w:val="single"/>
                </w:rPr>
                <w:t>Item 1B.</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22">
              <w:r>
                <w:rPr>
                  <w:rStyle w:val="InternetLink"/>
                  <w:rFonts w:ascii="Times New Roman;serif" w:hAnsi="Times New Roman;serif"/>
                  <w:b w:val="false"/>
                  <w:color w:val="0000FF"/>
                  <w:sz w:val="20"/>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22">
              <w:r>
                <w:rPr>
                  <w:rStyle w:val="InternetLink"/>
                  <w:rFonts w:ascii="Times New Roman;serif" w:hAnsi="Times New Roman;serif"/>
                  <w:b w:val="false"/>
                  <w:strike w:val="false"/>
                  <w:dstrike w:val="false"/>
                  <w:color w:val="000000"/>
                  <w:sz w:val="20"/>
                  <w:u w:val="none"/>
                  <w:effect w:val="none"/>
                </w:rPr>
                <w:t>44</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25">
              <w:r>
                <w:rPr>
                  <w:rStyle w:val="InternetLink"/>
                  <w:rFonts w:ascii="Times New Roman;serif" w:hAnsi="Times New Roman;serif"/>
                  <w:b w:val="false"/>
                  <w:color w:val="0000FF"/>
                  <w:sz w:val="20"/>
                  <w:u w:val="single"/>
                </w:rPr>
                <w:t>Item 1C.</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25">
              <w:r>
                <w:rPr>
                  <w:rStyle w:val="InternetLink"/>
                  <w:rFonts w:ascii="Times New Roman;serif" w:hAnsi="Times New Roman;serif"/>
                  <w:b w:val="false"/>
                  <w:color w:val="0000FF"/>
                  <w:sz w:val="20"/>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25">
              <w:r>
                <w:rPr>
                  <w:rStyle w:val="InternetLink"/>
                  <w:rFonts w:ascii="Times New Roman;serif" w:hAnsi="Times New Roman;serif"/>
                  <w:b w:val="false"/>
                  <w:strike w:val="false"/>
                  <w:dstrike w:val="false"/>
                  <w:color w:val="000000"/>
                  <w:sz w:val="20"/>
                  <w:u w:val="none"/>
                  <w:effect w:val="none"/>
                </w:rPr>
                <w:t>44</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28">
              <w:r>
                <w:rPr>
                  <w:rStyle w:val="InternetLink"/>
                  <w:rFonts w:ascii="Times New Roman;serif" w:hAnsi="Times New Roman;serif"/>
                  <w:b w:val="false"/>
                  <w:color w:val="0000FF"/>
                  <w:sz w:val="20"/>
                  <w:u w:val="single"/>
                </w:rPr>
                <w:t>Item 2.</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28">
              <w:r>
                <w:rPr>
                  <w:rStyle w:val="InternetLink"/>
                  <w:rFonts w:ascii="Times New Roman;serif" w:hAnsi="Times New Roman;serif"/>
                  <w:b w:val="false"/>
                  <w:color w:val="0000FF"/>
                  <w:sz w:val="20"/>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28">
              <w:r>
                <w:rPr>
                  <w:rStyle w:val="InternetLink"/>
                  <w:rFonts w:ascii="Times New Roman;serif" w:hAnsi="Times New Roman;serif"/>
                  <w:b w:val="false"/>
                  <w:strike w:val="false"/>
                  <w:dstrike w:val="false"/>
                  <w:color w:val="000000"/>
                  <w:sz w:val="20"/>
                  <w:u w:val="none"/>
                  <w:effect w:val="none"/>
                </w:rPr>
                <w:t>45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31">
              <w:r>
                <w:rPr>
                  <w:rStyle w:val="InternetLink"/>
                  <w:rFonts w:ascii="Times New Roman;serif" w:hAnsi="Times New Roman;serif"/>
                  <w:b w:val="false"/>
                  <w:color w:val="0000FF"/>
                  <w:sz w:val="20"/>
                  <w:u w:val="single"/>
                </w:rPr>
                <w:t>Item 3.</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31">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31">
              <w:r>
                <w:rPr>
                  <w:rStyle w:val="InternetLink"/>
                  <w:rFonts w:ascii="Times New Roman;serif" w:hAnsi="Times New Roman;serif"/>
                  <w:b w:val="false"/>
                  <w:strike w:val="false"/>
                  <w:dstrike w:val="false"/>
                  <w:color w:val="000000"/>
                  <w:sz w:val="20"/>
                  <w:u w:val="none"/>
                  <w:effect w:val="none"/>
                </w:rPr>
                <w:t>45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34">
              <w:r>
                <w:rPr>
                  <w:rStyle w:val="InternetLink"/>
                  <w:rFonts w:ascii="Times New Roman;serif" w:hAnsi="Times New Roman;serif"/>
                  <w:b w:val="false"/>
                  <w:color w:val="0000FF"/>
                  <w:sz w:val="20"/>
                  <w:u w:val="single"/>
                </w:rPr>
                <w:t>Item 4.</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34">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34">
              <w:r>
                <w:rPr>
                  <w:rStyle w:val="InternetLink"/>
                  <w:rFonts w:ascii="Times New Roman;serif" w:hAnsi="Times New Roman;serif"/>
                  <w:b w:val="false"/>
                  <w:strike w:val="false"/>
                  <w:dstrike w:val="false"/>
                  <w:color w:val="000000"/>
                  <w:sz w:val="20"/>
                  <w:u w:val="none"/>
                  <w:effect w:val="none"/>
                </w:rPr>
                <w:t>45</w:t>
              </w:r>
            </w:hyperlink>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37">
              <w:r>
                <w:rPr>
                  <w:rStyle w:val="InternetLink"/>
                  <w:rFonts w:ascii="Times New Roman;serif" w:hAnsi="Times New Roman;serif"/>
                  <w:b/>
                  <w:color w:val="0000FF"/>
                  <w:sz w:val="20"/>
                  <w:u w:val="single"/>
                </w:rPr>
                <w:t>PART II</w:t>
              </w:r>
            </w:hyperlink>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37">
              <w:r>
                <w:rPr>
                  <w:rStyle w:val="InternetLink"/>
                  <w:rFonts w:ascii="Times New Roman;serif" w:hAnsi="Times New Roman;serif"/>
                  <w:b w:val="false"/>
                  <w:strike w:val="false"/>
                  <w:dstrike w:val="false"/>
                  <w:color w:val="000000"/>
                  <w:sz w:val="20"/>
                  <w:u w:val="none"/>
                  <w:effect w:val="none"/>
                </w:rPr>
                <w:t>46</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40">
              <w:r>
                <w:rPr>
                  <w:rStyle w:val="InternetLink"/>
                  <w:rFonts w:ascii="Times New Roman;serif" w:hAnsi="Times New Roman;serif"/>
                  <w:b w:val="false"/>
                  <w:color w:val="0000FF"/>
                  <w:sz w:val="20"/>
                  <w:u w:val="single"/>
                </w:rPr>
                <w:t>Item 5.</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40">
              <w:r>
                <w:rPr>
                  <w:rStyle w:val="InternetLink"/>
                  <w:rFonts w:ascii="Times New Roman;serif" w:hAnsi="Times New Roman;serif"/>
                  <w:b w:val="false"/>
                  <w:strike w:val="false"/>
                  <w:dstrike w:val="false"/>
                  <w:color w:val="000000"/>
                  <w:sz w:val="20"/>
                  <w:u w:val="none"/>
                  <w:effect w:val="none"/>
                </w:rPr>
                <w:t>46</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43">
              <w:r>
                <w:rPr>
                  <w:rStyle w:val="InternetLink"/>
                  <w:rFonts w:ascii="Times New Roman;serif" w:hAnsi="Times New Roman;serif"/>
                  <w:b w:val="false"/>
                  <w:color w:val="0000FF"/>
                  <w:sz w:val="20"/>
                  <w:u w:val="single"/>
                </w:rPr>
                <w:t>Item 6.</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43">
              <w:r>
                <w:rPr>
                  <w:rStyle w:val="InternetLink"/>
                  <w:rFonts w:ascii="Times New Roman;serif" w:hAnsi="Times New Roman;serif"/>
                  <w:b w:val="false"/>
                  <w:color w:val="0000FF"/>
                  <w:sz w:val="20"/>
                  <w:u w:val="single"/>
                </w:rPr>
                <w:t>Reserved</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43">
              <w:r>
                <w:rPr>
                  <w:rStyle w:val="InternetLink"/>
                  <w:rFonts w:ascii="Times New Roman;serif" w:hAnsi="Times New Roman;serif"/>
                  <w:b w:val="false"/>
                  <w:strike w:val="false"/>
                  <w:dstrike w:val="false"/>
                  <w:color w:val="000000"/>
                  <w:sz w:val="20"/>
                  <w:u w:val="none"/>
                  <w:effect w:val="none"/>
                </w:rPr>
                <w:t>46</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46">
              <w:r>
                <w:rPr>
                  <w:rStyle w:val="InternetLink"/>
                  <w:rFonts w:ascii="Times New Roman;serif" w:hAnsi="Times New Roman;serif"/>
                  <w:b w:val="false"/>
                  <w:color w:val="0000FF"/>
                  <w:sz w:val="20"/>
                  <w:u w:val="single"/>
                </w:rPr>
                <w:t>Item 7.</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46">
              <w:r>
                <w:rPr>
                  <w:rStyle w:val="InternetLink"/>
                  <w:rFonts w:ascii="Times New Roman;serif" w:hAnsi="Times New Roman;serif"/>
                  <w:b w:val="false"/>
                  <w:strike w:val="false"/>
                  <w:dstrike w:val="false"/>
                  <w:color w:val="000000"/>
                  <w:sz w:val="20"/>
                  <w:u w:val="none"/>
                  <w:effect w:val="none"/>
                </w:rPr>
                <w:t>47</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79">
              <w:r>
                <w:rPr>
                  <w:rStyle w:val="InternetLink"/>
                  <w:rFonts w:ascii="Times New Roman;serif" w:hAnsi="Times New Roman;serif"/>
                  <w:b w:val="false"/>
                  <w:color w:val="0000FF"/>
                  <w:sz w:val="20"/>
                  <w:u w:val="single"/>
                </w:rPr>
                <w:t>Item 7A.</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79">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79">
              <w:r>
                <w:rPr>
                  <w:rStyle w:val="InternetLink"/>
                  <w:rFonts w:ascii="Times New Roman;serif" w:hAnsi="Times New Roman;serif"/>
                  <w:b w:val="false"/>
                  <w:strike w:val="false"/>
                  <w:dstrike w:val="false"/>
                  <w:color w:val="000000"/>
                  <w:sz w:val="20"/>
                  <w:u w:val="none"/>
                  <w:effect w:val="none"/>
                </w:rPr>
                <w:t>62</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82">
              <w:r>
                <w:rPr>
                  <w:rStyle w:val="InternetLink"/>
                  <w:rFonts w:ascii="Times New Roman;serif" w:hAnsi="Times New Roman;serif"/>
                  <w:b w:val="false"/>
                  <w:color w:val="0000FF"/>
                  <w:sz w:val="20"/>
                  <w:u w:val="single"/>
                </w:rPr>
                <w:t>Item 8.</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82">
              <w:r>
                <w:rPr>
                  <w:rStyle w:val="InternetLink"/>
                  <w:rFonts w:ascii="Times New Roman;serif" w:hAnsi="Times New Roman;serif"/>
                  <w:b w:val="false"/>
                  <w:color w:val="0000FF"/>
                  <w:sz w:val="20"/>
                  <w:u w:val="singl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82">
              <w:r>
                <w:rPr>
                  <w:rStyle w:val="InternetLink"/>
                  <w:rFonts w:ascii="Times New Roman;serif" w:hAnsi="Times New Roman;serif"/>
                  <w:b w:val="false"/>
                  <w:strike w:val="false"/>
                  <w:dstrike w:val="false"/>
                  <w:color w:val="000000"/>
                  <w:sz w:val="20"/>
                  <w:u w:val="none"/>
                  <w:effect w:val="none"/>
                </w:rPr>
                <w:t>63</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57">
              <w:r>
                <w:rPr>
                  <w:rStyle w:val="InternetLink"/>
                  <w:rFonts w:ascii="Times New Roman;serif" w:hAnsi="Times New Roman;serif"/>
                  <w:b w:val="false"/>
                  <w:color w:val="0000FF"/>
                  <w:sz w:val="20"/>
                  <w:u w:val="single"/>
                </w:rPr>
                <w:t>Item 9.</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5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57">
              <w:r>
                <w:rPr>
                  <w:rStyle w:val="InternetLink"/>
                  <w:rFonts w:ascii="Times New Roman;serif" w:hAnsi="Times New Roman;serif"/>
                  <w:b w:val="false"/>
                  <w:strike w:val="false"/>
                  <w:dstrike w:val="false"/>
                  <w:color w:val="000000"/>
                  <w:sz w:val="20"/>
                  <w:u w:val="none"/>
                  <w:effect w:val="none"/>
                </w:rPr>
                <w:t>94</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0">
              <w:r>
                <w:rPr>
                  <w:rStyle w:val="InternetLink"/>
                  <w:rFonts w:ascii="Times New Roman;serif" w:hAnsi="Times New Roman;serif"/>
                  <w:b w:val="false"/>
                  <w:color w:val="0000FF"/>
                  <w:sz w:val="20"/>
                  <w:u w:val="single"/>
                </w:rPr>
                <w:t>Item 9A.</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0">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60">
              <w:r>
                <w:rPr>
                  <w:rStyle w:val="InternetLink"/>
                  <w:rFonts w:ascii="Times New Roman;serif" w:hAnsi="Times New Roman;serif"/>
                  <w:b w:val="false"/>
                  <w:strike w:val="false"/>
                  <w:dstrike w:val="false"/>
                  <w:color w:val="000000"/>
                  <w:sz w:val="20"/>
                  <w:u w:val="none"/>
                  <w:effect w:val="none"/>
                </w:rPr>
                <w:t>94</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3">
              <w:r>
                <w:rPr>
                  <w:rStyle w:val="InternetLink"/>
                  <w:rFonts w:ascii="Times New Roman;serif" w:hAnsi="Times New Roman;serif"/>
                  <w:b w:val="false"/>
                  <w:color w:val="0000FF"/>
                  <w:sz w:val="20"/>
                  <w:u w:val="single"/>
                </w:rPr>
                <w:t>Item 9B.</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3">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63">
              <w:r>
                <w:rPr>
                  <w:rStyle w:val="InternetLink"/>
                  <w:rFonts w:ascii="Times New Roman;serif" w:hAnsi="Times New Roman;serif"/>
                  <w:b w:val="false"/>
                  <w:strike w:val="false"/>
                  <w:dstrike w:val="false"/>
                  <w:color w:val="000000"/>
                  <w:sz w:val="20"/>
                  <w:u w:val="none"/>
                  <w:effect w:val="none"/>
                </w:rPr>
                <w:t>94</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9">
              <w:r>
                <w:rPr>
                  <w:rStyle w:val="InternetLink"/>
                  <w:rFonts w:ascii="Times New Roman;serif" w:hAnsi="Times New Roman;serif"/>
                  <w:b w:val="false"/>
                  <w:color w:val="0000FF"/>
                  <w:sz w:val="20"/>
                  <w:u w:val="single"/>
                </w:rPr>
                <w:t>Item 9C.</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69">
              <w:r>
                <w:rPr>
                  <w:rStyle w:val="InternetLink"/>
                  <w:rFonts w:ascii="Times New Roman;serif" w:hAnsi="Times New Roman;serif"/>
                  <w:b w:val="false"/>
                  <w:color w:val="0000FF"/>
                  <w:sz w:val="20"/>
                  <w:u w:val="singl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69">
              <w:r>
                <w:rPr>
                  <w:rStyle w:val="InternetLink"/>
                  <w:rFonts w:ascii="Times New Roman;serif" w:hAnsi="Times New Roman;serif"/>
                  <w:b w:val="false"/>
                  <w:strike w:val="false"/>
                  <w:dstrike w:val="false"/>
                  <w:color w:val="000000"/>
                  <w:sz w:val="20"/>
                  <w:u w:val="none"/>
                  <w:effect w:val="none"/>
                </w:rPr>
                <w:t>94</w:t>
              </w:r>
            </w:hyperlink>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72">
              <w:r>
                <w:rPr>
                  <w:rStyle w:val="InternetLink"/>
                  <w:rFonts w:ascii="Times New Roman;serif" w:hAnsi="Times New Roman;serif"/>
                  <w:b/>
                  <w:color w:val="0000FF"/>
                  <w:sz w:val="20"/>
                  <w:u w:val="single"/>
                </w:rPr>
                <w:t>PART III</w:t>
              </w:r>
            </w:hyperlink>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72">
              <w:r>
                <w:rPr>
                  <w:rStyle w:val="InternetLink"/>
                  <w:rFonts w:ascii="Times New Roman;serif" w:hAnsi="Times New Roman;serif"/>
                  <w:b w:val="false"/>
                  <w:strike w:val="false"/>
                  <w:dstrike w:val="false"/>
                  <w:color w:val="000000"/>
                  <w:sz w:val="20"/>
                  <w:u w:val="none"/>
                  <w:effect w:val="none"/>
                </w:rPr>
                <w:t>95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75">
              <w:r>
                <w:rPr>
                  <w:rStyle w:val="InternetLink"/>
                  <w:rFonts w:ascii="Times New Roman;serif" w:hAnsi="Times New Roman;serif"/>
                  <w:b w:val="false"/>
                  <w:color w:val="0000FF"/>
                  <w:sz w:val="20"/>
                  <w:u w:val="single"/>
                </w:rPr>
                <w:t>Item 10.</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75">
              <w:r>
                <w:rPr>
                  <w:rStyle w:val="InternetLink"/>
                  <w:rFonts w:ascii="Times New Roman;serif" w:hAnsi="Times New Roman;serif"/>
                  <w:b w:val="false"/>
                  <w:color w:val="0000FF"/>
                  <w:sz w:val="20"/>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75">
              <w:r>
                <w:rPr>
                  <w:rStyle w:val="InternetLink"/>
                  <w:rFonts w:ascii="Times New Roman;serif" w:hAnsi="Times New Roman;serif"/>
                  <w:b w:val="false"/>
                  <w:strike w:val="false"/>
                  <w:dstrike w:val="false"/>
                  <w:color w:val="000000"/>
                  <w:sz w:val="20"/>
                  <w:u w:val="none"/>
                  <w:effect w:val="none"/>
                </w:rPr>
                <w:t>95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78">
              <w:r>
                <w:rPr>
                  <w:rStyle w:val="InternetLink"/>
                  <w:rFonts w:ascii="Times New Roman;serif" w:hAnsi="Times New Roman;serif"/>
                  <w:b w:val="false"/>
                  <w:color w:val="0000FF"/>
                  <w:sz w:val="20"/>
                  <w:u w:val="single"/>
                </w:rPr>
                <w:t>Item 11.</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78">
              <w:r>
                <w:rPr>
                  <w:rStyle w:val="InternetLink"/>
                  <w:rFonts w:ascii="Times New Roman;serif" w:hAnsi="Times New Roman;serif"/>
                  <w:b w:val="false"/>
                  <w:color w:val="0000FF"/>
                  <w:sz w:val="20"/>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78">
              <w:r>
                <w:rPr>
                  <w:rStyle w:val="InternetLink"/>
                  <w:rFonts w:ascii="Times New Roman;serif" w:hAnsi="Times New Roman;serif"/>
                  <w:b w:val="false"/>
                  <w:strike w:val="false"/>
                  <w:dstrike w:val="false"/>
                  <w:color w:val="000000"/>
                  <w:sz w:val="20"/>
                  <w:u w:val="none"/>
                  <w:effect w:val="none"/>
                </w:rPr>
                <w:t>95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81">
              <w:r>
                <w:rPr>
                  <w:rStyle w:val="InternetLink"/>
                  <w:rFonts w:ascii="Times New Roman;serif" w:hAnsi="Times New Roman;serif"/>
                  <w:b w:val="false"/>
                  <w:color w:val="0000FF"/>
                  <w:sz w:val="20"/>
                  <w:u w:val="single"/>
                </w:rPr>
                <w:t>Item 12.</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8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81">
              <w:r>
                <w:rPr>
                  <w:rStyle w:val="InternetLink"/>
                  <w:rFonts w:ascii="Times New Roman;serif" w:hAnsi="Times New Roman;serif"/>
                  <w:b w:val="false"/>
                  <w:strike w:val="false"/>
                  <w:dstrike w:val="false"/>
                  <w:color w:val="000000"/>
                  <w:sz w:val="20"/>
                  <w:u w:val="none"/>
                  <w:effect w:val="none"/>
                </w:rPr>
                <w:t>95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84">
              <w:r>
                <w:rPr>
                  <w:rStyle w:val="InternetLink"/>
                  <w:rFonts w:ascii="Times New Roman;serif" w:hAnsi="Times New Roman;serif"/>
                  <w:b w:val="false"/>
                  <w:color w:val="0000FF"/>
                  <w:sz w:val="20"/>
                  <w:u w:val="single"/>
                </w:rPr>
                <w:t>Item 13.</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84">
              <w:r>
                <w:rPr>
                  <w:rStyle w:val="InternetLink"/>
                  <w:rFonts w:ascii="Times New Roman;serif" w:hAnsi="Times New Roman;serif"/>
                  <w:b w:val="false"/>
                  <w:color w:val="0000FF"/>
                  <w:sz w:val="20"/>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84">
              <w:r>
                <w:rPr>
                  <w:rStyle w:val="InternetLink"/>
                  <w:rFonts w:ascii="Times New Roman;serif" w:hAnsi="Times New Roman;serif"/>
                  <w:b w:val="false"/>
                  <w:strike w:val="false"/>
                  <w:dstrike w:val="false"/>
                  <w:color w:val="000000"/>
                  <w:sz w:val="20"/>
                  <w:u w:val="none"/>
                  <w:effect w:val="none"/>
                </w:rPr>
                <w:t>95</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87">
              <w:r>
                <w:rPr>
                  <w:rStyle w:val="InternetLink"/>
                  <w:rFonts w:ascii="Times New Roman;serif" w:hAnsi="Times New Roman;serif"/>
                  <w:b w:val="false"/>
                  <w:color w:val="0000FF"/>
                  <w:sz w:val="20"/>
                  <w:u w:val="single"/>
                </w:rPr>
                <w:t>Item 14.</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87">
              <w:r>
                <w:rPr>
                  <w:rStyle w:val="InternetLink"/>
                  <w:rFonts w:ascii="Times New Roman;serif" w:hAnsi="Times New Roman;serif"/>
                  <w:b w:val="false"/>
                  <w:color w:val="0000FF"/>
                  <w:sz w:val="20"/>
                  <w:u w:val="single"/>
                </w:rPr>
                <w:t>Principal Accounting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87">
              <w:r>
                <w:rPr>
                  <w:rStyle w:val="InternetLink"/>
                  <w:rFonts w:ascii="Times New Roman;serif" w:hAnsi="Times New Roman;serif"/>
                  <w:b w:val="false"/>
                  <w:strike w:val="false"/>
                  <w:dstrike w:val="false"/>
                  <w:color w:val="000000"/>
                  <w:sz w:val="20"/>
                  <w:u w:val="none"/>
                  <w:effect w:val="none"/>
                </w:rPr>
                <w:t>95</w:t>
              </w:r>
            </w:hyperlink>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0">
              <w:r>
                <w:rPr>
                  <w:rStyle w:val="InternetLink"/>
                  <w:rFonts w:ascii="Times New Roman;serif" w:hAnsi="Times New Roman;serif"/>
                  <w:b/>
                  <w:color w:val="0000FF"/>
                  <w:sz w:val="20"/>
                  <w:u w:val="single"/>
                </w:rPr>
                <w:t>PART IV</w:t>
              </w:r>
            </w:hyperlink>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90">
              <w:r>
                <w:rPr>
                  <w:rStyle w:val="InternetLink"/>
                  <w:rFonts w:ascii="Times New Roman;serif" w:hAnsi="Times New Roman;serif"/>
                  <w:b w:val="false"/>
                  <w:strike w:val="false"/>
                  <w:dstrike w:val="false"/>
                  <w:color w:val="000000"/>
                  <w:sz w:val="20"/>
                  <w:u w:val="none"/>
                  <w:effect w:val="none"/>
                </w:rPr>
                <w:t>96</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3">
              <w:r>
                <w:rPr>
                  <w:rStyle w:val="InternetLink"/>
                  <w:rFonts w:ascii="Times New Roman;serif" w:hAnsi="Times New Roman;serif"/>
                  <w:b w:val="false"/>
                  <w:color w:val="0000FF"/>
                  <w:sz w:val="20"/>
                  <w:u w:val="single"/>
                </w:rPr>
                <w:t>Item 15.</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3">
              <w:r>
                <w:rPr>
                  <w:rStyle w:val="InternetLink"/>
                  <w:rFonts w:ascii="Times New Roman;serif" w:hAnsi="Times New Roman;serif"/>
                  <w:b w:val="false"/>
                  <w:color w:val="0000FF"/>
                  <w:sz w:val="20"/>
                  <w:u w:val="single"/>
                </w:rPr>
                <w:t>Exhibits, Financial Statement Schedules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96">
              <w:r>
                <w:rPr>
                  <w:rStyle w:val="InternetLink"/>
                  <w:rFonts w:ascii="Times New Roman;serif" w:hAnsi="Times New Roman;serif"/>
                  <w:b w:val="false"/>
                  <w:strike w:val="false"/>
                  <w:dstrike w:val="false"/>
                  <w:color w:val="000000"/>
                  <w:sz w:val="20"/>
                  <w:u w:val="none"/>
                  <w:effect w:val="none"/>
                </w:rPr>
                <w:t>98</w:t>
              </w:r>
            </w:hyperlink>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6">
              <w:r>
                <w:rPr>
                  <w:rStyle w:val="InternetLink"/>
                  <w:rFonts w:ascii="Times New Roman;serif" w:hAnsi="Times New Roman;serif"/>
                  <w:b w:val="false"/>
                  <w:color w:val="0000FF"/>
                  <w:sz w:val="20"/>
                  <w:u w:val="single"/>
                </w:rPr>
                <w:t>Item 16.</w:t>
              </w:r>
            </w:hyperlink>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6">
              <w:r>
                <w:rPr>
                  <w:rStyle w:val="InternetLink"/>
                  <w:rFonts w:ascii="Times New Roman;serif" w:hAnsi="Times New Roman;serif"/>
                  <w:b w:val="false"/>
                  <w:color w:val="0000FF"/>
                  <w:sz w:val="20"/>
                  <w:u w:val="single"/>
                </w:rPr>
                <w:t>Form 10-K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9d346baee346229380c42074ada2e5_196">
              <w:r>
                <w:rPr>
                  <w:rStyle w:val="InternetLink"/>
                  <w:rFonts w:ascii="Times New Roman;serif" w:hAnsi="Times New Roman;serif"/>
                  <w:b w:val="false"/>
                  <w:strike w:val="false"/>
                  <w:dstrike w:val="false"/>
                  <w:color w:val="000000"/>
                  <w:sz w:val="20"/>
                  <w:u w:val="none"/>
                  <w:effect w:val="none"/>
                </w:rPr>
                <w:t>98</w:t>
              </w:r>
            </w:hyperlink>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9d346baee346229380c42074ada2e5_199">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i/>
          <w:color w:val="000000"/>
          <w:sz w:val="20"/>
        </w:rPr>
      </w:pPr>
      <w:r>
        <w:rPr>
          <w:rFonts w:ascii="Times New Roman;serif" w:hAnsi="Times New Roman;serif"/>
          <w:b/>
          <w:i/>
          <w:color w:val="000000"/>
          <w:sz w:val="20"/>
        </w:rPr>
        <w:t>Cautionary Note About Forward-Looking Statements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Throughout this Annual Report on Form 10-K for the year ended June 30, 2026 (this “Annual Report”), we make “forward-looking statements” within the meaning of the U.S. Private Securities Litigation Reform Act of 1995, Section 27A of the Securities Act of 1933, as amended (the “Securities Act”) and Section 21E of the Securities Exchange Act of 1934, as amended (the “Exchange Act”). This Annual Report contains forward-looking statements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viability of our growth strategy, including our ability to find suitable geographies for new centers and obtain licenses to open such centers, our ability to ramp up our de novo centers , and the outcome of our organizational and enterprise efficiency initiatives;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identify, successfully complete and integrate acquisitions, joint ventures and other strategic partnerships;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attract new participants and retain existing participants to implement our growth strategy;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impact on our business from ongoing macroeconomic, geopolitical and industry-related challenges, including labor shortages, labor competition, high inflation, and supply chain disruptions, as a result of tariffs and trade disputes;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risk that the cost of providing services will exceed our compensation under the Program of All Inclusive Care for the Elderly (“PACE”);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increased costs and expenditures and our inability to execute or realize the benefits of our clinical and operational value initiatives;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dependence of our revenues and operations upon a limited number of government payors, which exposes us to the risk of government funding reductions, legislative changes and federal and state budgetary pressures;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reductions in PACE reimbursement rates;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results of periodic inspections, reviews, audits and investigations under the federal and state government programs, and our ability to sufficiently cure any deficiencies identified by the respective federal and state government programs;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adverse impact of legal proceedings, enforcement actions and litigation and disputes, including the current civil investigative demands initiated by federal and state agencies;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risk that our submissions to government payors may contain inaccurate or unsupportable information, including regarding risk adjustment scores of participants;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dependence on our senior management team and other key employees;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compete in the healthcare industry;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concentration of a significant percentage of our operations in the States of California and Colorado;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difficulty to predict our future operating results, which could cause such results to fall below any guidance, targets or goals we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impact of failures by our suppliers to meet our needs, or limitations on our ability to effectively access new technology or medical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manage our operations effectively, execute our business plan, maintain effective levels of service and participant satisfaction and adequately address competitive challenges;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impact on our business of security breaches, loss of data or other disruptions, including disruptions in our disaster recovery systems, causing the compromise of sensitive information or preventing us from accessing critical information;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accurately estimate incurred but not reported medical expense or the risk scores of our participants;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adhere to complex and changing government laws and regulations in the healthcare industry, including U.S. healthcare reform, the regulation of the corporate practice of medicine and the Health Insurance Portability and Accountability Act, as amended by the Health Information Technology for Economic and Clinical Health Act of 2009 (the “HITECH Act”), and their implementing regulations (collectively, “HIPAA”), and other privacy laws and regulations in the healthcare industry;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status as a “controlled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volatility of our stock price;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other factors disclosed in the section entitled “Risk Factors” and elsewhere in this Annual Report.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5"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Who We 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seeking to reduce unnecessary spend, (ii) reducing excessive administrative costs by contracting directly with the government, (iii) focusing on the patient experience, and (iv) addressing social determinants of health.</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(“IPO”), which occurred in March 2021, we changed the name of our company from TCO Group Holdings, Inc. to InnovAge Holding Corp. (“InnovAge”). In this Annual Report, the terms “we”, “our”, “our company” and “us” may refer, as the context requires, to InnovAge or collectively to InnovAge and its subsidiaries.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 is headquartered in Denver, Colorado and manages its business as one reportable segment, PACE.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PACE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served approximately 8,230 PACE participants, making it the largest PACE provider in the United States (the “U.S.”) based on participants served, and operated 20 PACE centers across California, Colorado, Florida, New Mexico, Pennsylvania and Virginia.</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 We deliver our participant-centered care through the InnovAge Platform, which is designed to bring high-touch, comprehensive, value-based care.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Costs under the PACE program are estimated to be 12% lower on average than those for a comparable dual-eligible population aged 65 and older under Medicaid, based on an analysis of the most recently available data by the National PACE Association in May 2026. Importantly, we believe our vertically integrated model can deliver better health outcomes and reduce unnecessary or avoidable medical spend. In addition, as of June 30, 2026, we believe our participants had a lower hospital readmission rate compared to a frail, dual-eligible or disabled waiver population. We also focus on ensuring our participants are satisfied with the services delivered and frequently evaluate benchmarks and survey methodologies to measure their satisfaction. Our participant satisfaction is currently measured through a Net Promoter Score (“NPS”). NPS is a metric used to measure customer satisfaction, loyalty and enthusiasm by asking how likely they are to recommend a company to a friend or colleague, and is reported as a number between negative 100 and positive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6"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Based on quarterly surveys to measure emerging sentiment within a subset of our participants nationally, our average NPS was 45. According to Qualtrics, the creator of the NPS, Bain and Company suggests a score above 20 is favorable and above 50 is excellent. As part of our quarterly surveys, each year, we conduct an I-SAT survey (“Integrated Satisfaction Measurement for PACE”) to measure NPS across a national sample of our participants. In fiscal year 2026, our I-SAT NPS score was 52, compared to a national PACE program average of 59.</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Industry Challenges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Unsustainable and rising healthcare costs.</w:t>
      </w:r>
      <w:r>
        <w:rPr>
          <w:color w:val="000000"/>
        </w:rPr>
        <w:t xml:space="preserve"> </w:t>
      </w:r>
      <w:r>
        <w:rPr>
          <w:rFonts w:ascii="Times New Roman;serif" w:hAnsi="Times New Roman;serif"/>
          <w:b w:val="false"/>
          <w:color w:val="000000"/>
          <w:sz w:val="20"/>
        </w:rPr>
        <w:t xml:space="preserve">According to data from the Office of the Actuary of CMS, healthcare spending in the United States grew at approximately 7% per year from 2019 to 2024, and in 2024 represented $5.3 trillion of annual spend, or 18.0% of U.S. GDP. The overall growth rate of healthcare spending is expected to accelerate due to the aging population. By 2030, members of the baby boomer generation will be age 65 or older, which is expected to further increase demand for healthcare and long-term care services. At the same time, nursing home operating capacity has declined in recent years, increasing pressure on the broader long-term care system and the need for alternatives that allow seniors to remain in their homes and communities.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government healthcare spend has been higher for the dual-eligible population, who typically suffer from multiple chronic conditions and require long-term services and support. Average total spend, including Medicare, Medicaid, supplemental insurance and out-of-pocket spending across all payers, for dual-eligible seniors was more than twice the amount than other Medicare beneficiaries, based on data from the Medicare Payment Advisory Commission (MedPAC) as of 2023. Improved care management of dual-eligible seniors continues to be important to reducing the rapid growth in government healthcare spending in the United States.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Highly fragmented, uncoordinated healthcare system.</w:t>
      </w:r>
      <w:r>
        <w:rPr>
          <w:color w:val="000000"/>
        </w:rPr>
        <w:t xml:space="preserve"> </w:t>
      </w:r>
      <w:r>
        <w:rPr>
          <w:rFonts w:ascii="Times New Roman;serif" w:hAnsi="Times New Roman;serif"/>
          <w:b w:val="false"/>
          <w:color w:val="000000"/>
          <w:sz w:val="20"/>
        </w:rPr>
        <w:t>The U.S. healthcare system is complex and highly fragmented, resulting in piecemeal care delivery 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often work in silos. This lack of care coordination can result in missed or inaccurate diagnoses, gaps in care, unnecessary spend and ultimately sub-optimal patient outcomes. The importance of clinical integration and coordinated care continues to be reflected in federal healthcare policy initiatives, including recent CMS Innovation Center strategic priorities focused on prevention, patient empowerment and improved health outcomes.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High-cost, dual-eligible seniors are at high risk of falling through the cracks of the U.S. healthcare system. While access to integrated models like PACE that bring together the Medicare and Medicaid benefit for these individuals has expanded, most dual-eligible individuals remain in unaligned plans, creating further barriers to delivering coordinated care. Dual-eligible beneficiaries are among the most medically complex, high-frequency users of healthcare services. Based on InnovAge data as of June 30, 2026, the typical InnovAge participant had, on average, eleven chronic conditions and, based on the data most recently available to us from a 2024 modified health outcomes survey, required, on average, assistance with two or more activities of daily living (“ADLs”). A lack of coordination across providers can have severe consequences given the high occurrence of chronic illnesses and other underlying health issues in this population.</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Prevalence of wasteful spending and sub-optimal outcomes.</w:t>
      </w:r>
      <w:r>
        <w:rPr>
          <w:color w:val="000000"/>
        </w:rPr>
        <w:t xml:space="preserve"> </w:t>
      </w:r>
      <w:r>
        <w:rPr>
          <w:rFonts w:ascii="Times New Roman;serif" w:hAnsi="Times New Roman;serif"/>
          <w:b w:val="false"/>
          <w:color w:val="000000"/>
          <w:sz w:val="20"/>
        </w:rPr>
        <w:t>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is expected to reach approximately $247.5 billion in 2026, based on the latest projections made by the Office of the Actuary of CMS, which is a 5.6% increase compared to the current 2025 projection.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Despite leading the world in healthcare spending, the U.S. continues to lag peer nations on many health outcomes while facing persistent clinician burnout and workforce dissatisfaction.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Payment structures are evolving to address healthcare issues.</w:t>
      </w:r>
      <w:r>
        <w:rPr>
          <w:color w:val="000000"/>
        </w:rPr>
        <w:t xml:space="preserve"> </w:t>
      </w:r>
      <w:r>
        <w:rPr>
          <w:rFonts w:ascii="Times New Roman;serif" w:hAnsi="Times New Roman;serif"/>
          <w:b w:val="false"/>
          <w:color w:val="000000"/>
          <w:sz w:val="20"/>
        </w:rPr>
        <w:t>Policymakers and healthcare experts generally acknowledge that the fee-for-service model is not designed to deliver on the “triple aim” of providing low-cost, high-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7"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 believe it unintentionally creates the opposite result—acute, episodic care delivered in high-cost settings that unnecessarily drive up the total cost of healthcare.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High-cost, dual-eligible seniors often require proactive, coordinated care plans to address their medical acuity, need for long term support and risks related to social determinants of health. Without personalized, patient-centered care that removes barriers to preventive or other early treatment, high-cost, dual-eligible seniors would likely continue to disproportionately rely on healthcare in higher-cost settings, such as emergency rooms and nursing homes.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PACE is a value-based government-sponsored, provider-led managed care program focused on enabling frail, dual-eligible seniors who have skilled nursing needs to age independently in their homes that can mitigate concerns over utilization of high-cost healthcare. PACE providers receive a monthly risk-adjusted payment for each participant (PMPM) directly from Medicare and Medicaid to oversee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 A study published in 2026 and led by the U.S. Department of Health and Human Services (“HHS”) on integrated care and health outcomes of dual-eligible individuals found that PACE participants experienced fewer hospitalizations and emergency department visits and lower mortality than comparable Medicare Advantage (“MA”) beneficiaries, providing additional evidence supporting fully integrated care models for complex dual-eligible populations.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InnovAge participants are, on average, more complex and medically fragile than other Medicare-eligible patients, including those in average MA programs. As a result, we receive higher capitated payments per participant compared to MA participants. This is driven by two factors: (i) we believe we provide care for a higher acuity population, with an average Medicare Risk Adjustment Factor (“RAF”) score of 2.48 based on InnovAge data as of June 30, 2026, with a higher RAF score indicating poorer health and higher predicted healthcare costs, and (ii) we have Medicaid spend in addition to Medicare. Our comprehensive care model and globally capitated payments are designed to cover participants from enrollment until the end of life, including coverage for participants requiring hospice and palliative care.</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Legacy healthcare delivery infrastructure has been slow to transition from fee-for-service to value-based care models.</w:t>
      </w:r>
      <w:r>
        <w:rPr>
          <w:color w:val="000000"/>
        </w:rPr>
        <w:t xml:space="preserve"> </w:t>
      </w:r>
      <w:r>
        <w:rPr>
          <w:rFonts w:ascii="Times New Roman;serif" w:hAnsi="Times New Roman;serif"/>
          <w:b w:val="false"/>
          <w:color w:val="000000"/>
          <w:sz w:val="20"/>
        </w:rPr>
        <w:t xml:space="preserve">In order for the shift to value-based payment models to drive meaningful results, we believe there must be a corresponding shift in care delivery models. While providers, payors, and technology companies have made significant investments in solutions designed to improve quality and reduce costs, the healthcare industry remains in a multi-year transition toward value-based reimbursement, with traditional fee-for-service payment arrangements continuing to represent a meaningful portion of healthcare spending.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one of the largest healthcare platforms focused on frail, dual-eligible seniors, serving participants exclusively through our PACE program. We have built the largest PACE-focused operation in the country based on number of participants, with 20 PACE centers across six states; we are 19% larger than the size of our closest PACE-focused competitor and more than 20 times larger than the typical PACE operator. Given our scale across geographies, we believe we are positioned to capitalize on a significant market opportunity to provide care to frail, high-cost, dual-eligible seniors.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care model targets the most complex, frail subset of the dual-eligible senior population. We estimate our target population at approximately 2.3 million in 2025 based on data from the U.S. Census Bureau from 2018, representing seniors who we believe are dually eligible for Medicare and Medicaid and meet the nursing home eligibility criteria for PACE. We currently prioritize growth in high-density urban and suburban areas, where there are sizable numbers of frail dual-eligible seniors who would benefit most from our program. We leverage the InnovAge Platform which is designed to provide comprehensive, coordinated healthcare to enable our seniors who are eligible to reside in nursing homes to live independently in their homes and communities. We believe people want to stay in their home for as long as possible, and the InnovAge Platform is designed to empower seniors to age independently in their own homes, with dignity and on their own terms, for as long as possible.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results for the year ended June 30, 2026 and our experience and industry knowledge, we estimate an average annual revenue opportunity of $124,000 per participant (or $10,300 PMPM) and a total addressable market opportunity of $285 billion, based on our estimated market of approximately 2.3 million PACE eligible participants in the United States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8"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2025, as described above. Of these estimated PACE eligible participants, only approximately 95,000 are enrolled in a PACE program, based on a June 2026 report from the National PACE Association. As a result, we believe that we have a substantial opportunity to bring our comprehensive value-based model of care to more frail, dual-eligible seniors across the country. This opportunity is subject to our ability to effectively execute our growth strategy and assumes no adverse regulatory or macroeconomic changes. For example, reductions to the Medicaid portion of PACE capitation rates from the federal budget reconciliation bill, the One Big Beautiful Bill Act (the “Reconciliation Act”), could have a negative impact on our capitated revenue per enrollee and operational margins, and the financial viability of expanding into new service areas.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The InnovAge Platform</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participant-centered approach is tailored to address the complex medical and social needs of our frail dual-eligible senior population. We leverage the InnovAge Platform to deliver comprehensive, coordinated healthcare to our participants. The InnovAge Platform consists of (1) our Interdisciplinary Care Teams (“IDTs”) and (2) our community-based care delivery model. The key attributes of the InnovAge Platform include:</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Our participant focus. </w:t>
      </w:r>
      <w:r>
        <w:rPr>
          <w:rFonts w:ascii="Times New Roman;serif" w:hAnsi="Times New Roman;serif"/>
          <w:b w:val="false"/>
          <w:color w:val="000000"/>
          <w:sz w:val="20"/>
        </w:rPr>
        <w:t>Our model is focused on caring for frail, high-cost, dual-eligible seniors. Our target participant 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Based on InnovAge data as of June 30, 2026, the typical InnovAge participant had, on average, eleven chronic conditions and, based on the data most recently available to us from a 2024 modified health outcomes survey, required, on average, assistance with two or more ADLs. Our platform is designed to enable participants to exercise their preference to age independently in their homes and stay active in their communities for as long as safely possible. All of our participants are certified as nursing home-eligible. As of June 30, 2026, approximately 93% of our participants were able to live safely in their homes and communities.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Our interdisciplinary care teams. </w:t>
      </w:r>
      <w:r>
        <w:rPr>
          <w:rFonts w:ascii="Times New Roman;serif" w:hAnsi="Times New Roman;serif"/>
          <w:b w:val="false"/>
          <w:color w:val="000000"/>
          <w:sz w:val="20"/>
        </w:rPr>
        <w:t>The IDT structure is core to our clinical model. Our IDTs oversee all aspects of each participant’s unique care plan and function as the core group of care providers to our participants. Our IDT structure is designed to enhance access to care for our participants and eliminate information silos and gaps in care that frequently occur in a fee-for-service model. We are responsible for all of our participants’ medical care, and we direct care delivery across multiple settings. We deliver individualized care for each participant that addresses both his or her specific medical conditions and social determinants of health. We deliver or manage primary and specialist care, in-home care, hospital visits, nutrition, transportation to and from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IDT convenes, at a minimum, experts across at least 11 disciplines to collectively manage the complex care needs of each participant. IDTs are typically comprised of a primary care provider, registered nurse, master’s level social worker, physical therapist, occupational therapist, recreational therapist or activity coordinator, dietician, center manager, home care coordinator, personal care attendant and driver. Members of the IDTs meet multiple times per week to discuss participant care and to closely monitor key clinical metrics so that each participant receives optimal treatment based on his or her current conditions.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Our community-based care delivery model.</w:t>
      </w:r>
      <w:r>
        <w:rPr>
          <w:color w:val="000000"/>
        </w:rPr>
        <w:t xml:space="preserve"> </w:t>
      </w:r>
      <w:r>
        <w:rPr>
          <w:rFonts w:ascii="Times New Roman;serif" w:hAnsi="Times New Roman;serif"/>
          <w:b w:val="false"/>
          <w:color w:val="000000"/>
          <w:sz w:val="20"/>
        </w:rPr>
        <w:t>Our high-touch model delivers care across a continuum of community-based settings. Our multimodal 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Our community-based care centers. </w:t>
      </w:r>
      <w:r>
        <w:rPr>
          <w:rFonts w:ascii="Times New Roman;serif" w:hAnsi="Times New Roman;serif"/>
          <w:b w:val="false"/>
          <w:color w:val="000000"/>
          <w:sz w:val="20"/>
        </w:rPr>
        <w:t xml:space="preserve">Our purpose-built community-based care centers are designed for the specific needs of our target population and 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9"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deliver a significant portion of our participants’ care in one location, simplifying the healthcare experience for participants and their families.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Our in-home care capabilities</w:t>
      </w:r>
      <w:r>
        <w:rPr>
          <w:rFonts w:ascii="Times New Roman;serif" w:hAnsi="Times New Roman;serif"/>
          <w:b w:val="false"/>
          <w:color w:val="000000"/>
          <w:sz w:val="20"/>
        </w:rPr>
        <w:t>. Our in-home care capabilities are designed to enable our participants to live safely in their homes and avoid nursing homes to the extent safely possible. We directly deliver or manage all skilled and unskilled care a participant may require to live independently at home. Additionally, we have dedicated strategic partnerships with “hospital-at-home” providers to deliver acute care in-home when appropriate. In addition, we manage transportation not only to and from our centers, but also to all third-party medical appointments. Our capitated payment model gives us the flexibility to invest in home modifications, such as ramps, grab bars and shower chairs, to reduce falls and make the home safer for our participants. We believe our presence in our participants’ homes gives us real-time insight into their health and enables us to positively influence many environmentally-driven social determinants of health.</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Our virtual care capabilities</w:t>
      </w:r>
      <w:r>
        <w:rPr>
          <w:rFonts w:ascii="Times New Roman;serif" w:hAnsi="Times New Roman;serif"/>
          <w:b w:val="false"/>
          <w:color w:val="000000"/>
          <w:sz w:val="20"/>
        </w:rPr>
        <w:t xml:space="preserve">. Our virtual care capabilities give us the flexibility to deliver medical care and social services virtually when appropriate. Our physicians are equipped with HIPAA compliant platforms to provide virtual care. We offer telehealth visits when clinically indicated, allowed per regulations and more convenient for the participant. Our aim is to make virtual care access simple and convenient for our participants.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Addressing social determinants of health</w:t>
      </w:r>
      <w:r>
        <w:rPr>
          <w:rFonts w:ascii="Times New Roman;serif" w:hAnsi="Times New Roman;serif"/>
          <w:b w:val="false"/>
          <w:color w:val="000000"/>
          <w:sz w:val="20"/>
        </w:rPr>
        <w:t>. Our care delivery model is designed to provide services that mitigate challenges presented by participants’ social determinants of health, such as: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Economic stability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Transportation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Physical environment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Community and social context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Food and nutrition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Health literacy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Fitness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Our technology suite.</w:t>
      </w:r>
      <w:r>
        <w:rPr>
          <w:color w:val="000000"/>
        </w:rPr>
        <w:t xml:space="preserve"> </w:t>
      </w:r>
      <w:r>
        <w:rPr>
          <w:rFonts w:ascii="Times New Roman;serif" w:hAnsi="Times New Roman;serif"/>
          <w:b w:val="false"/>
          <w:color w:val="000000"/>
          <w:sz w:val="20"/>
        </w:rPr>
        <w:t>Our fully capitated care model is operationally complex; it requires coordination among dozens of different providers per 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Our Value Proposition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healthcare model is one where all constituencies involved, including participants, their families, providers and government payors, have the ability to “Win.”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participants “Win” by enjoying a better participant experience, improved health outcomes and remaining in their homes and communities for longer. We leverage our differentiated care delivery model to improve the health of our participants and help them avoid unnecessary hospitalizations and nursing home care. We enable our participants to remain in their homes as long as possible and age independently. As a result, as of June 30, 2026, approximately 93% of our participants lived in their preferred setting: their home or community. We believe our care model also delivers better clinical outcomes: our participants have fewer hospital admissions and lower hospital readmission rates. Our care model is not “one size fits all,” it is customized to the unique needs of each participant, which benefits participant health and increases participant satisfaction with our program.</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Families “Win” as we reduce their caregiving burden and provide “peace of mind”.</w:t>
      </w:r>
      <w:r>
        <w:rPr>
          <w:color w:val="000000"/>
        </w:rPr>
        <w:t xml:space="preserve"> </w:t>
      </w:r>
      <w:r>
        <w:rPr>
          <w:rFonts w:ascii="Times New Roman;serif" w:hAnsi="Times New Roman;serif"/>
          <w:b w:val="false"/>
          <w:color w:val="000000"/>
          <w:sz w:val="20"/>
        </w:rPr>
        <w:t>We significantly reduce the caregiving burden on the families of our participants. Our model handles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0"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Our providers “Win” as they are able to focus on improving the lives of their participants. </w:t>
      </w:r>
      <w:r>
        <w:rPr>
          <w:rFonts w:ascii="Times New Roman;serif" w:hAnsi="Times New Roman;serif"/>
          <w:b w:val="false"/>
          <w:color w:val="000000"/>
          <w:sz w:val="20"/>
        </w:rPr>
        <w:t>We support our providers through a multidisciplinary care model that integrates physicians, nurses, therapists, social workers and other care professionals to coordinate care across participant needs. Unlike traditional fee-for-service models that often emphasize visit volume, the PACE model is designed to support comprehensive, participant-centered care for a frail, high-acuity population. Through this approach, our providers benefit from meaningful clinical and administrative support, enabling them to focus on delivering coordinated, high-quality care.</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Government payors “Win” through fiscal certainty and lower costs.</w:t>
      </w:r>
      <w:r>
        <w:rPr>
          <w:color w:val="000000"/>
        </w:rPr>
        <w:t xml:space="preserve"> </w:t>
      </w:r>
      <w:r>
        <w:rPr>
          <w:rFonts w:ascii="Times New Roman;serif" w:hAnsi="Times New Roman;serif"/>
          <w:b w:val="false"/>
          <w:color w:val="000000"/>
          <w:sz w:val="20"/>
        </w:rPr>
        <w:t xml:space="preserve">We believe we provide fiscal certainty through our capitated payment arrangements and reduce the cost of both medical and long-term support and services for high-cost, dual-eligible seniors. Costs under the PACE program were estimated to be </w:t>
      </w:r>
      <w:bookmarkStart w:id="1" w:name="ic3a9d1ce41854f488038df5749857bdb_88433"/>
      <w:bookmarkEnd w:id="1"/>
      <w:r>
        <w:rPr>
          <w:rFonts w:ascii="Times New Roman;serif" w:hAnsi="Times New Roman;serif"/>
          <w:b w:val="false"/>
          <w:color w:val="000000"/>
          <w:sz w:val="20"/>
        </w:rPr>
        <w:t>12% lower on average than the cost of caring for a comparable population through other Medicaid services based on an analysis of the most recently available data by the National PACE Association in May 2026.</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Our Growth Strategy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Increase participant enrollment and capacity within our centers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For the fiscal year ended June 30, 2026, our participant census was approximately 8,230 across our 20 centers in six states. During fiscal year 2026, we continued to focus on increasing enrollments and utilization of capacity at our existing centers, in part by furthering engagement in communities in which our centers operate. For example, we have entered into joint ventures in Orlando and Tampa, Florida in an effort to increase outreach and create value to participants in those communities.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Build de novo centers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 fiscal year 2026, we continued to ramp up our newer de novo centers in Florida (Tampa and Orlando).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believe de novo centers generate compelling long-term unit economics and the potential for robust internal rates of return.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We have operated our platform across different geographies and we expect to prioritize a list of target markets that we believe are optimal environments to launch the InnovAge Platform.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approach to de novo developments includes building centers to our experience-based specifications, with flexibility for future center expansion factored into the blueprints where possible.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Execute tuck-in acquisitions, strategic transactions and partnerships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Over the past eight fiscal years, we have acquired and integrated four PACE organizations for a total of eight operational centers (excluding the PACE center in Bakersfield, California, which is not yet operational). These acquisitions represent expansion of our InnovAge Platform into one new state and five new markets. In addition, in fiscal year 2025, we acquired certain pharmacy assets from Tabula Rasa HealthCare Group (“TRHC”) with the goal of supporting our growth and improving pharmacy cost-management. By bringing acquired organizations under the InnovAge Platform, we hope to further realize revenue growth and improve operational efficiency and care delivery post-integration.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believe there is a robust landscape of potential tuck-in acquisitions to supplement our organic growth. In fiscal year 2024, we completed an acquisition of two PACE programs in California from ConcertoCare, which included one operational center in the Crenshaw neighborhood of Los Angeles and a second program that is a planned de novo in Bakersfield. When integrating acquired programs, we work closely with key constituencies, including local governments, health systems and senior housing providers, to enable continuity of high-quality care for participants.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also have pursued and intend to pursue additional relationships with key stakeholders, existing organizations and other care providers in order to form partnerships in target geographies. In fiscal year 2024, we opened the Orlando PACE center as a joint venture with Orlando Health, a healthcare system broadly recognized for its care programs, services and extensive community outreach and support with the goal of magnifying the impact and extend the reach of PACE services for eligible seniors in the Orlando market. In fiscal year 2025, we entered into a joint venture with Tampa General Hospital to similarly support our Tampa PACE center. We continue to explore additional strategic partnerships in the communities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1"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Reinvest in the InnovAge Platform to optimize performance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believe that our ongoing investment in the InnovAge Platform drives greater efficiency across our business, creating a virtuous cycle that allows us to continue providing necessary care to our participants. Our platform is the largest among PACE providers based on participants served and one of the most geographically diverse.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continually invest in technology improvements and seek to unlock new insights through enhanced data analytics capabilities that will further advance our care model and increase administrative efficiencies.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are investing in building capabilities to increase our sophistication as a payor to drive clinical value, improve outcomes, and manage cost trends.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believe our investments will ultimately result in better health outcomes and lower medical costs for participants. In the long-term, we intend to reduce medical costs in order to generate savings for reinvestment to support continuous improvement of the InnovAge Platform.</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extensive federal, state and local governmental laws and regulations. These laws and regulations require us to meet various standards relating to, among other things, arrangement and provision of covered healthcare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could have material adverse effects on our business, results of operations, financial condition, cash flows, reputation or stock price,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suspension, termination or exclusion of our participation in government payor programs;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loss of our licenses required to operate healthcare facilities or administer prescription drugs in the states in which we operate;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criminal or civil liability, fines, damages or monetary penalties for violations of healthcare fraud and abuse laws, including the federal Anti-Kickback Statute, Civil Monetary Penalties Law, the False Claims Act (“FCA”) and/or state analogs to these federal enforcement authorities, or other regulatory requirements;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enforcement actions by governmental agencies and/or state law claims for monetary damages by patients or employees relating to breach of, impermissible use or disclosure of, or other incidents relating to protected health information (“PHI”) and other types of personal data or personally identifiable information (collectively, “PII” and, together with PHI, “PHI/PII”) that we collect, use, and disclose, in violation of federal or state privacy laws, including, for example and without limitation, HIPAA, or state data privacy and security laws;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mandated changes to our practices or procedures that significantly increase operating expenses or decrease our revenue;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imposition of and compliance with corporate integrity agreements, which could subject us to ongoing audits and reporting requirements, increased scrutiny of our business practices and potential fines or penalties, among other things;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termination of various relationships and/or contracts related to our business, including joint venture arrangements, contracts with government payors, and real estate leases or contracts with clinical providers;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and reinterpretation of rules and laws by a regulatory agency board, or court, such as state corporate practice of medicine laws, which could affect the structure and management of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payor reimbursement, including negative adjustments to government payment models under Medicare Parts C and D and Medicaid;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harm to our reputation, which could negatively impact our business relationships, the terms of government payor contracts, our ability to attract and retain participants, physicians, and other clinicians, our ability to obtain financing and our access to new business opportunities,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2"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our industry will continue to be subject to substantial regulation, the scope and effect of which are difficult to predict. Our activities have been and could continue to be subject to investigations, audits and inquiries by various government and regulatory agencies with which we contract in the future. See Item 1A. Risk Factors, “Risks Related to Regulation.”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Federal and State Regulation of PACE Providers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a complex array of federal and state laws, regulations, and guidance, including legal requirements directly applicable to PACE providers as well as Medicare and Medicaid laws and regulations. These laws and guidance relate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Medicare laws, regulations, and requirements applicable to Medicare Part D plan sponsors.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regulations and contractual requirements applicable to PACE providers are complex and subject to change, making it necessary for us to deploy significant compliance resources. In addition, new centers that we may acquire in the future may have less developed compliance and quality infrastructures, which may require us to allocate additional resources to making any required enhancements.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CMS and state regulatory authorities regularly audit our performance to determine our compliance with applicable laws and our contracts with CMS and state authorities, and to assess the quality of the services we provide to our participants. Such audits have in the past, and may in the future, identify deficiencies in our compliance with regulatory requirements, participant quality of care, care plan development and implementation, grievance and appeal processes, clinicians acting outside of their scope of practice, and other issues. See Item 1A. Risk Factors, “Risks Related to Regulation.”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identified through such audits or other avenues, any potential failure to comply with the federal and state laws applicable to our business could result in significant or material retroactive adjustments to or withholding of capitation payments, fines, criminal liability, civil monetary penalties, requirements to make significant changes to our operations, corrective action plans, CMS imposed sanctions (including suspension or exclusion from participation in government programs), loss of contracts, or cessation of our services.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Licensing Laws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the healthcare professionals we employ, and our centers are subject to various federal, state and local licensure and certification requirements in connection with our provision of healthcare and other services. Specifically, in some of the states in which we operate, we are required to maintain licensure or certification as an adult day health center, home health or home care provider, diagnostic and treatment center, pharmacy provider, clinical laboratory and/or other type of facility, and our affiliated physicians and other clinicians also must be licensed or certified, as applicable, in the states in which they are providing services. In addition, certain of the states where we currently operate regulate the operations and financial condition of risk bearing providers and impose capital requirements, licensing or certification, governance controls, and other obligations. While the states in which we operate do not currently impose these regulations on entities solely bearing risk under the PACE program, these states may seek to license or otherwise regulate our operations and financial solvency in the future; further, states in which we expand in the future may impose similar requirements on our operations. In addition to state requirements, we, the healthcare professionals we employ and our centers are in some cases subject to federal licensing and certification requirements, such as certification or waiver under the Clinical Laboratory Improvement Amendments of 1988 for performing laboratory services and Drug Enforcement Administration registrations for prescribing, storing and dispensing controlled substances.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Failure to comply with federal, state and local licensing and certification laws, regulations and standards could result in a variety of consequences, including cessation of our services, loss of our contracts, recoupment of payments, requirements to make significant changes to our operations or civil or criminal penalties. While we endeavor to comply with federal, state and local licensing and certification laws and regulations and standards as we interpret them, the laws and regulations in these areas are complex, evolving and often subject to varying interpretations. Any failure to satisfy applicable laws and regulations could have a material adverse impact on our business, results of operations, financial condition, cash flows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3"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Practice of Medicine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laws and regulations relating to our operations vary from state to state, and some states in which we operate prohibit general business corporations, such as us, from practicing medicine, directly employing physicians, controlling physicians’ or other clinicians’ medical decisions, or engaging in some practices such as splitting professional fees with physicians or other clinicians. In certain states, we contract with physicians to provide healthcare services that are required to be provided by licensed physicians to comply with such requirements. While we endeavor to structure our organization and our contractual relationships in compliance with state laws prohibiting the corporate practice of medicine, regulatory agencies and other parties could scrutinize our compliance with such prohibitions. Further, many such state laws are complex, evolving and often subject to varying interpretations. In California, for example, legislation enacted in 2025 seeks to strengthen oversight and enforcement of the corporate practice of medicine doctrine. The consequences associated with violating corporate practice of medicine laws vary by state and may result in physicians or other clinicians being subject to disciplinary action, as well as forfeiture of revenues from government payors for services rendered. If allegations are made in judicial or administrative proceedings, we could be subject to adverse judicial or administrative penalties, certain of our contracts could be determined to be unenforceable, and we may be required to restructure our organization or our contractual arrangements. Any allegations or findings that we have violated these laws could have a material adverse impact on our reputation, business, results of operations and financial condition.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Item 1A. Risk Factors, “Risks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Federal Anti-Kickback Statute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Court decisions have held that the statute may be violated even if only one purpose of remuneration is to induce referrals. In addition, a defendant need not have actual knowledge of, or the specific intent to violate, the federal Anti-Kickback Statute in order to have the requisite intent to support an Anti-Kickback Statute violation.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a criminal violation of the federal Anti-Kickback Statute are subject to mandatory exclusion from participation in Medicare, Medicaid, and other federal healthcare programs for a minimum of five years. Civil penalties for violation of the federal Anti-Kickback Statute include up to $127,973 (adjusted for inflation) in monetary penalties per violation, fines, or penalties of up to three times the total payments between the parties to the arrangement and potential exclusion from participation in Medicare and Medicaid. In addition, the federal Anti-Kickback Statute provides that any claims for items or services resulting from a violation of the federal Anti-Kickback Statute are considered false or fraudulent for purposes of the FCA, which is further discussed below. Any findings that we have violated these laws could have a material adverse impact on our business, results of operations, financial condition, cash flows, reputation or stock price.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Anti-Kickback Statute includes statutory exceptions and regulatory safe harbors that protect certain arrangements. These exceptions and safe harbors are voluntary. To receive safe harbor protection, business transactions and arrangements must meet all the requirements of a safe harbor. However, transactions and arrangements that do not satisfy all elements of a relevant safe harbor do not necessarily render the arrangement per se illegal. When an arrangement does not satisfy a safe harbor, the arrangement must be evaluated under a facts and circumstances analysis, taking into consideration the parties’ intent and the arrangement’s potential for fraud and abuse, among other factors. Arrangements that do not satisfy a safe harbor may be subject to greater scrutiny by enforcement agencies.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some states have enacted statutes and regulations similar to the federal Anti-Kickback Statute. Unlike the federal Anti-Kickback Statute, however, certain state laws may be applicable regardless of the payor source for the patient. Moreover, these state laws may contain exceptions and safe harbors that are different from and/or more limited than those of federal law and that may vary from state to 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4"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and may continue to enter, joint ventures and other arrangements that are intended to comply with the federal Anti-Kickback Statute and as many elements of applicable safe harbors as possible. Many of our arrangements are structured to provide for compensation that is fair market value for services actually rendered and in a manner that does not reflect the volume or value of referrals generated between the parties. In structuring our relationships with providers, including our physician partners, and other healthcare entities, we endeavor to comply with the regulatory requirements of such safe harbors and exceptions. Notwithstanding our compliance efforts, there is a risk that such arrangements could be subject to regulatory scrutiny from the Office of Inspector General (the “OIG”) of HHS and other federal and state enforcement agencies.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January 19, 2021, the OIG adopted final regulations under the federal Anti-Kickback Statute that added new safe harbors and modified existing safe harbors that protect certain payment practices and business arrangements from sanctions under the federal Anti-Kickback Statute, with the stated objective of removing potential barriers to more effective coordination and management of patient care and delivery of value-based care. Among other changes, these regulations contained safe harbors for value-based arrangements entered by value-based enterprises, which are enterprises, such as ours, composed of participants collaborating to achieve one or more value-based purposes, including coordinating and managing the care of a target patient population. These value-based care safe harbors may allow our business to pursue value-based arrangements with safe harbor protections under the federal Anti-Kickback Statute. However, compliance with these safe harbors is complex and, to the extent that one of our value-based arrangements does not squarely fit within the relevant safe harbors, it could be subject to greater scrutiny by enforcement agencies.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Federal Self-Referral Prohibition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Ethics in Patient Referral Act (“Stark Law”) generally prohibits a physician who has (or whose immediate family member has) a financial relationship with certain entities from making referrals to such entities for “designated health services” if payment for the services may be made under Medicare or Medicaid.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To the extent we fall within the types of entities to which the Stark Law applies, then we need to ensure that any financial relationships that we have with a referring provider would satisfy a statutory or regulatory exception to the general Stark Law prohibition.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Providers are prohibited from billing Medicare and Medicaid for services arising from a prohibited referral and a provider that has billed for prohibited services is obligated to notify and refund the amounts collected from the Medicare program or to make a self-disclosure to CMS under its Self-Referral Disclosure Protocol. Penalties for violation of the Stark Law include denial of payment, recoupment, refunds of amounts paid in violation of the law, exclusion from the Medicare or Medicaid programs, and substantial civil monetary penalties ($31,670 per prohibited item or service and $211,146 if there is a circumvention scheme; penalty amounts reflect current 2025 levels and are adjusted for inflation from time to time). Claims filed in violation of the Stark Law may be deemed false claims under the FCA. In addition to the Stark Law, various states in which we operate have adopted similar self-referral prohibition statutes.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parallel with OIG’s regulations on value-based care discussed above, effective January 19, 2021, CMS issued a sweeping set of regulations that introduce significant new value-based exceptions to the Stark Law, including new exceptions for certain remuneration exchanged between or among eligible participants in value-based arrangements. These exceptions and their various requirements apply based on the level of financial risk assumed by the arrangement’s participants. These regulations purport to ease the compliance burden for healthcare providers across the industry while maintaining strong safeguards to protect patients and programs from fraud and abuse. To the extent that we rely on these exceptions to the Stark Law for our value-based arrangements, we intend to comply with such exceptions, but we remain subject to potential regulatory enforcement, self-disclosure requirements or penalties if we are not in compliance, as discussed above.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False Claims Act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things, the FCA authorizes the imposition of up to three times the government’s damages and significant per claim civil penalties on any “person” (including an individual, organization or company) who, among other acts: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knowingly presents or causes to be presented to the federal government a false or fraudulent claim for payment 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5"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knowingly makes, uses or causes to be made or used a false record or statement material to a false or fraudulent claim;</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conspires to commit the above acts.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encounter data or other information used to determine capitated payments. The Affordable Care Act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our business to the extent we receive payments on account of risk-adjustment determinations that are based on improper or erroneous records or reports. Failure to return overpayments could subject us to liability under the FCA, exclusion from government healthcare programs and penalties under the federal Civil Monetary Penalty Statute.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penalties for a violation of the FCA may include per claim penalties, plus up to three times the amount of damages caused by each false claim, which can be as much as the amounts received directly or indirectly from the government for each such false claim. As of July 3, 2025, the minimum False Claims Act penalty increased from $13,946 to $14,308 per claim. The maximum penalty has increased from $27,894 to $28,619 per claim.</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civil enforcement under the FCA, the federal government can use several criminal statutes to prosecute persons who are alleged to have submitted false or fraudulent claims for payment to the federal government. Private parties may initiate qui tam whistleblower lawsuits against any person or entity under the FCA in the name of the federal government, as well as under the false claims’ laws of several states, and may share in the proceeds of a successful suit. Generally, federal and state governments have made investigating and prosecuting healthcare fraud and abuse a priority. Any allegations or findings that we have violated the FCA could have a material adverse impact on our reputation, business, results of operations and financial condition.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FCA, the various states in which we operate have adopted their own analogs of the FCA. States are becoming increasingly active in using their false claims laws to monitor and prevent the same activities listed above, particularly with regard to capitated government-sponsored healthcare programs, such as Medicaid managed care and PACE. Under Section 6031 of the Deficit Reduction Act of 2005, as amended, if a state enacts a false claims act that is at least as stringent as the federal statute and that also meets certain other requirements, the state will be eligible to receive a greater share of any monetary recovery obtained pursuant to certain actions brought under the state’s false claims act. As a result, more states are expected to enact laws that are similar to the federal FCA in the future, and we anticipate a corresponding increase in state false claims enforcement efforts.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allegations against us under Federal and State FCA statutes, see Item 1A. Risk Factors, “Risks Related to Our Business—We are subject to legal proceedings, enforcement actions and litigation, malpractice and privacy disputes, which are costly to defend and could materially harm our business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Civil Monetary Penalties Statute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Civil Monetary Penalties Statute, 42 U.S.C. § 1320a-7a, authorizes the imposition of civil monetary penalties, assessments and exclusion against an individual or entity based on a variety of prohibited conduct, including, but not limited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6"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should know that the individual providing the service is not a licensed physician, obtained licensure through misrepresentation or represented certification in a medical specialty without in fact possessing such certification;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offering remuneration to a federal healthcare program beneficiary that the individual or entity knows or should know is likely to influence the beneficiary to order or receive healthcare items or services from a particular provider, unless an exception applies;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arranging contracts with or making payments to an entity or individual excluded from participation in the federal healthcare programs or included on CMS’s preclusion list;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violating the federal Anti-Kickback Statute;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making, using or causing to be made or used a false record or statement material to a false or fraudulent claim for payment for items and services furnished under a federal healthcare program;</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making, using or causing to be made any false statement, omission or misrepresentation of a material fact in any application, bid or contract to participate or enroll as a provider of services or a supplier under a federal healthcare program;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failing to report and return an overpayment owed to the federal government.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avoid payments to contracted or noncontracted providers listed on CMS’s preclusion list and payments for drugs prescribed by individuals on the preclusion list. Should we fail to identify that an individual or entity is excluded, on the preclusion list or otherwise ineligible for payment, a federal agency could require us to refund amounts attributable to all services performed by or associated with to such individual or entity. Accordingly, it is possible that we could face allegations of noncompliance with the Civil Monetary Penalty Statute, which may have material adverse impacts on our business, results of operations or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Privacy and Security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HIPAA requires covered entities, and the business associates with which such covered entities contract for services involving the use or disclosure of PHI to provide certain protections to their patients or participants and their health information. Through our various service offerings, the Company acts primarily as a covered entity under HIPAA but may also act as a business associate of other covered entities. The HIPAA privacy and security regulations extensively regulate the use and disclosure of PHI, and they require covered entities and their business associates to implement and maintain administrative, physical, and technical safeguards to protect the security of such information, including through developing and maintaining policies and procedures. Additional security requirements apply to electronic PHI. These regulations also provide our participants with substantive rights with respect to their health information.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HIPAA privacy and security regulations also require covered entities to enter into written agreements with their business associates. Covered entities may be subject to fines and penalties for, among other activities, failing to enter into a business associate agreement when required by law or as a result of a business associate violating HIPAA.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Covered entities must notify affected individuals of breaches of unsecured PHI without unreasonable delay but no later than 60 days after discovery of the breach. Reporting must also be made to the HHS Office for Civil Rights (“OCR”) and, for breaches of unsecured PHI involving more than 500 residents of a state or jurisdiction, to the media in accordance with HIPAA requirements. All impermissible uses or disclosures of unsecured PHI are presumed to be breaches unless an exception to the definition of breach applies or the covered entity or business associate establishes that there is a low probability the PHI has been compromised. Beginning in December 2022, OCR issued, and subsequently revised, guidance on the use of tracking technologies on websites and mobile applications by covered entities and business associates, indicating that certain information collected by tracking technology vendors from websites and applications may cause a breach under HIPAA. However, in June 2024, a federal court limited the scope of this guidance by ruling that collecting IP addresses from visits to unauthenticated public health-related webpages does not trigger HIPAA obligations, and HHS is assessing next steps.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17"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Violations of HIPAA by covered entities and business associates,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not less than $100 (not adjusted for inflation) per violation, not more than $50,000 (not adjusted for inflation) per violation and up to approximately $1.9 million (not adjusted for inflation) per year for identical violations. In addition, HIPAA provides for criminal penalties of up to $250,000 and ten years in prison, with the most severe penalties associated with obtaining and disclosing PHI with the intent to sell, transfer or use such information for commercial advantage, personal gain or malicious harm. Further, state attorneys general may bring civil actions seeking either equitable relief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be subject to other laws governing the privacy and security of data, such as the California Consumer Privacy Act of 2018 (“CCPA”) and data breach notification laws. Additionally, many states have enacted laws that protect the privacy and security of confidential, personal and health information, which may be more stringent than HIPAA and may add additional compliance costs and legal risks to our operations. Some state privacy and security laws overlap with federal law, and some state laws are preempted by federal law while others are not. States have also passed privacy and security laws and regulations that apply across sectors and go beyond federal law, such as data security laws, secure destruction, Social Security number privacy, online privacy biometric information privacy, and data breach notification laws. Some of these state laws impose fines and penalties on violators and afford private rights of action to individuals who believe their personal information has been misused. Various state laws and regulations also require us to notify affected individuals in the event of a data breach involving personal information without regard to the probability of the information being compromised.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Looking ahead, it is possible that Congress could pursue a federal privacy bill to harmonize privacy regimes across states. While states have urged Congress not to weaken existing state privacy protections by adopting a less stringent national standard, many healthcare stakeholders have supported federal preemption of state data privacy legislation.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other federal and state laws restrict the use and protect the privacy and security of individually identifiable information, as well as employee personal information, including certain state laws modeled to some extent on the European Union’s General Data Protection Regulation. Federal and state consumer protection laws, including laws that do not on their face specifically address data privacy or security, have been applied to data privacy and security matters by a range of government agencies and courts.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late 2024, the OCR proposed an update to the HIPAA Security Rule aimed at strengthening the health sector’s cybersecurity infrastructure in response to a significant increase in cyber attacks in recent years. The proposed updated would impose additional requirements on covered entities and business associates to enhance the protection of electronic PHI.</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Healthcare Reform Efforts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federal and state governments continue to enact and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 what form such legislation or regulations will take. Some examples of legislative and regulatory changes impacting our business include: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Since the enactment of the Affordable Care Act (the “ACA”) in 2010, there have been numerous political and legal efforts to repeal, replace or modify the ACA. Any successful efforts in the future could have an impact on our business.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In recent years, there have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these types of changes are implemented in the future, we cannot predict whether the amount of fixed federal funding to the states will be based on current payment amounts, or if it will be based on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18"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payment amounts, which would negatively impact those states that expanded their Medicaid programs in response to the ACA.</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Legislation enacted in 2011, and still in effect, requires CMS to sequester or reduce all Medicare payments, including payments to PACE organizations, by two percent per year beginning on April 1, 2013. This sequestration has been extended through fiscal year 2032 for Medicare benefit payments.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Inflation Reduction Act of 2022 (“IRA”) resulted in significant changes to Medicare prescription drug pricing, including a program under which CMS negotiates prices for certain high-cost, single-source drugs and requirements that manufacturers pay rebates to Medicare when prices for certain drugs increase at rates outpacing inflation. Beginning in 2024, the IRA eliminated beneficiary cost-sharing above the applicable annual out-of-pocket threshold of $8,000, and beginning in 2025, it reduced that threshold to $2,000, subject to inflation-based adjustments in subsequent years, including an increase to $2,100 for 2026. While these provisions are intended to lower drug costs for beneficiaries, they may affect prescription drug costs and payment obligations for PACE organizations. The IRA’s Medicare Drug Negotiation Program has been subject to litigation, including constitutional and federal Administrative Procedure Act-based challenges; nevertheless, implementation of the IRA has continued and the full effects on our business and the healthcare industry remain uncertain.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CMS Contract Year 2024 final rule set out a number of changes for PACE organizations, including (i) clarifying that CMS has enforcement discretion to impose civil monetary penalties or an intermediate sanction in the event CMS has made a determination that could lead to the termination of a PACE program; and (ii) reinstating the requirement that PACE organizations enter into written contracts with each outside organization, agency, or individual that furnishes administrative or care-related services not furnished directly by the PACE organization, including 25 medical specialties enumerated by the PACE final rule.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CMS Contract Year 2025 final rule set out additional regulatory changes for PACE organizations, including: (i) implementation of past performance guidelines used to evaluate new PACE organization applications; (ii) personnel medical clearance guidelines; (iii) updates to service delivery timeframes by which participants must receive services; (iv) guidelines on IDT care coordination across all service settings with timeframes applied to external provider recommendations; (v) new content and documentation guidelines for participant plans of care; (vi) expansion of participant rights in care settings; and (vii) revisions to existing grievance process to align with standard determination request guidance.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CMS Contract Year 2026 final rule set out additional regulatory changes for PACE organizations, including (i) initiating a phased, multi-year transition to the risk adjustment model historically applied to Medicare Advantage organizations; and (ii) codifying a requirement for PACE organizations to collect and submit risk adjustment data to CMS.</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On July 4, 2025, the One Big Beautiful Bill Act of 2025 (Public Law 119-21) (the “Reconciliation Act”) was signed into law, enacting significant changes to Medicaid funding and eligibility. In relevant part, the Reconciliation Act reduces the federal medical assistance percentage for the Affordable Care Act Medicaid expansion population from 90% to 70% over a six-year phase-down period beginning in fiscal year 2027, imposes new community engagement requirements and semi-annual eligibility redeterminations, restricts states' ability to fund Medicaid through provider taxes, and establishes new statutory caps on state-directed payments in Medicaid managed care at or below Medicare payment rates. Collectively, these changes may have material adverse effects on our business, results of operations, financial condition, cash flows, reputation or stock price by impacting the availability of federal and state funding for PACE and creating potential barriers for the continued Medicaid eligibility of the populations we serve. We are actively monitoring the implications of these changes across our lines of business.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CMS also routinely changes risk adjustment methodologies, which are central to payment under the PACE program in which we participate. The monetary values associated with diseases and participants that we manage in our population are subject to change by CMS. Such changes could have a material adverse effect on our financial condition. See Item 1A. Risk Factors, “Risks Related to Our Business — Our records and other information and materials submitted to government payors may contain inaccurate or unsupportable information applicable to participants’ risk scores, which could cause us to overstate or understate our revenue and subject us to payment obligations or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19"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Regulations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various state hazardous waste and non-hazardous medical waste disposal laws. These laws do not classify as hazardous most of the waste produced from medical services. Federal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participant centers,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Our pharmacy business subjects us to additional extensive federal, state, and local regulation governing various aspects of the business, including the distribution and dispensing of drugs; licensure of facilities and professionals; packaging, storing, distributing, shipping, and tracking of pharmaceuticals; repackaging of drug products; labeling consumer disclosures; interactions with prescribing professionals;</w:t>
      </w:r>
      <w:r>
        <w:rPr>
          <w:color w:val="000000"/>
        </w:rPr>
        <w:t xml:space="preserve"> </w:t>
      </w:r>
      <w:r>
        <w:rPr>
          <w:rFonts w:ascii="Times New Roman;serif" w:hAnsi="Times New Roman;serif"/>
          <w:b w:val="false"/>
          <w:color w:val="000000"/>
          <w:sz w:val="20"/>
        </w:rPr>
        <w:t xml:space="preserve">supply chain security; as well as additional requirements of various governmental authorities, including state boards of pharmacy and the U.S. Consumer Product Safety Commission. Federal and state law also governs the purchase, handling, and dispensing of controlled substances by physicians and other clinicians. If we are unable to maintain our registrations this could limit or affect our ability to purchase, handle, or dispense controlled substances and other violations of these laws could subject us to criminal or other sanctions. In addition, certain laws may apply to activities of our affiliated physicians and clinicians. For example, the Prescription Drug Marketing Act governs the provision of drug samples to physicians and other clinicians, and physicians and other clinicians are required to report relationships they have with the manufacturers of drugs, medical devices and biologics through the Open Payments Program database.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Clinical laboratories may be subject to oversight by CMS and state regulators, including the Eliminating Kickbacks in Recovery Act of 2018. If our laboratories or laboratories with which we partner with are not in compliance with the applicable CMS or state laws or regulations, they could be subject to enforcement action, which could negatively affect our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healthcare industry is highly competitive. We compete directly with national, regional and local providers of healthcare for participants and clinical providers. We also compete with payors, accountable care organization (ACO) models, and other alternate managed care programs for participants. Of these providers,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Our growth strategy and our business could be adversely affected if we are not able to compete efficiently, including penetrating existing markets or new markets, recruit and retain qualified physicians or if we experience significant participant attrition to our competitors. See Item 1A. Risk Factors—“Risks Related to Our Business—The healthcare industry is highly competitive and, if we are not able to compete effectively, our business could be harmed.”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experiences some variability depending upon the time of year. Medical costs will vary seasonally depending on a number of factors, but most significantly the weather. Certain illnesses, such as the influenza virus, COVID-19 virus and respiratory syncytial virus, are far more prevalent during colder months of the year, which results in an increase in medical expenses during these time periods. We therefore see higher levels of per-participant medical costs in our second and third fiscal quarters. Medical costs also depend upon the number of business days in a period, with shorter periods generally having lower medical costs, all else being equal. There is also increased variability of participant enrollment during the open enrollment period, which occurs during our third fiscal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0"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risk score reconciliation payments we receive for each participant are determined by a participant’s RAF score, which is calculated twice per year and is based on the evolving acuity and chronic conditions of a participant. We estimate and accrue for the expected risk adjustment reconciliation payments of our participants. Though no assurances can be made in the future, we have historically used our best estimate for accruing for this payment. We received net positive risk adjustment reconciliation payments during the fiscal years ended June 30, 2026 and 2025. Historically, these risk adjustment reconciliation payments typically occur between June and July, but the timing of these payments is determined by CMS, and we have neither visibility nor control over the timing of such payments.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approximately 2,500 employees, including over 1,600 clinical professionals (excluding contract labor).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Our people are our product at InnovAge, and their commitment to our participants propels our mission of enabling seniors to age at home, with dignity, for as long as is safely possible. We believe that our employees are drawn to this mission and our values, which is why our voluntary retention rate was 70% in fiscal year 2026. Additionally, in our most recent employee engagement survey conducted in January 2026, 82% of our employees indicated that they are proud to work at InnovAge</w:t>
      </w:r>
      <w:r>
        <w:rPr>
          <w:rFonts w:ascii="Times New Roman;serif" w:hAnsi="Times New Roman;serif"/>
          <w:b/>
          <w:color w:val="000000"/>
          <w:sz w:val="20"/>
        </w:rPr>
        <w: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Attracting and retaining top talent is critical to the success of InnovAge's mission and one of the highest priorities to leadership. To keep leadership informed of the health of our employee base, we report weekly on key hiring and retention metrics. Since the launch of our annual employee engagement surveys in fiscal year 2022, we continue to review and implement action plans with staff groups based on the findings and opportunities discovered.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Less than 1% of our workforce is represented by a union, all of which are located in Pennsylvania.</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Training and Development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provide our employees opportunities to grow and advance in their careers at InnovAge with learning and development programs. Each year we conduct soft skills training for managers and supervisors, the content of which is informed by gap assessment surveys. A monthly training series for front-line leaders enables them to develop their management skills. Our clinical leaders meet monthly on a variety of topics including evolving clinical tools to better deliver excellence in clinical care.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conduct a periodic training needs assessment surveys to hear directly from employees and managers where they think they could use more support and learning content in the coming year. These assessment surveys allow the Company to develop trainings tailored to the most prevalent needs identified by our employees.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internet website is www.innovage.com. We include our website address on this Annual Report for reference only. The information contained on our website is not incorporated by reference into this Annual Report or any other report or document we file with, or furnish to, the SEC.</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any amendments to those reports are available free of charge through our website at www.investor.innovage.com as soon as reasonably practicable after such material is electronically filed with, or furnished to, the SEC. Our SEC filings are also available to the public at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1"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Our business, results of operations, and financial condition are subject to numerous risks and uncertainties. You should carefully consider the following risk factors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You should read these risk factors in conjunction with “Management’s Discussion and Analysis of Financial Condition and Results of Operations” in Item 7 and our consolidated financial statements and related notes in Part II, Item 8 of this Annual Report.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risks related to our business, regulation, our indebtedness and our common stock that you should consider. Some of the principal risks related to our business include the following:</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Our growth strategy may not prove viable.</w:t>
      </w:r>
      <w:r>
        <w:rPr>
          <w:color w:val="000000"/>
        </w:rPr>
        <w:t xml:space="preserve"> </w:t>
      </w:r>
      <w:r>
        <w:rPr>
          <w:rFonts w:ascii="Times New Roman;serif" w:hAnsi="Times New Roman;serif"/>
          <w:b w:val="false"/>
          <w:color w:val="000000"/>
          <w:sz w:val="20"/>
        </w:rPr>
        <w:t xml:space="preserve">Our ability to grow depends upon a number of factors, including recruiting and retaining participants, finding suitable geographies for new centers, the adoption of government actions which may preclude us from acquiring or opening new centers in certain jurisdictions, the outcome of our organizational and enterprise efficiency initiatives, entering into government payor arrangements in new jurisdictions, results of audits and investigations, ensuring compliance with regulatory and contractual requirements, identifying appropriate locations for new and existing centers, and hiring members of our IDTs and other employees. </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 xml:space="preserve">Our growth strategy depends upon our ability to identify and complete acquisitions, joint ventures and other strategic partnerships. </w:t>
      </w:r>
      <w:r>
        <w:rPr>
          <w:rFonts w:ascii="Times New Roman;serif" w:hAnsi="Times New Roman;serif"/>
          <w:b w:val="false"/>
          <w:color w:val="000000"/>
          <w:sz w:val="20"/>
        </w:rPr>
        <w:t>Our growth strategy involves identifying, pursuing and successfully completing acquisitions, joint ventures and strategic partnerships, which involve numerous risks, including failure to consummate negotiated transactions, difficulties in successfully integrating the operations and personnel, navigating the necessary regulatory approval requirements and difficulties in entering new markets.</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 xml:space="preserve">If we are unable to attract new participants and retain existing participants, our revenue growth will be adversely affected. </w:t>
      </w:r>
      <w:r>
        <w:rPr>
          <w:rFonts w:ascii="Times New Roman;serif" w:hAnsi="Times New Roman;serif"/>
          <w:b w:val="false"/>
          <w:color w:val="000000"/>
          <w:sz w:val="20"/>
        </w:rPr>
        <w:t xml:space="preserve">To increase our revenue, we plan to expand the number of centers and participants in our network, requiring recruitment and retention. Our inability to recruit new eligible participants and retain existing participants has adversely affected, and could in the future, adversely affect our growth strategy. </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 xml:space="preserve">Our overall business results have been, and we expect will continue, to be impacted by ongoing macroeconomic, geopolitical and industry-related challenges. </w:t>
      </w:r>
      <w:r>
        <w:rPr>
          <w:rFonts w:ascii="Times New Roman;serif" w:hAnsi="Times New Roman;serif"/>
          <w:b w:val="false"/>
          <w:color w:val="000000"/>
          <w:sz w:val="20"/>
        </w:rPr>
        <w:t>Macroeconomic and industry challenges, including labor shortages, labor competition, high inflation, and supply chain disruptions as a result of tariffs and trade disputes, have impacted and we expect will continue to impact our business operations. The healthcare sector continues to experience workforce shortages, particularly in geriatrics, primary care and direct care roles, as well as a complex set of challenges in hiring additional professionals due to higher demand for healthcare services, the pipeline of qualified professionals, and with respect to direct care roles, changes in federal immigration policy and enforcement.</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Under PACE contracts, we assume all of the risk that the cost of providing services will exceed our compensation</w:t>
      </w:r>
      <w:r>
        <w:rPr>
          <w:rFonts w:ascii="Times New Roman;serif" w:hAnsi="Times New Roman;serif"/>
          <w:b w:val="false"/>
          <w:color w:val="000000"/>
          <w:sz w:val="20"/>
        </w:rPr>
        <w:t xml:space="preserve">. Most of our revenue was derived from capitation agreements with government payors in which we receive fixed per member, per month (“PMPM”) fees. To the extent that our participants require more care than anticipated and/or the cost of care increases, aggregate fixed capitation payments may be insufficient to cover the costs and could have a material adverse effect on our business. </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 xml:space="preserve">Our dependence on Medicare and Medicaid exposes us to risks from government funding reductions, legislative changes, including the Reconciliation Act, and federal and state budgetary pressures. </w:t>
      </w:r>
      <w:r>
        <w:rPr>
          <w:rFonts w:ascii="Times New Roman;serif" w:hAnsi="Times New Roman;serif"/>
          <w:b w:val="false"/>
          <w:color w:val="000000"/>
          <w:sz w:val="20"/>
        </w:rPr>
        <w:t>A majority of our capitation revenue is derived from a limited number of government payors, particularly Medicare and Medicaid, concentrated in Colorado and California. Federal cost-cutting measures could significantly decrease healthcare-related federal funding and modify our compliance landscape. The Reconciliation Act mandates significant reductions in federal Medicaid spending and other significant changes. These federal changes, combined with restrictions on state provider taxes, create budgetary pressures that may lead to reductions in optional Medicaid benefits, workforce shortages at government oversight entities, and downward pressure on our capitated fee payments, adversely affecting our operating results and limiting our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2"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Reductions in PACE reimbursement rates, changes in risk adjustment methodologies or changes in the rules governing PACE programs could have a material adverse effect on our financial condition and results of operations.</w:t>
      </w:r>
      <w:r>
        <w:rPr>
          <w:color w:val="000000"/>
        </w:rPr>
        <w:t xml:space="preserve"> </w:t>
      </w:r>
      <w:r>
        <w:rPr>
          <w:rFonts w:ascii="Times New Roman;serif" w:hAnsi="Times New Roman;serif"/>
          <w:b w:val="false"/>
          <w:color w:val="000000"/>
          <w:sz w:val="20"/>
        </w:rPr>
        <w:t>We receive nearly all of our revenue through the PACE program. As a result, our operations are dependent on government funding levels for PACE programs. Any changes that limit or reduce general PACE rates could have a material adverse effect on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We have experienced and expect to continue experiencing increased costs and expenditures in the future.</w:t>
      </w:r>
      <w:r>
        <w:rPr>
          <w:color w:val="000000"/>
        </w:rPr>
        <w:t xml:space="preserve"> </w:t>
      </w:r>
      <w:r>
        <w:rPr>
          <w:rFonts w:ascii="Times New Roman;serif" w:hAnsi="Times New Roman;serif"/>
          <w:b w:val="false"/>
          <w:color w:val="000000"/>
          <w:sz w:val="20"/>
        </w:rPr>
        <w:t>In fiscal year 2026, we continued several initiatives intended to lower our costs and expect to continue making investments in growing our business, including through the implementation of Company-wide transformation initiatives. If we are not able to execute or realize the benefits of our transformation initiatives, our profitability could decline.</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We have faced, and continue to face inspections, reviews, audits and investigations under federal and state government programs and contracts</w:t>
      </w:r>
      <w:r>
        <w:rPr>
          <w:rFonts w:ascii="Times New Roman;serif" w:hAnsi="Times New Roman;serif"/>
          <w:b w:val="false"/>
          <w:color w:val="000000"/>
          <w:sz w:val="20"/>
        </w:rPr>
        <w:t>. As a result of PACE contracts with various federal and state government programs, we are regularly subject to, and will continue to be subject to, various routine and non-routine governmental inspections, reviews, audits, requests for information and investigations to verify our compliance with applicable laws, assess the quality of our services and evaluate the accuracy of our submitted risk adjustment data. We are unable to guarantee the outcomes of such audits.</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 xml:space="preserve">We are subject to legal proceedings, enforcement actions and litigation, malpractice and privacy disputes, which are costly and could materially harm our business. </w:t>
      </w:r>
      <w:r>
        <w:rPr>
          <w:rFonts w:ascii="Times New Roman;serif" w:hAnsi="Times New Roman;serif"/>
          <w:b w:val="false"/>
          <w:color w:val="000000"/>
          <w:sz w:val="20"/>
        </w:rPr>
        <w:t>From time to time, we are party to lawsuits and legal proceedings from various parties. These matters are often expensive and disruptive to our business operations. These matters could result in significant cash settlements, and the time necessary to litigate could harm our business, financial condition, and results of operations.</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Our records and other information and materials submitted to government payors may contain inaccurate or unsupportable information applicable to participants’ risk scores, which could subject us to repayment obligations or penalties.</w:t>
      </w:r>
      <w:r>
        <w:rPr>
          <w:color w:val="000000"/>
        </w:rPr>
        <w:t xml:space="preserve"> </w:t>
      </w:r>
      <w:r>
        <w:rPr>
          <w:rFonts w:ascii="Times New Roman;serif" w:hAnsi="Times New Roman;serif"/>
          <w:b w:val="false"/>
          <w:color w:val="000000"/>
          <w:sz w:val="20"/>
        </w:rPr>
        <w:t xml:space="preserve">CMS may audit risk adjustment-related data. Erroneous data submissions could result in inaccurate revenue and risk-adjusted payments. Correction or risk adjustment reconciliations in later periods could require us to refund a portion of the revenue that we received, which could have a material adverse effect on our business, results of operations, financial condition and cash flows. </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Allegations of failure and failure to adhere to all of the complex government laws and regulations applicable to our business, have had, and could in the future have, a material adverse effect on our business, results of operations, financial condition, cash flows, reputation and stock price.</w:t>
      </w:r>
      <w:r>
        <w:rPr>
          <w:color w:val="000000"/>
        </w:rPr>
        <w:t xml:space="preserve"> </w:t>
      </w:r>
      <w:r>
        <w:rPr>
          <w:rFonts w:ascii="Times New Roman;serif" w:hAnsi="Times New Roman;serif"/>
          <w:b w:val="false"/>
          <w:color w:val="000000"/>
          <w:sz w:val="20"/>
        </w:rPr>
        <w:t>Our operations are subject to extensive federal, state and local government laws and regulations. Allegations of violation, or actual violations of the legal requirements implicated by our business may have material adverse consequences on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Ignite Aggregator LP (an investment vehicle owned by certain funds advised by Apax Partners LLP) and funds affiliated with Welsh, Carson, Anderson &amp; Stowe (together, our “Principal Shareholders”) control us.</w:t>
      </w:r>
      <w:r>
        <w:rPr>
          <w:color w:val="000000"/>
        </w:rPr>
        <w:t xml:space="preserve"> </w:t>
      </w:r>
      <w:r>
        <w:rPr>
          <w:rFonts w:ascii="Times New Roman;serif" w:hAnsi="Times New Roman;serif"/>
          <w:b w:val="false"/>
          <w:color w:val="000000"/>
          <w:sz w:val="20"/>
        </w:rPr>
        <w:t>Our Principal Shareholders beneficially own approximately 82% of our common stock, which means that together they control the vote of all matters submitted to a vote of our shareholders, including the election of members of the Board of Directors of the Company (the “Board”) and all other corporate decisions. For such period of time as our Principal Shareholders beneficially own a majority of the voting power, they will have significant influence.</w:t>
      </w:r>
    </w:p>
    <w:p>
      <w:pPr>
        <w:pStyle w:val="TextBody"/>
        <w:bidi w:val="0"/>
        <w:spacing w:lineRule="auto" w:line="288" w:before="200" w:after="283"/>
        <w:ind w:left="0" w:right="0" w:hanging="360"/>
        <w:jc w:val="both"/>
        <w:rPr/>
      </w:pPr>
      <w:r>
        <w:rPr>
          <w:color w:val="000000"/>
        </w:rPr>
        <w:t>•</w:t>
      </w:r>
      <w:r>
        <w:rPr>
          <w:rFonts w:ascii="Times New Roman;serif" w:hAnsi="Times New Roman;serif"/>
          <w:b/>
          <w:color w:val="000000"/>
          <w:sz w:val="20"/>
        </w:rPr>
        <w:t>Our operating results fluctuate, which makes our future operating results difficult to predict and could cause such results to fall below any guidance, targets or goals we provide.</w:t>
      </w:r>
      <w:r>
        <w:rPr>
          <w:color w:val="000000"/>
        </w:rPr>
        <w:t xml:space="preserve"> </w:t>
      </w:r>
      <w:r>
        <w:rPr>
          <w:rFonts w:ascii="Times New Roman;serif" w:hAnsi="Times New Roman;serif"/>
          <w:b w:val="false"/>
          <w:color w:val="000000"/>
          <w:sz w:val="20"/>
        </w:rPr>
        <w:t xml:space="preserve">If the guidance we provide falls short or we are unable to meet the expectations of analysts or investors, the trading price of our common stock could decline substantially. </w:t>
      </w:r>
    </w:p>
    <w:p>
      <w:pPr>
        <w:pStyle w:val="TextBody"/>
        <w:bidi w:val="0"/>
        <w:spacing w:lineRule="auto" w:line="288" w:before="200" w:after="283"/>
        <w:jc w:val="both"/>
        <w:rPr/>
      </w:pPr>
      <w:r>
        <w:rPr>
          <w:rFonts w:ascii="Times New Roman;serif" w:hAnsi="Times New Roman;serif"/>
          <w:b/>
          <w:color w:val="000000"/>
          <w:sz w:val="20"/>
        </w:rPr>
        <w:t>Risks Related to Our Business</w:t>
      </w:r>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growth strategy may not prove viable and we may fail to realize expected results therefrom fully or at all.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grow depends upon a number of factors, including recruiting and retaining participants at new and existing centers, finding suitable geographies that have aging populations and viable rate structures, the adoption of government actions which may preclude us from acquiring or opening new centers in certain jurisdictions, the outcome of our organizational and enterprise efficiency initiatives, entering into government payor arrangements in new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3"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results of audits, investigations and ongoing or new remediation efforts, ensuring compliance with regulatory and contractual requirements, identifying appropriate locations for new and existing centers, completing build-outs of new centers within proposed timelines and budgets and hiring members of our IDTs and other employees.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growth strategy involves a number of risks and uncertainties, including that: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has intensified due to the availability to seniors of other programs similar to PACE and the ongoing consolidation in the healthcare industry, which may increase our costs to pursue such opportunities;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implementation of our continuing clinical and operational value initiatives may be more expensive than anticipated and we may fail to realize the anticipated benefits thereof within the expected timeline, or at all;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not be able to recruit or retain a sufficient number of new or existing participants to execute our growth strategy or offset costs relating to marketing, opening de novo centers or executing acquisitions;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not be able to hire sufficient numbers of physicians and other clinical staff, particularly in the current labor market characterized by heightened demand for healthcare personnel due to an aging population, and upward pressure on wages coupled with labor shortages for qualified healthcare professionals;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when expanding our business into new states, we may be required to comply with laws and regulations that may differ from states in which we currently operate;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we have faced, and may continue to face, larger than expected costs and legal, community or other obstacles in the construction and opening of de novo centers, such as the suspension or revocation of state-required attestations;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have difficulty identifying appropriate acquisition targets, be precluded from acquiring targets as a result of audits or sanctions or due to other legal restrictions (e.g. federal or state antitrust laws), may fail to satisfy closing conditions or make investments in acquisitions that we are unable to effectively integrate, involve associated risks or liabilities that we are unable to uncover in advance, or that require greater resources than anticipated and that could include deficient quality of service;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be subject to sanctions as a result of audits and other regulatory processes and proceedings that could include temporary or permanent suspension of enrollments, debarment or exclusion from participation in federal healthcare programs, and the revocation of a center’s license and suspension or revocation of required attestations to open de novo centers, which may in turn result in participant attrition and preclude us from opening de novo centers and conducting tuck-in acquisitions. As previously disclosed, the California Department of Health Care Services (“DHCS”), suspended the state-required attestations for a planned de novo center in Downey and for the de novo center we acquired in Bakersfield, California in 2023. While we have withdrawn our PACE application for the Downey center, there is no guarantee that the attestation for Bakersfield will be reinstated or that similar situations will not occur in the future.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One element of our growth strategy is to build de novo centers. When we open de novo centers, particularly in a new geography, such as our de novo centers in the State of Florida, there is no guarantee about the timing or our ability to enroll enough participants, hire and train enough skilled and non-skilled staff, develop necessary community relationships, and otherwise ramp up these centers to maturity. If we are unable to increase utilization of capacity at our centers through enrollment, ramp up de novo centers, build new de novo centers, manage our external provider costs, expand into new geographies, or find, evaluate and execute on new business opportunities, we may be unable to grow and our business and results of operations will be materially adversely affected.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we grow our business and open or acquire new centers, we expect to continue to increase our headcount and to hire or contract with more physicians, nurses and other specialized medical personnel. We will need to continue to hire, train and manage additional qualified information technology, operations and marketing staff, and improve and maintain our technology and information systems to properly manage our growth. If our new hires perform poorly, if we 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will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4"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successfully capitalize on growth opportunities, which will negatively impact our business, revenues, results of operations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growth strategy is partially dependent upon our ability to identify and successfully complete acquisitions, joint ventures and other strategic partnerships.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element of our growth strategy is to identify, pursue and successfully complete and integrate tuck-in acquisitions, joint ventures and other strategic partnerships to expand our operations and support our growth. Most recently, we entered into a joint venture with Orlando Health with respect to the InnovAge Florida PACE - Orlando (“InnovAge Orlando”) center in Florida and with Tampa General Hospital with respect to the InnovAge Florida PACE - Tampa center in Florida. We intend to continue pursuing relationships with key stakeholders, existing organizations and other care providers in order to form partnerships in target geographies.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However, acquisitions, joint ventures and other strategic partnerships, involve numerous risks, including potential failure to consummate negotiated transactions, difficulties in successfully integrating operations and personnel, navigating the necessary regulatory approval requirements, including compliance with federal Anti-Kickback Statute regulatory safe harbors applicable to such transactions, time constraints and competing interests of management while overseeing such transactions, and disruption to our existing operations, operational and compliance challenges in entering new markets in which we have no or limited direct prior experience, and difficulties in achieving desired synergies.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incur costs associated with potential acquisitions that we pursue and are not consummated, such as litigation or other dispute resolutions expenses associated with termination of transaction agreements. We also may need to deploy resources to ensure target and acquired PACE centers are operating in compliance with regulatory and contractual requirements, as well as any corrective action plans. Any failure to select suitable opportunities at fair prices, conduct appropriate due diligence, acquire, and successfully integrate the acquired center into our operations, particularly centers operating in new geographic markets, could materially and adversely impact our growth strategies, financial condition or 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laws governing the review and approval of healthcare transactions could limit our ability to successfully complete acquisitions. Several states, including California, New Mexico, and Colorado have adopted laws focused on competition, quality, access, and cost that either authorize state agencies to review and approve certain healthcare transactions, or require notice prior to certain healthcare transactions, such as in California (requiring notice to the Office of Health Care Affordability with certain transactions referred to their attorney general for further review) or in New Mexico (requiring approval for certain transactions involving acquisitions and other changes in control, including formation of a partnership or joint venture that results in an indirect change in control). Many other states, including Pennsylvania have been considering similar legislation. Moreover, state attorneys general, including in California, hold approval authority with respect to certain other healthcare transactions.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notices and approvals typically require a substantial amount of information, including supporting documentation. While certain of these proposed bills and codified restrictions target physician and dental practice management, they reflect a broader trend of increased regulatory scrutiny of healthcare transactions, which could negatively affect our ability to grow our business and our ability to successfully complete future transactions.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Beyond state laws requiring regulatory notice or review of transactions, other state laws or policies may constrain our ability to successfully complete acquisitions, joint ventures and other strategic partnerships. For example, effective November 20, 2025, California adopted a two-year pause to the PACE application process, expiring on November 19, 2027. During the application pause period, California will not accept applications for new PACE organizations and existing PACE organization service area expansions. The application pause will constrain our ability to open new PACE centers and expand the reach of our existing PACE centers in California, limiting our ability to grow our business in the state. While the application pause is set to expire in November 2027, it is possible that California will extend the application pause beyond that period.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proposed transactions may also have material impacts on our operating results if we significantly increase our interest expense, leverage and debt service requirements if we incur additional debt to pay for an acquisition or investment, dilute our current shareholders’ percentage ownership by issuing common stock to a transaction counterparty, or incur asset write-offs, restructuring costs and other expenses associated with such transactions. Acquisitions, joint ventures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5"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strategic investments also involve numerous other risks, including potential exposure to assumed liabilities, as well as undetected internal control, regulatory or other issues, or unanticipated additional costs.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are unable to attract new participants and retain existing participants, our revenue growth will be adversely affected.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our revenue, our business strategy includes expanding the number of centers and participants in our network. In order to support such growth, we must recruit and retain a sufficient number of new participants.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frail, dual-eligible senior population and face competition from other healthcare providers and payors in the recruitment of potential participants. Therefore, we must demonstrate that our services provide a viable solution for potential participants. If we are unable to convince the frail, dual-eligible senior population of the benefits of the InnovAge Platform or if potential or existing participants prefer the healthcare provider model of one of our competitors, we may not be able to effectively implement our growth strategy, which depends on our ability to attract new participants.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participant enrollment for PACE is ongoing each month and requires states to verify eligibility, a process which can result in delays in enrollment. We have experienced, and continue to experience, an increase in gaps of eligibility for both new enrollments and Medicaid redetermination applications due to processing delays and other enrollment and redetermination procedures that vary by State and county. While participants continue to receive care and remain enrolled with us during the redetermination process, the effect of such delays temporarily halts Medicaid revenue related to any closed application and simultaneously increases our risk of revenue recovery. The Reconciliation Act, signed into law on July 4, 2025, generally requires redetermination to occur at least every 6 months instead of annually. As a result, enrollment delays may increase due to insufficient staffing to handle the higher volume of work.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overall business results have been, and we expect will continue to be, impacted by ongoing macroeconomic, geopolitical and industry-related challenges, including labor shortages, labor competition, inflation, and supply chain disruption as a result of tariffs and trade disputes.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Macroeconomic and industry challenges, including labor shortages, labor competition, high inflation, and supply chain disruptions as a result of tariffs and trade disputes have impacted and we expect will continue to impact our business operations and our overall business results. The healthcare sector continues to experience workforce shortages, particularly in geriatrics, primary care and direct care roles, as well as a complex set of challenges in hiring additional professionals due to higher demand for healthcare services and the pipeline of qualified professionals, and with respect to direct care roles, changes in federal immigration policy and enforcement. We compete with other healthcare providers, primarily hospitals, other PACE organizations, skilled nursing facilities, Medicare Advantage plans, and other risk-bearing primary care, and other home health care providers in attracting, recruiting and retaining physicians, nurses, medical staff and other qualified management and support personnel to support our centers and their daily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high inflation has increased the cost of living, and consequently, wage pressure for healthcare professionals, which has contributed to an increasingly competitive labor market. Increased wage pressure for healthcare professionals has also been impacted by certain laws and regulations, such as the adoption of California Senate Bill No. 525 (“SB 525”), which raised minimum wage for many California healthcare workers and impacted many of our contractors and other third-party providers. As a result of competition generated by SB 525 and other California market conditions, we have received rate increases from third party vendors, including those providing home health services and care partner services, increasing our cost of care in California in fiscal year 2026. We also increased our wages in fiscal year 2026 for impacted healthcare workers and other comparable market positions in the California market. Because substantially all of our revenue consists of prospective monthly capitated, or fixed, payments per participant, our ability to pass along increased costs is limited. In particular, if labor costs rise at an annual rate greater than the annual increases in our Medicare and Medicaid capitation rates, our results of operations and cash flows will likely be adversely affected.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labor market conditions disrupt our ability to attract, recruit and retain healthcare professionals, we may not be able to execute our growth plan and grow capacity in our existing centers or open de novo centers or we may have to do so at costs higher than originally budgeted, which, in turn, could increase our capital needs during a time of elevated interest rates and when conditions in the credit and capital markets are volatile. Cost of care and related cost per participant increased for fiscal year 2026 compared to 2025, partially as a result of higher wage rates. In addition, labor relations matters could have a material adverse effect on our business. Certain nurses in our Pennsylvania centers (less than 1% of our total workforce) are represented by unions. If additional employees seek to unionize in the future, employees may threaten and/or engage in work stoppages and strikes and our labor costs may materially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6"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both domestic and international suppliers for medical equipment and supplies, including pharmaceuticals used in our business. Recent U.S. tariffs, retaliatory measures by other countries, significant uncertainty surrounding trade tensions and military conflicts, in particular the conflict in the Middle East, may result in higher prices for medical and other supplies and lead to supply chain disruptions and additional costs. Factors arising from supply chain challenges such as raw material shortages, longer lead times, and increased transportation expenses may affect our ability to grow our business effectively and may pose risks to our ability to acquire essential medical supplies in a timely and efficient manner. The degree to which tariffs and the conflict in the Middle East may affect the global supply chain and our business will depend on the timing, duration and magnitude of these events, which may change at any time and with little or no prior notice.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healthcare industry is subject to shifting political priorities and initiatives. As our stakeholders have evolving, varied, and sometimes conflicting expectations regarding political positions, we may experience adverse reactions from some of our stakeholders for positions we take on, and advocacy for, Medicare and Medicaid funding and program design in the future.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Governmental payors at the federal, state and local levels continue to face structural budget deficits and fiscal pressures driven by rising operational outlays, healthcare program expansions, and shifting revenue collections. These ongoing budget constraints have decreased, and may continue to decrease, spending or reimbursement rates for health and human service programs, including Medicare, Medicaid, PACE and similar programs. Because these programs represent nearly all of the payor sources for our centers, any prolonged funding reductions may have a material effect on our results of operations and financial condition. While macroeconomic and industry conditions, including labor shortages and inflation, have increased our cost of care to date, we believe that these conditions have not had a material effect on our overall operating results to date; however, there can be no assurance that continued challenges will not have an adverse impact on our operating results and financial condition in the future.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Under our PACE contracts, we assume all of the risk that the cost of providing services will exceed our compensation.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Nearly all of our revenue for the years ended June 30, 2026 and 2025, was derived from capitation agreements with government payors in which we receive fixed PMPM fees. While there are variations specific to each agreement, we generally contract with government payors to receive a fixed PMPM fee to provide or manage all healthcare services a participant may require while assuming financial responsibility for the totality of our participants’ healthcare expenses. This type of contract is often referred to as an “at-risk” or a “capitation” contract.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our participants require more care than is anticipated and/or the cost of care increases, aggregate fixed capitation payments may be insufficient to cover the costs associated with treatment. If medical costs and expenses exceed the underlying capitation payments received, we will not be able to correspondingly increase our capitated payments and thus we could suffer losses with respect to such agreements.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our anticipated ratio of medical expense to revenue can significantly impact our financial results. Accordingly, the failure to adequately predict and control medical costs and expenses, execute or realize the benefits of our clinical value initiatives and operational value initiatives,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such as emergency room visits or preventable hospital admissions, that increase such expenses.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our medical costs and expenses as a percentage of revenue have fluctuated. Factors that have caused and may continue to cause medical expenses to exceed estimates include: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health status of participants requiring higher levels of care, such as nursing home care, or higher incidents of hospitalization;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higher than expected utilization of new or existing healthcare services;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more frequent catastrophic medical cases (e.g. transplants);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 increase in the cost of healthcare services and supplies, whether as a result of inflation, wage increases, pandemics or epidemics, other health emergencies,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27"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emergence of new high-cost medications to treat conditions that are common in our population, such as new treatments for Alzheimer’s Dementia;</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to mandated benefits or other changes in healthcare laws, regulations and practices at both the federal and state levels;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increased costs attributable to specialist physicians, hospitals, and ancillary providers;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the demographics of our participants and medical trends;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contractual or claims disputes with providers, hospitals or other service providers;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occurrence of catastrophes;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reduction of government payor payments.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We have experienced, and expect to continue experiencing, increased costs and expenditures in the future.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year 2026, while we continued several initiatives intended to lower certain of our costs, we also continued to make significant investments in growing and transforming our business, including through the implementation of Company-wide transformation initiatives (focused on managing cost trends, operational excellence and high quality care for participants) increasing our participant base, building capabilities to increase our sophistication as a payor to drive clinical value, expanding our operations through acquisitions, hiring additional employees for growing or new centers, and introducing or improving technology. As a result of these increased expenditures, our profit margins may decrease.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have increased, and we expect them to continue to increase, over the next several years as we continue to hire additional personnel, expand our operations and infrastructure, reimagine key operational areas through technology, and continue to provide services to an increasing number of participants in furtherance of our clinical and operational value initiatives. As we expect the rate environment for fiscal year 2027 to be more constrained than in recent years, to help manage medical costs and protect our profit margins, we are placing increased reliance on such initiatives, including deployment of artificial intelligence (“AI”) enabled scheduling and efforts to reduce unwarranted variation in provider practice patterns. If we are not able to execute or realize the benefits of our clinical and operational value initiatives, or if they otherwise prove insufficient to offset a more constrained rate environment, our profit margins could decrease, our operating loss could increase and we may not gain the anticipated efficiencies from such initiatives.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expected costs to grow our business, we also expect to continue to incur compliance costs, as a result of audits and maintaining high quality of care across our centers, as well as additional legal, accounting and other expenses as we continue to operate as a public company. These investments may be more costly than we expect, and if we do not achieve the benefits anticipated from these investments, or if the realization of these benefits is delayed, our profitability could decline. If our growth rate were to decline significantly or become negative, it could adversely affect our financial condition and results of operations.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finance our operations principally from revenue from our participant services and the incurrence of indebtedness. We may not continue to generate positive cash flow from operations or have access to sufficient capital, and our variable results may make it difficult for you to rely on our historical results as indicative of future performance. We have encountered, and will continue to encounter, risks and difficulties frequently experienced by growing companies in rapidly changing and highly regulated industries, including increasing expenses as we continue to grow our business. If we are unable to successfully address these risks and challenges as we encounter them, our business, results of operations and financial condition would be adversely affected. Accordingly, we may not be able to be profitable or improve our income in the future, which could negatively impact the value of our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Our dependence on Medicare and Medicaid exposes us to risks from government funding reductions, legislative changes including the Reconciliation Act, and federal and state budgetary pressures.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dependent on a limited number of government payors, particularly Medicare and Medicaid, with whom we directly contract to provide services to participants. We generally manage our contracts on a state-by-state basis, entering into a separate contract in each state. When aggregating the revenue associated with Medicare and Medicaid by state, Colorado and California accounted for a total of 70.2% and 70.1% of our capitation revenue for the fiscal years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28"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business structure and market conditions, we expect that the majority of our revenues will continue to be derived from a limited number of key government payors. As a result, we depend on federal funding, the financial condition of the states in which we operate, and each state’s commitment to its PACE program. Government-funded healthcare programs in the states in which we operate face a number of risks, including higher than expected healthcare costs and lack of predictability of tax basis and budget needs. As the states respond to regulatory changes, market dynamics and financial pressures, and as government payors make strategic budgetary decisions in respect of the programs in which they participate, certain government payors, including CMS and state Medicaid agencies, may seek to renegotiate or terminate their agreements with us. Any reduction in the budgetary appropriations for our services, whether due to fiscal constraints from changes in policy, a recession or economic downturn, emergency situations such as pandemics, or otherwise, could result in a reduction in our capitated fee payments, changes to the scope of services, or even the loss of contracts, any of which could negatively impact our revenues, business and prospects.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Trump Administration has implemented a series of measures to reduce expenditures and streamline operations across the federal government, including at HHS, the FDA, the National Institutes of Health and CMS. Although temporary commission of the Department of Government Efficiency (DOGE) formally concluded in July 2026, its efficiency directives, permanent personnel changes, and ongoing executive actions continue to reduce federal spending related to healthcare. Furthermore, the administration has reshaped the Center for Medicare and Medicaid Innovation (CMMI) to focus on cost reduction strategies and program integrity initiatives, such as the CMS “Comprehensive Regulations to Uncover Suspicious Healthcare” (CRUSH) initiative launched in 2026. These spending cuts, heightened audit environments and shifting reimbursement structures could significantly decrease federal funding related to healthcare, modify our compliance landscape, and create policy changes that could materially and adversely harm our business operations, financial condition, and 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Reconciliation Act, made several changes that impact Medicare, Medicaid and PACE providers. The Reconciliation Act mandated significant reductions in federal Medicaid spending, with the Congressional Budget Office estimating a decrease of $1 trillion over the next decade. The Reconciliation Act also introduced new work requirements for Medicaid recipients aged 19 to 64, which are slated for nationwide implementation on January 1, 2027, necessitating at least 80 hours per month of work, education, or volunteer activities, unless they qualify for certain exemptions. The Reconciliation Act also narrowed Medicaid eligibility for qualified immigrants. States will be required to conduct eligibility verifications of Medicaid enrollees in the expansion population every six months (unless otherwise exempt), increasing from the previous annual requirement. These changes may lead to decreased Medicaid enrollment among existing and prospective PACE participants, potentially reducing our funding and decreasing margins. The Reconciliation Act also introduced cost-sharing measures, requiring Medicaid beneficiaries with incomes between 100% and 138% of the federal poverty level to pay up to $35 per service for certain healthcare services. Though the statutory implementation date for these co-pays is deferred until October 1, 2028, states are already structuring their multi-year budgets around these anticipated savings.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Reconciliation Act mandates, eligible participants could be deterred from enrolling in or continuing enrollment with PACE programs, possibly impacting our ability to retain or increase our participant base. With the federal funding cuts, and states being prohibited from increasing provider taxes to finance their share of Medicaid spending, states are also facing budgetary pressures. These budgetary pressures may potentially lead to reductions in certain optional Medicaid benefits, reductions in the workforce for the government entities that oversee and administer Medicaid and PACE, causing delays, and downward pressure on rates, including our capitated fee payments. State-level decisions on benefit coverage could adversely affect or limit the comprehensiveness and quality of care we provide. Finally, the new requirements will necessitate adjustments in our administrative processes to ensure compliance with more frequent eligibility verifications and other reporting standards mandated by federal and state regulatory agencies. Failure to adapt promptly could result in regulatory penalties, sanctions, or loss of funding. Until we know the full operational reality of these multi-phase Reconciliation Act rollouts, continuous litigation appeals, and down-stream state budgetary adjustments are finalized, we will not know the extent of any direct or indirect impact on us.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government payors may generally adjust certain terms of our agreements with them from time to time and may terminate their contracts with us upon the occurrence of certain events. Such events include inspections, reviews, audits, requests for information or investigations with adverse findings, as well as situations in which state or federal funds are not appropriated at sufficient levels to fund our contracts or PACE programs in general. Government payors, such as CMS and state Medicaid agencies, may also exercise their regulatory authority to terminate, suspend or cancel our contracts, in whole or in part, for cause in the event of our noncompliance with applicable statutory, regulatory, or contractual requirements, or if we are debarred or suspended from providing services by state or federal government authorities. CMS, as the federal agency responsible for oversight of Medicare and PACE programs, may also impose regulatory sanctions for noncompliance with federal requirements, including but not limited to the suspension of participant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29"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enrollment, civil monetary penalties, or contractual termination. The imposition of such sanctions has in the past affected and could in the future adversely affect our operating results and our ability to pursue our growth strategies. The sudden loss of any of our government contracts, entry into a government contract with unfavorable economic terms or the renegotiation or adjustment of any of such contracts to include unfavorable terms could adversely affect our operating results. In the ordinary course of business, we engage in active discussions and renegotiations with government payors in respect of the services we provide and the terms of our agreements.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also Item 1A. Risk Factors, “Risks Related to Our Business-We conduct a significant percentage of our operations in the States of California and Colorado and, as a result, we are particularly susceptible to any reduction in budget appropriations for our services or any other adverse developments in that state.”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Reductions in PACE reimbursement rates, changes in risk adjustment methodologies, or changes in the rules governing PACE programs could have a material adverse effect on our financial condition and results of operations.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Nearly all of our revenue is derived through the PACE program. As a result, our operations are highly dependent on federal and state government funding levels and reimbursement methodologies applicable to PACE organizations. Any changes that limit or reduce general PACE funding, such as reductions in or limitations of reimbursement amounts or rates under programs, changes in payment methodologies, reductions in funding of programs or expansion of benefits, services or treatments under programs without adequate funding, could have a material adverse effect on our business, results of operations, financial condition and cash flows.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PACE programs and their respective reimbursement methodologies are subject to frequent statutory, regulatory and administrative changes. These changes may include modifications to payment rates, benchmark calculations, risk adjustment methodologies, risk score reconciliations, data submission requirements, administrative guidance,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For example, the budget constraints caused by recent federal funding cuts and impact of the Reconciliation Act may lead federal and state governments to reduce or limit reimbursement amounts or rates under the PACE program. Implementation of these and other types of measures has in the past and could in the future result in reductions in our revenue and operating margins, the extent of which would depend on the specific measures implemented.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Legislation enacted in 2011 requires CMS to sequester or reduce all Medicare payments, including payments to PACE organizations, by two percent per year beginning on April 1, 2013, and this sequestration has been extended through 2032 for Medicare benefit payments. We cannot predict what other deficit reduction, other payment reduction or budget enforcement initiatives may be proposed by Congress, which could impact our business, including whether Congress will attempt to increase, restructure or suspend sequestration.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CMS establishes the Medicare PACE benchmark payment rates by county for the following calendar year. Because nearly all of our revenue is through the PACE program, any negative changes to the PACE benchmark payment rates could have a material adverse effect on our business, results of operations, financial condition and cash flows. </w:t>
      </w:r>
    </w:p>
    <w:p>
      <w:pPr>
        <w:pStyle w:val="TextBody"/>
        <w:bidi w:val="0"/>
        <w:spacing w:lineRule="auto" w:line="276" w:before="200" w:after="283"/>
        <w:ind w:left="0" w:right="0" w:firstLine="360"/>
        <w:jc w:val="both"/>
        <w:rPr/>
      </w:pPr>
      <w:r>
        <w:rPr>
          <w:rFonts w:ascii="Times New Roman;serif" w:hAnsi="Times New Roman;serif"/>
          <w:b w:val="false"/>
          <w:color w:val="000000"/>
          <w:sz w:val="20"/>
        </w:rPr>
        <w:t>In addition, CMS has begun a multi-year transition from the legacy PACE-specific 2020 CMS-Hierarchical Condition Category (“</w:t>
      </w:r>
      <w:r>
        <w:rPr>
          <w:rFonts w:ascii="Times New Roman;serif" w:hAnsi="Times New Roman;serif"/>
          <w:b w:val="false"/>
          <w:color w:val="000000"/>
          <w:sz w:val="20"/>
          <w:u w:val="single"/>
        </w:rPr>
        <w:t>CMS-HCC</w:t>
      </w:r>
      <w:r>
        <w:rPr>
          <w:color w:val="000000"/>
        </w:rPr>
        <w:t>”</w:t>
      </w:r>
      <w:r>
        <w:rPr>
          <w:rFonts w:ascii="Times New Roman;serif" w:hAnsi="Times New Roman;serif"/>
          <w:b w:val="false"/>
          <w:color w:val="000000"/>
          <w:sz w:val="20"/>
        </w:rPr>
        <w:t xml:space="preserve">) (V22) risk adjustment model to the Medicare Advantage 2024 CMS-HCC (V28) risk adjustment model. Effective January 1, 2026, CMS began phasing in the V28 model with full implementation expected in calendar year 2028. The V28 model significantly revises the clinical conditions, coefficients, and hierarchies used to determine participant risk scores and places greater emphasis on coding specificity and diagnosis documentation. As a result, the transition may reduce risk scores for many PACE participants relative to the legacy model and could result in lower Medicare revenue growth than we have historically experienced.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Reductions in reimbursement rates or adverse changes in payment methodologies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We have faced and continue to face inspections, reviews, audits and investigations under federal and state government programs and contracts. These audits have required and may in the future require corrective actions and have resulted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0"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 adverse findings that have negatively affected and continue to affect our business, including our results of operations, liquidity, financial condition and reputation.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our PACE contracts with CMS and state government agencies, state licenses, and participation in Medicaid, we are regularly subject to, and will continue to be subject to, various routine and non-routine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Audits have increased and will continue to increase our regulatory compliance costs and have required and may require further change to our business practices, which could negatively impact our participant and revenue growth. Managing audits, even if we achieve favorable outcomes, is costly, time-consuming and diverts management’s attention from our business.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centers will continue to be subject to federal and state audits, and there is no guarantee that future audits will not find deficiencies similar to, or different from, the ones found in connection with prior audits. As previously disclosed, we currently continue to fulfill our obligations under a formal corrective action plan issued by DHCS with respect to findings resulting from the medical review of our San Bernardino, California center.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inspections, reviews, audits, requests for information or investigations with adverse findings have resulted in and may further result in: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temporary or permanent enrollment sanctions in the affected center(s), as was the case with our Sacramento, California center and our centers in the State of Colorado in 2021;</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refunding amounts we have been paid by the government;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state or federal agencies imposing corrective action plans, fines, penalties, training, policies and procedures, monitoring, and other requirements;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temporary suspension of payments;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debarment or exclusion from participation in federal healthcare programs;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self-disclosure of violations to applicable regulatory authorities;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damage to our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revocation of a center’s license or suspension of state attestations to open de novo centers, such as the case with our Bakersfield, California center; and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loss of certain rights under, or termination of, our contracts with government payors.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results noted above have had and could have material adverse effects on our business and operating results. Furthermore, the legal, document production and other costs associated with complying with these inspections, reviews, audits, requests for information or investigations are significant. If we are unable to effectively remediate the deficiencies raised by any audits, implement corrective action plans, or otherwise satisfy the regulators’ concerns, we could be subject to new sanctions, and our business, financial results and operations could be adversely impacted.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subject to legal proceedings, enforcement actions and litigation, malpractice and privacy disputes, which are costly to defend and could materially harm our business and 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lawsuits and legal proceedings from participants, employees, or other third parties for various actions. These matters are often expensive and disruptive to our business operations. We face and may in the future face allegations, lawsuits, including class actions, and regulatory inquiries, requests for information, audits and investigations regarding care and services provided to participants, the FCA, data privacy, security, labor and employment, securities laws, consumer protection or intellectual property. We also have faced and may in the future face allegations or litigation related to our potential and completed acquisitions and strategic transactions, securities issuances and business practices, including contract claims and public disclosures about our business.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1"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68" w:before="0" w:after="0"/>
        <w:ind w:left="0" w:right="0" w:firstLine="360"/>
        <w:jc w:val="both"/>
        <w:rPr/>
      </w:pPr>
      <w:r>
        <w:rPr>
          <w:rFonts w:ascii="Times New Roman;serif" w:hAnsi="Times New Roman;serif"/>
          <w:b w:val="false"/>
          <w:color w:val="000000"/>
          <w:sz w:val="20"/>
        </w:rPr>
        <w:t>Litigation and regulatory proceedings are protracted and expensive, and the results are difficult to predict. Certain of these matters include claims for substantial or indeterminate amounts of damages and may include claims for injunctive relief. Additionally, our litigation costs are and will continue to be significant. Adverse outcomes with respect to legal proceedings have resulted and may result in significant settlement costs or judgments, penalties, fines and sanctions. For example, as previously disclosed, in fiscal years 2025 and 2026, we entered into settlement agreements to resolve stockholder lawsuits and a breach of contract lawsuit. These proceedings resulted in significant settlement payments and expenses, and associated derivative litigation has resulted in the Company’s agreement to adopt enhanced governance measures.</w:t>
      </w:r>
      <w:r>
        <w:rPr>
          <w:color w:val="000000"/>
        </w:rPr>
        <w:t xml:space="preserv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healthcare fraud and abuse.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 July 2021, the Company received a civil investigative demand from the Attorney General for the State of Colorado under the Colorado Medicaid False Claims Act. In February 2022, the Company received a civil investigative demand from the Department of Justice (“DOJ”) under the Federal False Claims Act on similar subject matter. As previously disclosed, the Company and the DOJ have been discussing potential resolutions regarding these matters and are currently negotiating settlements, which remain subject to ongoing governmental review and approval. During the third quarter of fiscal 2026, the Company recorded an estimated liability in connection with these matters and, based on its expectations regarding potential resolutions, recorded an incremental estimated liability during the fourth quarter of fiscal 2026. In October 2024, the Company received a civil investigative demand from the DOJ under the Federal False Claims Act on a similar subject matter as the 2022 investigation. The DOJ closed this investigation in the first quarter of fiscal year 2027.</w:t>
      </w:r>
      <w:r>
        <w:rPr>
          <w:color w:val="000000"/>
        </w:rPr>
        <w:t xml:space="preserve"> </w:t>
      </w:r>
      <w:r>
        <w:rPr>
          <w:rFonts w:ascii="Times New Roman;serif" w:hAnsi="Times New Roman;serif"/>
          <w:b w:val="false"/>
          <w:color w:val="000000"/>
          <w:sz w:val="20"/>
        </w:rPr>
        <w:t>See Note 9, “Commitments and Contingencies” to the consolidated financial statements included in Part II of this Annual Report for more information.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2026, we incurred approximately $57.0 million in litigation costs and settlements, including an approximately $37.0 million accrual as of June 30, 2026, substantially all of which is related to the 2021 and 2022 civil investigative demands described above. Based on the information currently available, we do not believe that a material additional loss in excess of the amount accrued is reasonably possible. However, there can be no assurance that any settlement will be reached with the DOJ, that the terms of any settlement will be consistent with the Company’s current expectations, or that the Company will not incur additional material losses.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regulatory proceedings, investigations, inquiries, litigation, claims, and audits are inherently unpredictable and uncertain and their actual outcome could differ materially from amounts accrued. The outcomes of regulatory proceedings, investigations, inquiries, litigation, claims, and audits could be material to our financial condition and operating results for any particular period, depending in part, upon the operating results of such period. Regardless of the outcome, regulatory proceedings, investigations, inquiries, litigation, claims, and audits have the potential to have an adverse impact on us due to any related defense and settlement costs, diversion of management resources, and other factors.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business exposes us to potential medical malpractice, professional negligence or other related actions or claims that are inherent in the provision of healthcare services.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maintain third-party professional liability insurance coverage, certain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regardless of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2"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Our records and other information and materials submitted to government payors may contain inaccurate or unsupportable information applicable to participants’ risk scores, which could cause us to overstate or understate our revenue and subject us to repayment obligations or penalties.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 xml:space="preserve">CMS uses the </w:t>
      </w:r>
      <w:r>
        <w:rPr>
          <w:rFonts w:ascii="Times New Roman;serif" w:hAnsi="Times New Roman;serif"/>
          <w:b w:val="false"/>
          <w:color w:val="000000"/>
          <w:sz w:val="20"/>
          <w:u w:val="single"/>
        </w:rPr>
        <w:t>CMS-HCC</w:t>
      </w:r>
      <w:r>
        <w:rPr>
          <w:color w:val="000000"/>
        </w:rPr>
        <w:t xml:space="preserve"> </w:t>
      </w:r>
      <w:r>
        <w:rPr>
          <w:rFonts w:ascii="Times New Roman;serif" w:hAnsi="Times New Roman;serif"/>
          <w:b w:val="false"/>
          <w:color w:val="000000"/>
          <w:sz w:val="20"/>
        </w:rPr>
        <w:t xml:space="preserve">risk adjustment model to adjust capitation payments for Medicare Advantage organizations and PACE organizations based on enrollee health status. The records that we submit to CMS include data that factor in the risk scores attributable to participants, and these risk scores affect the risk-adjusted capitation payments we receive. The data submitted to CMS include diagnosis data received from providers, and CMS regulations reflect a requirement that PACE organizations, in their submission of risk-adjustment data, are subject to data submission requirements set forth in the regulation applicable to Medicare Advantage organizations (42 C.F.R. § 460.180(b)(3); 42 C.F.R. § 422.310). Any inaccuracies, omissions or other issues relating to the recording or documentation of diagnoses or other information submitted in connection with such data could adversely affect our risk scores and resulting revenue for future periods. </w:t>
      </w:r>
    </w:p>
    <w:p>
      <w:pPr>
        <w:pStyle w:val="TextBody"/>
        <w:bidi w:val="0"/>
        <w:spacing w:lineRule="auto" w:line="276" w:before="200" w:after="283"/>
        <w:ind w:left="0" w:right="0" w:firstLine="360"/>
        <w:jc w:val="both"/>
        <w:rPr/>
      </w:pPr>
      <w:r>
        <w:rPr>
          <w:rFonts w:ascii="Times New Roman;serif" w:hAnsi="Times New Roman;serif"/>
          <w:b w:val="false"/>
          <w:color w:val="000000"/>
          <w:sz w:val="20"/>
        </w:rPr>
        <w:t>The submission of inaccurate, incomplete or erroneous data could result in inaccurate risk-adjusted payments, which may be subject to correction or risk adjustment reconciliations in later periods. Any such corrected or adjusted information may have an impact on, and be reflected in financial statements for, periods subsequent to the periods for which revenues were originally recorded. In such cases, we could be required to refund a portion of the revenues that we received, whether due to payment adjustments or government enforcement actions, which could have a material adverse effect on our business, results of operations, financial condition and cash flows. Moreover, if the government determines that we have received overpayments due to inaccurate or unsupportable risk-adjustment data, we could be subject to repayment obligations and penalties. We could be liable to the federal government under the federal False Claims Act (“</w:t>
      </w:r>
      <w:r>
        <w:rPr>
          <w:rFonts w:ascii="Times New Roman;serif" w:hAnsi="Times New Roman;serif"/>
          <w:b w:val="false"/>
          <w:color w:val="000000"/>
          <w:sz w:val="24"/>
          <w:u w:val="single"/>
        </w:rPr>
        <w:t>FCA</w:t>
      </w:r>
      <w:r>
        <w:rPr>
          <w:color w:val="000000"/>
        </w:rPr>
        <w:t>”</w:t>
      </w:r>
      <w:r>
        <w:rPr>
          <w:rFonts w:ascii="Times New Roman;serif" w:hAnsi="Times New Roman;serif"/>
          <w:b w:val="false"/>
          <w:color w:val="000000"/>
          <w:sz w:val="20"/>
        </w:rPr>
        <w:t>), and to state governments under FCA cognates, for overpayments and related liability resulting from any such submissions. FCA liability may include an inflation-adjusted penalty for each violation, plus up to three times the amount of damages sustained by the federal government. For penalties assessed after July 3, 2025, with respect to covered violations occurring after November 2, 2015, the applicable FCA penalty range is $14,308 to $28,619 per violation. Such amounts remain unchanged for 2026. Accordingly, there is a potential for substantial liability in connection with any alleged FCA violations.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depend on our senior management team and other key employees, and the loss of one or more of these employees or an inability to attract and retain other highly skilled employees could harm our business.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largely upon the services of our executive officers, senior management team and other key employees. We rely on our leadership team in the areas of operations, provision of medical services, information technology and security, marketing and general and administrative functions. Our employment agreements with our executive officers and other key personnel do not require them to continue to work for us for any specified period and, therefore, they could terminate their employment with us at any time. The loss of one or more of our executive officers, the members of our senior management team, or other key employees, could disrupt or otherwise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certain of our suppliers do not meet our needs, if we are not reimbursed or adequately reimbursed for medical products we purchase or if we are unable to effectively access new technology or medical products, our ability to effectively provide the services we offer could be negatively impacted.</w:t>
      </w:r>
    </w:p>
    <w:p>
      <w:pPr>
        <w:pStyle w:val="TextBody"/>
        <w:bidi w:val="0"/>
        <w:spacing w:lineRule="auto" w:line="288" w:before="200" w:after="283"/>
        <w:ind w:left="0" w:right="0" w:firstLine="360"/>
        <w:jc w:val="both"/>
        <w:rPr/>
      </w:pP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as a result of price increases, a product recall, product shortage or other supply chain issues (including as a result of trade tensions), or a dispute, and we are not able to find adequate alternative sources, our business, results of operations, financial condition and cash flows could be materially adversely impacted.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we could face attrition with respect to our participants or healthcare providers and other personnel and other negative consequences which could have a material adverse effect on our business, results of operations, financial condition and cash flows.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acquisition of certain pharmacy assets and the management of our own pharmacy services exposes us to novel risks.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we completed the acquisition of certain pharmacy assets from TRHC and entered into a management services agreement with TRHC to provide management services to our pharmacy business with an initial term of five years. We had no experience in the pharmacy business prior to this acquisition, and our limited operating history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3"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 indicative of our ability to manage this business over the longer term. We may encounter significant problems if we fail to anticipate the challenges of providing pharmacy services, if we are unable to reduce our dependence on third-party management services during the initial term, or if pharmaceutical reimbursement rates decline, we may not realize the anticipated long-term cost benefits of operating our own pharmacy subsidiary. Further, in the longer term, we may not be able to realize the cost benefits we expect from operating our own pharmacy subsidiary due to changes in reimbursement or for other reasons. Our pharmacy business also subjects us to additional extensive federal, state, and local regulation governing various aspects of the business, including the distribution and dispensing of drugs; licensure of facilities and professionals; packaging, storing, distributing, shipping, and tracking of pharmaceuticals; repackaging of drug products; labeling consumer disclosures; interactions with prescribing professionals; supply chain security; as well as additional requirements of various governmental authorities, including state boards of pharmacy and the U.S. Consumer Product Safety Commission. The failure to adhere to any of these laws and regulations may expose us to severe civil and criminal penalties.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manage our operations effectively, we may be unable to execute our business plan, maintain effective levels of service and participant satisfaction or adequately address competitive challenges.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organizational change and growth, which has placed, and may continue to place, significant demands on our management and our operational and financial resources. Additionally, our organizational structure continues to become more complex as we grow and expand our operational, financial and management controls, as well as our reporting systems and procedures as a public company. We may require significant capital expenditures and the allocation of valuable management resources to grow and evolve our operational and financial operations. We must ensure our personnel have the necessary licenses and competencies and continue to effectively train and manage our employees. We will be unable to manage our business effectively if we are unable to alleviate the strain on resources caused by growth in a timely and efficient manner. In fiscal year 2026, our participant base grew by 6.3% compared to the prior fiscal year, and we intend to continue focusing on growing our participant base as part of our growth strategy. If we fail to effectively manage our potential growth or fail to ensure that the level of care and services provided by our employees complies with regulatory and contractual requirements and levels of patient service and satisfaction, our brand and reputation, could suffer, adversely affecting our ability to attract and retain participants and employees and could also lead to corrective actions or sanctions.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The healthcare industry is highly competitive and, if we are not able to compete effectively, our business could be harmed.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directly with national, regional and local healthcare providers for participants and clinical providers, including new or growing participants and providers. We also compete directly with payors, such as with Medicare Advantage Special Needs Plans, accountable care organization (ACO) models, and other alternate managed care programs for participants. Some of our competitors may have greater brand recognition and be more established in their respective communities than we are, and may have greater financial and other resources than we have. Further, our current or potential competitors may be acquired by third parties with greater available resources. Competing providers may also offer different programs or services than we do, which, combined with the foregoing factors, may result in our competitors being more attractive to our current participants, potential participants and referral sources. Furthermore, to the extent that competitive forces cause our budgeted routine capital expenditures to increase in the future beyond the amounts we set to keep them competitive, our financial condition may be negatively affected. In addition, our contracts with government payors are not exclusive for PACE programs in California, Colorado and Florida and competitors could seek to establish contracts with the state Medicaid agency and CMS to serve PACE eligible participants in several of our service areas. Additionally, as we continue expanding into new geographies,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healthcare services, and this competition may have a material adverse effect on our business operations and financial position.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presence is currently limited to six states, with a significant percentage of our operations in the States of California and Colorado. As a result, we are particularly susceptible to regulatory issues and reduction in budget appropriations for our services or any other adverse developments in that state.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We currently operate in California, Colorado, Florida, New Mexico, Pennsylvania and Virginia. For the year ended June 30, 2026, a majority of our consolidated revenue was driven by our businesses in California and Colorado, with 29% and 42% of our consolidated revenue derived from contracts specifically with government agencies in the States of California and Colorado, respectively</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 xml:space="preserve">Accordingly, any regulatory issues and developments in these six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4"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pPr>
      <w:r>
        <w:rPr>
          <w:rFonts w:ascii="Times New Roman;serif" w:hAnsi="Times New Roman;serif"/>
          <w:b w:val="false"/>
          <w:color w:val="000000"/>
          <w:sz w:val="20"/>
        </w:rPr>
        <w:t>particularly in Colorado, such as a reduction in Colorado’s budgetary appropriations for our services, whether as a result of fiscal constraints due to changes in policy, recession, emergency situations, such as pandemics,or otherwise, have resulted and could in the future result,</w:t>
      </w:r>
      <w:r>
        <w:rPr>
          <w:color w:val="000000"/>
        </w:rPr>
        <w:t xml:space="preserve"> </w:t>
      </w:r>
      <w:r>
        <w:rPr>
          <w:rFonts w:ascii="Times New Roman;serif" w:hAnsi="Times New Roman;serif"/>
          <w:b w:val="false"/>
          <w:color w:val="000000"/>
          <w:sz w:val="20"/>
        </w:rPr>
        <w:t xml:space="preserve">in a reduction in our capitated fee payments and possibly the loss of contracts, and materially adversely impact our results. For fiscal year 2027, for Colorado, where we serve the largest cohort of our PACE census, we anticipate a decrease in Medicaid premium rates which will be retroactive for the fiscal year beginning July 1, 2026, which may affect our margins. Further, our concentrated operations limit our ability to mitigate many of the risks described in these risk factors by a diversification of geographic focus.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continue expanding our operations to other regions of the United States, we devote significant resources to identifying and exploring perceived opportunities. Thereafter, we have to, among other things, recruit and retain qualified personnel, develop and grow new centers and establish new relationships or contracts with physicians and other healthcare and services providers. In addition, we are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expand our operations in new geographic markets.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Security breaches, loss of data and other disruptions, including disruptions in our disaster recovery systems, have in the past and could in the future compromise sensitive information related to our business or our participants, or prevent us from accessing critical information and expose us to liability, and could adversely affect our business and our reputation.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facilitate our ability to conduct our business. In the ordinary course of our business, we create, receive, maintain, transmit, collect, store, use, disclose, share and process (collectively, “Process”) sensitive data, including PHI/PII relating to our employees, participants and others. We also contract with third-party service providers to Process sensitive information, including PHI/PII, confidential information and other proprietary business information. We manage and maintain PHI/PII and other sensitive data and information using both on premise and cloud-based systems. Third-party service providers that serve our participants Process PHI/PII data either in their own on-site systems, at managed or co-located data centers, or in the cloud.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information technology networks and systems, including our Electronic Medical Records (“EMR”) system and Epic to securely Process PHI/PII and other sensitive data and information. Security breaches or disruptions of this infrastructure, whether ours or of our third-party service providers, including physical or electronic break-ins, computer viruses, ransomware or other cybersecurity incidents, attacks by hackers and similar breaches, weather-related disruptions, and employee or contractor error, negligence or malfeasance, have occurred in the past, and could in the future, create system disruptions, shutdowns or unauthorized access, acquisition, use, disclosure or modifications of such data or information, and could cause PHI/PII to be accessed, acquired, used, disclosed or modified without authorization, to be made publicly available, or to be further accessed, acquired, used or disclosed.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third-party service providers for important aspects of the Processing of employee and participant PHI/PII and other confidential and sensitive data,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are important to our operations and business strategy. We have implemented certain administrative, physical and technological safeguards through our Cybersecurity Program to address these risks; however, such policies and procedures may not address certain HIPAA requirements or address situations that could lead to increased privacy or security risks. However, some PACE organizations that we have acquired in the past or may acquire in the future may not have implemented such safeguards with their third-party service providers, which may expose us to legal claims or proceedings, liability, and penalties.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or to report security breaches to participants, employees, regulators, media, credit bureaus, and other third parties in accordance with applicable law and to offer complimentary credit monitoring, identity theft protection, and similar services to participants or employees where required by law or otherwise appropriate. Cyber-attacks are becoming more sophisticated including with the use of AI, and frequent, and we or our third-party service providers may be unable to anticipate these techniques or to implement adequate protective measures against them or to prevent future attacks. Smart/handheld devices and the remote work environment further increases these risks. We exercise limited control over our third-party service providers and, in the case of some third-party service providers, may not have evaluated the adequacy of their security measures, which increases our vulnerability to problems with services they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5"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and business,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Even in the case of cybersecurity incidents on our third-party service-providers, we remain responsible under HIPAA for our participants’ PHI/PII and any failure on our part to comply with HIPAA in connection with such data could be subject to civil penalties, resolution agreements, monitoring or similar agreements or other enforcement action.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or our third-party service providers are unable to prevent or mitigate security breaches, security incidents or privacy violations,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use of AI and machine learning technologies, and the use of such technologies by our third-party vendors, may expose us to operational, competitive, regulatory, legal and reputational risks that could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and expect to increasingly use, AI and machine learning technologies in our business, including in connection with care coordination and participant engagement, clinical documentation support, risk adjustment coding review, and administrative and operational functions, and we plan to further examine, develop and introduce machine learning algorithms, predictive analytics and other AI technologies to identify trends, anomalies and correlations, support decision-making and enhance our operational efficiency. We are placing increased reliance on AI-enabled tools, including AI-driven scheduling and analytics to reduce unwarranted variation in provider practice patterns to help offset a more constrained rate environment in fiscal year 2027. If these tools do not achieve the anticipated cost savings within expected timeframes, experience implementation delays, or require additional investment to deploy effectively across our centers, we may be unable to protect our operating margins in a period of limited rate growth, which could adversely affect our profitability and financial condition.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third-party service providers and vendors, including vendors that support our EMR and other information technology systems, utilize AI and machine learning technologies in furnishing products and services to us. As with many technological innovations, AI presents risks and challenges that could affect its adoption and, therefore, our business. AI and machine learning models may be flawed, or may produce outputs that are inaccurate, incomplete, unreliable or biased as a result of limitations in the data used to train such models, flaws in model design, or changes in underlying data patterns, and certain AI methodologies may lack transparency or explainability. If AI-supported processes adversely affect our clinical documentation, coding, risk adjustment submissions, care management or other operational or administrative activities, we could experience reduced revenue, increased medical costs, participant harm, regulatory scrutiny, litigation or reputational harm. Because our participants are frail, high-cost seniors, any errors or unintended consequences resulting from our or our vendors’ use of AI could disproportionately affect the individuals we serve and result in significant reputational and legal exposure.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legal and regulatory framework governing the development and use of AI, including in healthcare, is rapidly evolving and, in many respects, uncertain. Federal agencies, including CMS and HHS, have issued or proposed guidance regarding the governance and permissible uses of AI in federal healthcare programs, and numerous states have enacted or proposed legislation regulating the use of AI in healthcare and other regulated contexts, including requirements relating to transparency, disclosure, bias testing, human oversight and consumer notice. These requirements, and any changes to them, or to their interpretation or enforcement, could restrict our or our vendors’ permissible uses of AI, require us to implement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6"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governance, validation, documentation or reporting measures, or increase our compliance costs, any of which could adversely affect our business. If our AI governance practices, or those of our third-party vendors, are found to be deficient or non-compliant with applicable laws or regulations, we could be subject to governmental investigations, enforcement actions, sanctions, contractual liability or other adverse consequences.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AI and machine learning technologies are complex and rapidly evolving, and we face significant competition from other companies that may be able to develop or deploy such technologies more quickly or effectively than we can, which could place us at a competitive disadvantage. Market acceptance of AI-enabled healthcare tools is also uncertain, and our efforts to develop or adopt such technologies may not succeed or may not be responsive to participant, provider, or regulatory expectations. In addition, the rapid evolution and increased sophistication of AI technologies may intensify cybersecurity and data privacy risks facing our business, including by making cyber-attacks, such as phishing and other social engineering attacks, more sophisticated and difficult to detect, and by introducing new vulnerabilities through our and our third-party vendors’ use of AI tools. See “-Security breaches, loss of data and other disruptions, including disruptions in our disaster recovery systems, have in the past and could in the future compromise sensitive information related to our business or our participants, or prevent us from accessing critical information and expose us to liability, and could adversely affect our business and our reputation” above. Any of the foregoing could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A failure to accurately estimate incurred but not reported medical expenses could adversely affect our results of operations.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Positive or negative adjustments, if necessary, are made when the assumptions used to determine our claims liability change and when actual claim costs are ultimately determined.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would be adversely impacted. Further, the inability to estimate these claims accurately may also affect our ability to take timely corrective actions, further exacerbating the extent of any adverse effect on our 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operational and financial results vary depending upon the time of year in which they are measured. For example, medical costs vary seasonally depending primarily on the weather because certain illnesses, such as the influenza virus, COVID-19 virus and respiratory syncytia virus, are far more prevalent during colder months of the year. Historically, we have seen higher levels of per-participant medical costs in the second and third quarters of our fiscal year.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lease half of our centers and may experience risks relating to lease termination, lease expense escalators, lease extensions and special charges.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lease 10 of our 20 centers. Our leases have an average original term of ten years, and generally provide for renewal or extension options. However, there can be no assurance that these rights will be exercised in the future or that we will be able to satisfy the conditions precedent to exercising any such renewal or extension.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or if we are unable to renew or extend any of our leases, we may lose the center subject to that lease agreement. If we are not able to renew or extend our leases at or prior to the end of the existing lease terms, or if the terms of such options are unfavorable or unacceptable to us, our business, financial condition and results of operation could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pandemic, epidemic or outbreak of an infectious disease in the United States or worldwide, as well as weather and other factors, have affected, and could in the future adversely affect our business.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future pandemic, epidemic or outbreak of an infectious disease may adversely affect our business if one or all of the geographies we serve is affected by such outbreak, particularly at the onset of any such outbreak before response protocols have been developed. Specifically, if our participants fall ill due to an outbreak, such as during the COVID-19 pandemic, we may experience a high level of unexpected deaths, increased costs, difficulties adhering to the complex government laws and regulations that apply to our business (including difficulties enrolling participants), and other effects, including a loss of revenue, negative publicity, litigation and inquiries from government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37"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results of operations have been, and may in the future be, negatively impacted by adverse conditions affecting our centers, including severe weather events such as tornadoes, hurricanes and widespread winter storms, floods, fires, earthquakes, power losses, violence or threats of violence or other factors beyond our control that cause disruption in provision of participant services, 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health emergencies, adverse weather conditions or other events. Our future operating results may be adversely affected by these and other factors that disrupt the operation of our centers.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Risks Related to Regulation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We operate in a highly regulated environment at the federal and state level, and failure to adhere to the laws and regulations that apply to our business could result in regulatory scrutiny, which have had, and could in the future have, a material adverse effect on our business, results of operations, financial condition, cash flows, reputation and stock price.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extensive federal, state and local government laws and regulations, such as: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Medicare, federal and state Medicaid, and federal and state PACE statutes and regulations, which are continuously changing and evolving;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federal Anti-Kickback Statute and applicable state anti-kickback and self-referral laws, which prohibit, among other things, the knowing and willful offer, payment, solicitation or receipt of any bribe, kickback or remuneration, whether in cash or in kind, for referring an individual, in return for ordering, leasing, purchasing or recommending or arranging for or to induce the referral of an individual or the ordering, purchasing or leasing of items or services covered, in whole or in part, by federal healthcare programs, such as Medicare and Medicaid, or by any payor;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civil false claims laws, including the FCA and associated regulations, which impose civil penalties through governmental,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$14,308 to $28,619 for each false claim, plus treble damages, and exclude the entity from participation in Medicare, Medicaid and other federal healthcare programs;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false claims laws, which impose criminal penalties on individuals who make or present a false, fictitious, or fraudulent claim to the government that the individual knew was false, fictitious, or fraudulent, and was made with the specific intent to violate the law or with a consciousness of wrongdoing;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 exception applies, and which authorize assessments and program exclusion for various forms of fraud and abuse involving the Medicare and Medicaid programs;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federal healthcare fraud statute and its implementing regulations, which created federal criminal laws that prohibit, among other things, executing or attempting to execute a scheme to defraud any healthcare benefit program or making false statements relating to healthcare matters;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and state laws regarding the collection, use disclosure and protection of personal identifiable information, or PII, and protected health information, or PHI (e.g., HIPAA and the CCPA);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38"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and state laws regarding the storage, handling, shipment, disposal and/or dispensing of pharmaceuticals and blood products and other biological materials, and many other applicable state and federal laws and requirements;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state and federal statutes and regulations that govern workplace health and safety;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and state laws and policies that require healthcare providers to maintain licensure, certification or accreditation to provide services to patients, to enroll and to participate in the Medicaid programs, to report certain changes in their operations to the agencies that administer these programs and, in some cases, to re-enroll in these programs when changes in direct or indirect ownership occur;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and state scope of practice and other laws pertaining to the provision of services by qualified healthcare providers, including those pertaining to the provision of services by nurse practitioners and physician assistants in certain settings and requirements for physician supervision of those services;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state laws restricting the corporate practice of medicine; and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federal or state consumer protection laws that regulate various trade practices (e.g. consumer communications or consumer-facing activities).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above, PACE contracts with CMS and state Medicaid agencies also impose complex and extensive requirements upon our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Federal and state manuals, policies, and other guidance may affect our operations.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various laws, regulations, and agency guidance that apply or relate to our operations are often subject to varying interpretations, and additional laws and regulations potentially affecting healthcare organizations continue to be promulgated and issued. We are subject to federal and state regulations that require PACE organizations to maintain fiscally sound operations, as defined by CMS and applicable state agencies. We periodically submit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or take action to adjust the capitalization or other financial status of such entities. As state agencies promulgate additional regulations applicable to PACE and issue sub-regulatory guidance, we will have to allocate sufficient resources to ensure compliance with both federal and state regulations.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endeavor to comply with all legal requirements. We further endeavor to structure our relationships with physicians, providers, and other third parties to comply with state and federal anti-kickback laws and other applicable healthcare laws. We deploy considerable resources to monitor laws and regulations and implement necessary changes. However, the laws and regulations in these areas are complex, evolving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if we fail to report and return government overpayments within 60 days of when any such overpayment is identified and quantified. See Item 1A. Risk Factors, “Risks Related to Our Business--We are subject to legal proceedings, enforcement actions and litigation, malpractice and privacy disputes, which are costly to defend and could materially harm our business and results of operations.” Additionally, the federal government has used the FCA to prosecute a wide variety of alleged false claims and fraud allegedly perpetrated against Medicare, Medicaid, and other federally funded healthcare programs. Moreover, following amendments to the federal Anti-Kickback Statute under the ACA, claims that are implicated by federal Anti-Kickback Statute violations are also subject to liability under the FCA, including qui tam or whistleblower suits. In recent years, the number of suits brought in the medical industry by private individuals has increased dramatically. Given the high volume of claims processed by our various operating units, the potential is high for substantial penalties in connection with any alleged FCA violations.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provisions of the FCA, the federal government can use several criminal statutes to prosecute persons who are alleged to have submitted false or fraudulent claims for payment to the federal government.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of our operations are found to violate these or other laws or regulations, we could suffer severe consequences, including those set forth below, that could have material adverse effects on our business, results of operations, financial condition, cash flows, reputation 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39"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suspension, termination or exclusion of our participation in government payment programs;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loss of applicable licenses, certifications or other government approvals;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recoupment of prior Medicare or Medicaid payments or withholding of future payments;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termination of federal and state PACE contracts;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refunds of amounts received in violation of law or applicable payment program requirements subject to applicable statute of limitation periods;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criminal or civil liability, fines, damages or monetary penalties for violations of healthcare fraud and abuse laws, including the Anti-Kickback Statute, Civil Monetary Penalties Statute and FCA, or other failures to meet regulatory requirements;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enforcement actions by governmental agencies or private claims for monetary damages or otherwise, in connection with any data breach or impermissible use or disclosure of PHI, PII or other personal data in violation of applicable laws;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mandated changes to our practices or procedures that could significantly increase operating expenses;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imposition of, and compliance with, corporate integrity agreements, monitoring agreements or corrective action plans that could subject us to ongoing audits and reporting requirements as well as increased scrutiny of our billing and business practices;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termination of various relationships and/or contracts related to our business, including joint venture arrangements, real estate leases and consulting agreements; and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harm to our reputation, which could negatively impact our business relationships, affect our ability to attract and retain participants and healthcare professionals, affect our ability to obtain financing and decrease access to new business opportunities, among other things.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from time to time, and may in the future continue to be, a party to various lawsuits, demands, claims, governmental investigations,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has required management’s attention and caused us to incur significant legal expense. It is possible that criminal proceedings may be initiated against us and/or individuals in our business in connection with investigations by the federal government. The results of any such lawsuits cannot be predicted. Qui tam actions are filed under seal and impose a mandatory duty on the U.S. DOJ to investigate such allegations, and because qui tam suits are filed under seal, we could be subject to suits of which we are not aware or have been ordered by the presiding court not to discuss or disclose.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the healthcare professionals we employ, and the centers in which we operate, are subject to various federal, state and local licensing, certification and other laws and regulations, relating to, among other things, the quality of medical care, equipment, privacy of health information, physician relationships, telehealth, personnel and operating policies and procedures. Failure to comply with these licensing and certification laws, regulations and standards could result in cessation of our services, recoupment of prior payments by government payors, corrective action plans, the suspension of participant enrollment or requirements to make significant changes to our operations and can give rise to civil or, in certain cases, criminal penalties. While we endeavor to comply with federal, state and local licensing and certification laws and regulations and standards as we interpret them, the laws and regulations in these areas are complex, evolving and often subject to varying interpretations. Any failure to satisfy applicable laws and regulations could have a material adverse impact on our business, results of operations, financial condition, cash flows, and reputation.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effectively adapt to changes in the healthcare industry, including changes to laws and regulations regarding or affecting U.S. healthcare reform, our business could be harmed.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state, and local legislative bodies frequently pass legislation and administrative agencies promulgate regulations relating to healthcare reform or that affect the healthcare industry. As has been the trend in recent years, we expect a continued increase in government oversight and regulation of the healthcare industry. We cannot assure our shareholders as to the ultimate content, timing or effect of any new healthcare legislation or regulations, nor is it possible at this time to estimate the impact of potential new legislation or regulations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0"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nearly all of our revenue is derived from government payors, we are continually subject to regulatory changes. Federal and state legislators routinely introduce and consider proposed legislation that would impact Medicare, Medicaid, and PACE funding and operations, and state and federal agencies also consider and implement regulations and guidance that impact our business. Similarly, changes in private payor reimbursement policies or applicable legal requirements could lead to adverse changes in Medicare, Medicaid and other governmental healthcare programs, which could have a material adverse effect on our business, financial condition and result of operations. We cannot predict with certainty the impact that any particular federal and state healthcare legislation or regulation will have on us, but such changes could impose new or more stringent regulatory requirements on our activities or result in reduced payment rates, any of which could adversely affect our business, financial condition, and 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regulators will agree that we have structured our agreements and operations in material compliance with applicable healthcare laws and regulations or that we will be able to successfully address changes in the current legislative and regulatory environment. Moreover,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Laws regulating the corporate practice of medicine could restrict the manner in which we are permitted to conduct our business, and the failure to comply with such laws could subject us to penalties or require a restructuring of our business.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states in which we currently operate, as well as states in which we may operate in the future, have laws that prohibit business entities, such as us, from practicing medicine, employing physicians or other clinicians to practice medicine, exercising control over medical decisions by physicians or other clinicians or engaging in certain arrangements, such as fee-splitting, with physicians or other clinicians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healthcare practitioners by healthcare centers do not explicitly include a PACE organization in the list of healthcare centers by which a healthcare practitioner may be employed. In California, legislation enacted in 2025 seeks to strengthen oversight and enforcement of the corporate practice of medicine doctrine. State laws are complex, evolving, and often subject to varying interpretations.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Penalties for violations of the corporate practice of medicine vary by state and may result in physicians being subject to disciplinary action, as well as forfeiture of revenues from payors for services rendered. For business entities, such as us, violations may also bring both civil and, in more extreme cases, criminal liability for engaging in medical practice without a license, as well as obligations to restructure the implicated arrangements.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Our use, disclosure, and other processing of PHI/PII is subject to HIPAA, CCPA as amended by the CPRA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Numerous state and federal laws and regulations, govern the collection, dissemination, use, disclosure, destruction, retention, privacy, confidentiality, security, availability, integrity and other processing of PHI/PII. These laws and regulations include HIPAA. HIPAA is a federal law that establishes a set of privacy and security standards for the protection of PHI by health plans, healthcare clearinghouses, and certain healthcare providers, referred to as covered entities, which includes the Company, and the business associates with whom such covered entities contract for services. A business associate is any person or entity (other than members of a covered entity’s workforce) that performs a service for or on behalf of a covered entity involving the use or disclosure of PHI.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HIPAA imposes mandatory penalties for certain violations. Under a notice of enforcement discretion issued by HHS in 2019 and annually adjusted by the HHS, penalties for violations of HIPAA and its implementing regulations start at $145 (adjusted for inflation) per violation and are not to exceed approximately $73,011 (adjusted for inflation) per violation, subject to a cap of approximately $2.2 million (adjusted for inflation) for violations of the same standard in a single calendar year. However, a single breach incident can result in violations of multiple standards. In addition, HIPAA provides for criminal penalties of up to $250,000 and ten years in prison, with the severest penalties for obtaining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1"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disclosing PHI with the intent to sell, transfer or use such information for commercial advantage, personal gain or malicious harm.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 however, as of 2026, HHS has not adopted a methodology for harmed individuals to recover such amounts.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for breaches affecting 500 individuals or more, such notifications must be made “without unreasonable delay and in no case later than 60 calendar days after discovery of the breach,” and HHS will automatically investigate the breach and post the name of the covered entity on its public breach portal. If a breach involves fewer than 500 people, the covered entity must record it in an annual notification to HHS. Breaches affecting more than 500 residents in the same state or jurisdiction must also be reported to the local media.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HIPAA, numerous other federal and state laws and regulations protect the confidentiality, privacy, availability, integrity and security of individually identifiable information. State statutes and regulations vary from state to state, and these laws and regulations in many cases are more restrictive than, and may not be preempted by, HIPAA and its implementing rules. It is possible that Congress could pursue a federal privacy bill to harmonize privacy regimes across states, but currently, state laws and regulations can be complex, in conflict with one another, and subject to in some cases ambiguous or unclear drafting, and we expect new laws, rules and regulations regarding privacy, data protection, and information security to be proposed and enacted in the future. For example, the CCPA provides certain exceptions for PHI,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In addition, the California Privacy Rights Act of 2020, or CPRA, expanded the CCPA’s requirements, including by adding a new right for individuals to correct their personal information and by establishing a new regulatory agency to implement and enforce the law. Other states have enacted similar privacy laws that impose new obligations or limitations in areas affecting our business and we continue to assess the impact of this state legislation on our business as additional information and guidance becomes available.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requires deployment of significant compliance resources, potentially restricts our ability to process, use or disclose data and may expose us to additional expense, adverse publicity, and liability. We cannot guarantee that our data privacy and security measures both internally and with our third parties will be adequate, and we may be subject to cybersecurity, ransomware or other security incidents, especially as the rapid evolution of AI leads to more complex and sophisticated attacks.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publish statements to our participants that describe how we handle and protect PHI. If federal or state regulatory authorities, such as the FTC or state attorneys general, or private litigants consider any portion of these statements to be untrue, we may be subject to claims or enforcement actions alleging deceptive or unfair practices. Any such claims or actions could result in significant liabilities and consequences, including costs of responding to investigations, defending against litigation, settling claims complying with regulatory or court orders, modifying our business practices, and where authorized by applicable law, paying civil penalties or other monetary relief. The FTC has used its authority under Section 5(a) of the Federal Trade Commission Act (the “FTC Act”), which prohibits unfair or deceptive acts or practices in or affecting commerce, to challenge companies’ privacy and data security practices,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2"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alleged failures to provide a level of security commensurate with promises made to individuals about the security of their personal information.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may be considered sensitive data that merits stronger safeguards. With respect to privacy, the FTC expects that companies honor the privacy promises made to individuals about how the company handles consumers’ personal information; a failure to honor promises, including within statements made in a privacy policy or on a website, may also constitute unfair or deceptive acts or practices in violation of the FTC Act. Additionally, the FTC has the power to enforce promises as it interprets them, and events that we cannot fully control, such as data breaches, may result in FTC enforcement and could result in civil penalties or enforcement actions. Any of the foregoing consequences could seriously harm our business and our financial results.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Our Indebtedness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Our existing indebtedness could adversely affect our business.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total outstanding debt of $48.8 million principal amount under the Term Loan A Facility (as defined in Note 7, “Long-term Debt” to the consolidated financial statements in this Annual Report). Our indebtedness requires us to use cash flows for purposes of satisfying our debt obligations. If we cannot generate sufficient cash flow to service our debt, we may need to refinance our debt, dispose of assets or issue equity to obtain necessary funds. We do not know whether we will be able to take any of these actions on a timely basis, or on terms satisfactory to us or at all.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indebtedness exposes us to risks relating to fluctuations in interest rates, which can increase borrowing costs.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Credit Agreement (as defined in Note 7, “Long-term Debt” to the consolidated financial statements in this Annual Report) contains a number of restrictive covenants that impose significant operating and financial restrictions on us and may limit our ability to engage in acts that may be in our long-term best interests. A breach of the covenants or restrictions under the Credit Agreement could result in an event of default under the agreement and could allow the creditors to accelerate the related debt and terminate all commitments to extend credit thereunder and could further result in the acceleration of any other debt to which a cross-acceleration or cross-default provision applies. In the event the holders of our indebtedness accelerate the repayment pursuant to an event of default, we may not have sufficient assets to repay that indebtedness or be able to borrow sufficient funds to refinance it.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Our failure to raise additional capital or generate cash flows necessary to expand our operations and invest in participant services in the future could reduce our ability to compete successfully and harm our results of operations.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If we need additional capital and cannot raise it on acceptable terms, or at all, we may not be able to, among other things: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develop and enhance our participant services;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continue to expand our business either by increasing enrollment or building de novo centers;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hire, train and retain employees;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respond to competitive pressures or unanticipated working capital requirements; or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pursue acquisition opportunities.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operating results have fluctuated and may fluctuate significantly in the future, which makes our future operating results difficult to predict and could cause such results to fall below any guidance, targets or goals we provide.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have fluctuated and may fluctuate significantly, which makes it difficult for us to predict our future operating results. These fluctuations may be driven by a variety of factors, many of which are outside of our control,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3"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execute our growth strategy, including our ability to increase the number of participants, identify and successfully complete acquisitions and expand via de novo centers within existing and new markets;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inability to control expenses and increases to the cost of care, including as a result of the composition of our participant pool, macroeconomic and geopolitical factors and health emergencies;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results of current and future, routine and non-routine inspections, reviews, audits and investigations under federal and state government programs and contracts, and any resulting sanctions or remediation efforts as a result of such government actions;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legal proceedings, enforcement actions and litigation, malpractice and privacy disputes to which we are currently and may in the future be party to;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legislative and regulatory changes and federal and state budgetary pressures.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any one of the factors discussed above or any other factors discussed in this “Risk Factors” section, or the cumulative effects of a combination of such factors, could result in significant fluctuations and unpredictability in our quarterly and annual operating results. As a result of such variability and unpredictability, our revenue or operating results could fall short of our expectations or any guidance we provide and we may also fail to meet the expectations of industry or financial analysts or investors for any period. If the guidance we provide falls short or we are unable to meet the expectations of analysts or investors, the trading price of our common stock could decline substantially.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stock price is volatile.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of our common stock has significantly fluctuated since our IPO. In addition, securities markets worldwide have experienced, and are likely to continue to experience, significant price and volume fluctuations. This market volatility, as well as general economic, geopolitical or market conditions, could continue to subject the market price of our shares to wide price fluctuations regardless of our operating performance. Because we do not anticipate paying any regular cash dividends on our common stock for the foreseeable future, any return on investment in our common stock is solely dependent upon the appreciation of the price of our common stock on the open market, which due to historic fluctuation may not occur. The trading price of our shares fluctuates in response to various factors,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macroeconomic and geopolitical conditions, including high inflation, elevated interest rates, trade wars, weather and public health events;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legislative and regulatory changes and federal and state budgetary pressures, and other political developments;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market conditions in our industry or the broader stock market;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actual or anticipated fluctuations in our quarterly financial and operating results;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introduction of new services by us or our competitors;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issuance of new or changed securities analysts’ reports, research or recommendations;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sales, or anticipated sales, of large blocks of our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developments and results of audits, sanctions, investigations and litigation;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investors’ perception of us and our prospects;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any default on our indebtedness.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factors, many of which are beyond our control, may cause the market price and demand for our shares to fluctuate substantially. Fluctuations in the price of our shares could limit or prevent investors from readily selling their shares and may otherwise negatively affect the market price and liquidity of our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4"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Principal Shareholders control us, and their interests may conflict with our interests and those of our other shareholders.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Shareholders own approximately 82% of our common stock, which means that they control the vote of all matters submitted to a vote of our shareholders, which enables them to control the election of the members of the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common stock representing a majority of the total voting power, for so long as the Principal Shareholders continue to own a significant percentage of our common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 our charter and bylaws, which govern the rights attached to our common stock. In particular, for so long as the Principal Shareholders continue to own a significant percentage of our common stock, the Principal Shareholders will be able to cause or prevent a change of control of us or a change in the composition of our Board and could preclude any unsolicited acquisition of us. The concentration of ownership could deprive shareholders of an opportunity to receive a premium for their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shareholders.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are party to a Director Nomination Agreement with the Principal Shareholders that provides the Principal Shareholders the right to designate: (i) all of the nominees for election to our Board for so long as the Principal Shareholders collectively beneficially own at least 40% of the Original Amount (as defined therein);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TCO Group Holdings, L.P., the investment vehicle through which the Principal Shareholders hold their investment, is dissolved, then each of the Principal Shareholders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may also assign such right to their affiliates. The Director Nomination Agreement also provides for certain consent rights for each of the Principal Shareholders so long as such shareholder owns at least 5% of the Original Amount, including for any changes to the size of our Board.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of their respective directors (including any who also serve as our officers or directors) or their affiliates have any duty to refrain from engaging, directly or indirectly, in the same business activities or similar business activities or lines of business in which we operate. The Principal Shareholders also may pursue business and investment opportunities that may be complementary to our business, and, as a result, those opportunities may not be available to us. In addition, the Principal Shareholders may have an interest in pursuing acquisitions, divestitures and other transactions that, in their judgment, could enhance their investment, even though such transactions might involve risks to our other shareholders.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the rules of Nasdaq and, as a result, we qualify for, and intend to continue relying on, exemptions from certain corporate governance requirements. Therefore, shareholders do not have the same protections as those afforded to shareholders of companies that are subject to such governance requirements.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Shareholders control a majority of the voting power of our outstanding common stock. As a result, we are a “controlled company” within the meaning of the corporate governance standards of the Nasdaq Global Select Market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5"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that a majority of our Board consist of independent directors;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that nominees to our Board are to be selected, or recommended for the Board’s selection, either by independent directors constituting a majority of the Board’s independent directors or by a nominations committee that is composed entirely of independent directors;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that we have a compensation committee that is composed entirely of independent directors with a written charter addressing the committee’s purpose and responsibilities;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for an annual performance evaluation of the Board and its committees.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utilize and intend to continue utilizing certain of these exemptions as long as they are available to us, and in the future, we could utilize additional exemptions. Accordingly, shareholders do not have the same protections afforded to shareholders of companies that are subject to all of the corporate governance requirements of Nasdaq.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qualify as a “smaller reporting company” and we have elected to comply with reduced public company reporting requirements, which could make our common stock less attractive to investors.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the Exchange Act. For as long as we continue to qualify as a smaller reporting company, we are eligible for certain exemptions from various public company reporting requirements, including (i)reduced disclosure obligations regarding executive compensation in our periodic reports, proxy statements and registration statements and (ii) being required to present only two years of audited financial statements in our Annual Reports on Form 10-K. We no longer qualify as an “emerging growth company” and, as a result, are no longer eligible for the exemptions previously available to us as an emerging growth company, including the exemption from the auditor attestation requirements of Section 404(b) of the Sarbanes-Oxley Act and the extended transition period for complying with new or revised accounting standards.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qualify as a “smaller reporting company” if the market value of our common stock held by non-affiliates is below $250 million (or $700 million if our annual revenue is less than $100 million) as of December 31 in any given year, which would allow us to continue taking advantage of certain of these exemptions.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the information that we provide to holders of our common stock may be different than those shareholders might receive from other public reporting companies in which they hold equity interests. Investors may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and distract our management, which could make it difficult to manage our business, particularly since we no longer qualify as an “emerging growth company.”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and the Sarbanes-Oxley Act, the listing requirements of Nasdaq and other applicable securities rules and regulations. Compliance with these rules and regulations creates legal and financial compliance costs, makes some activities more difficult, time-consuming and costly and increases demand on our systems and resources, particularly now that we no longer qualify as an “emerging growth company” and are subject to additional requirements, including compliance with the auditor attestation requirements of Section 404(b) of the Sarbanes-Oxley Act.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establish and maintain effective internal controls and procedures for financial reporting. If we fail to achieve and maintain the adequacy of our internal controls, as such standards are modified, supplemented or amended from time to time, we or our auditors may conclude that we do not have effective internal control over financial reporting in accordance with Section 404 of the Sarbanes-Oxley Act. The existence of any material weaknesses or significant deficiency in internal controls over financial reporting would require management to devote significant time and incur significant expenses to remediate any such issue. The existence of any material weaknesses or significant deficiency could cause us to reissue our financial statements, fail to meet reporting deadlines or undermine shareholders’ confidence in our reported financial statements, any of which could materially and adversely impact our stock price.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such as disclosures related to climate emissions, and their varying interpretations, are creating uncertainty for public companies, increasing legal and financial compliance costs and making some activities more time consuming. The application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6"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laws may evolve over time as new guidance is provided by regulatory and governing bodies, resulting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Provisions of our corporate governance documents could make an acquisition of us more difficult and may prevent attempts by our shareholders to replace or remove our current management, even if beneficial to our shareholders.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Principal Shareholders’ beneficial ownership of a combined 82% of our common stock, our Director Nomination Agreement, certificate of incorporation and bylaws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provide for a classified board of directors with staggered three-year terms;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prohibit shareholder action by written consent from and after the date on which the Principal Shareholders beneficially own, in the aggregate, less than 35% of our common stock then outstanding;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 2∕3% in voting power of all the then-outstanding shares of our stock entitled to vote thereon, voting together as a single class;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elections to our Board or for proposing matters that can be acted upon by shareholders at shareholder meetings, provided, however, that at any time when a Principal Shareholder beneficially owns at least 5% of our common stock then outstanding, such advance notice procedure will not apply to such Principal Shareholder.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contains a provision that provides us with protections similar to Section 203 of the DGCL, and prevents us from engaging in a business combination with a person (excluding the Principal Shareholders and any of their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 These provisions could discourage, delay or prevent a transaction involving a change in control of our Company. These provisions could also discourage proxy contests and make it more difficult for minority shareholders to elect directors of their choosing and cause us to take other corporate actions shareholders desire, including actions that other shareholders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 The existence of these provisions could negatively affect the price of our common stock and limit opportunities for shareholders to realize value in a corporate transaction.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certificate of incorporation designates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certificate of incorporation,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shareholders,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47"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further provides that any person or entity purchasing or otherwise acquiring any interest in shares of our capital stock is deemed to have notice of and consented to the provisions of our certificate of incorporation described above; however, our shareholders will not be deemed to have waived our compliance with the federal securities laws and the rules and regulations thereunder.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significant portion of our total outstanding shares may be sold into the market. This could cause the market price of our common stock to drop significantly, even if our business is doing well.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a registration rights agreement with TCO Group Holdings, L.P., the investment vehicle through which the Principal Shareholders hold their investment, which requires us to effect the registration of the Principal Shareholders’ shares in certain circumstances. We have filed a registration statement on Form S-3 covering the resale of shares of our common stock held by TCO Group Holdings, L.P. The Principal Shareholders are also entitled to participate in certain of our registered offerings, subject to the restrictions in the registration rights agreement. The filing of the registration statement on Form S-3 and these registration rights would facilitate the resale of such securities into the public market, and any such resale would increase the number of shares of our common stock available for public trading.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registered shares of common stock that we may issue under our equity compensation plans. Such shares can be freely sold in the public market upon issuance, subject to vesting, and Rule 144 under the Securities Act.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future, we may also issue our securities in connection with investments or acquisitions. The number of shares issued in connection with an investment or acquisition could constitute a material portion of our then-outstanding common stock.</w:t>
      </w:r>
    </w:p>
    <w:p>
      <w:pPr>
        <w:pStyle w:val="TextBody"/>
        <w:bidi w:val="0"/>
        <w:spacing w:lineRule="auto" w:line="288" w:before="200" w:after="283"/>
        <w:jc w:val="both"/>
        <w:rPr/>
      </w:pPr>
      <w:r>
        <w:rPr>
          <w:rFonts w:ascii="Times New Roman;serif" w:hAnsi="Times New Roman;serif"/>
          <w:b/>
          <w:i/>
          <w:color w:val="000000"/>
          <w:sz w:val="20"/>
        </w:rPr>
        <w:t>Our Board has in the past approved, and may in the future approve, a share repurchase program that would subject us to certain risks, which could be exacerbated because our stock is thinly traded</w:t>
      </w:r>
      <w:r>
        <w:rPr>
          <w:rFonts w:ascii="Times New Roman;serif" w:hAnsi="Times New Roman;serif"/>
          <w:b w:val="false"/>
          <w:color w:val="000000"/>
          <w:sz w:val="24"/>
        </w:rPr>
        <w: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has in the past, and may in the future approve, a repurchase program to repurchase shares of our common stock. A share repurchase program would not generally obligate us to acquire any common stock, and generally could be discontinued at any time. If we fail to meet any expectations related to share repurchases in conjunction with an approved share repurchase program, we may lose market and investor confidence. In addition, our common stock is thinly traded. Thinly traded stocks pose several risks for investors because they have wider spreads and less displayed size than other stocks that trade in higher volumes. Other risks posed by thinly traded stocks include difficulty selling the stock, challenges attracting market makers to make markets in the stock, and difficulty with financings. Because our common stock is thinly traded, repurchases under future repurchase programs could impact the price of our common stock on a given day or period.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offerings of debt or equity securities by us may materially adversely affect the market price of our common stock.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obtain financing or to further increase our capital resources by issuing additional shares of our common stock or offering debt or other equity securities, including senior or subordinated notes,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48"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convertible into equity or shares of preferred stock. In addition, we may seek to expand operations in the future to other markets which we would expect to finance through a combination of additional issuances of equity, corporate indebtedness and/or cash from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Issuing additional shares of our common stock or other equity securities or securities convertible into equity may dilute the economic and voting rights of our existing shareholders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(“Program”) is designed from a risk- and compliance-based approach for resilience and protection across our operations and the appropriate access, use, and/or disclosure of PHI and PII. Our Program employs the National Institute of Standards Technology (NIST) Cybersecurity Framework (CSF) and strategy to deliver multi-layered defenses and relevant technologies that are designed to control, audit, monitor, and protect access to sensitive information. We also leverage government partnerships, industry and government associations, third-party benchmarking, audits, threat intelligence feeds and other similar resources to inform our cybersecurity efforts and allocate resources.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our Program with physical, administrative and technical safeguards, and we maintain plans and procedures whose objective is to help us prevent and respond to cybersecurity incidents. Elements of our Program include: (i) required training for our employees (including onboarding and annual training), exercises (including advanced phishing exercises), and awareness for our employees to promote vigilance of cybersecurity risks, including those that may be exacerbated by artificial intelligence, and (ii) compliance audits and assessments, which include routine technical and non-technical audits and assessments internally and in collaboration with independent third parties at least annually. In addition, we engage various third-party consultants to assist us in assessing, enhancing, implementing and monitoring our Program and responding to incidents.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company managing the use and disclosure of PHI and PII, we annually undergo internal and/or third-party HIPAA Security Rule risk assessments of our administrative, physical, and technical safeguards. In addition, external assessors periodically evaluate our safeguards against multiple frameworks, including NIST CSF.</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Program is integrated into our Enterprise Risk Management (ERM) program and includes a vendor risk management program supported by our security and compliance teams. We assess vendor cybersecurity risks according to HIPAA and NIST CSF standards and have established an oversight process which we periodically review to manage cybersecurity risks related to the products and services we procure.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During the fiscal year ended June 30, 2026, we did not identify risks from cybersecurity threats, including as a result of previous cybersecurity incidents, that have materially affected or are reasonably likely to materially affect our business strategy, results of operations, or financial condition. While prior incidents have not had a material impact on us, future incidents could have a material impact on our business, operations, and reputation. See “</w:t>
      </w:r>
      <w:r>
        <w:rPr>
          <w:rFonts w:ascii="Times New Roman;serif" w:hAnsi="Times New Roman;serif"/>
          <w:b w:val="false"/>
          <w:i/>
          <w:color w:val="000000"/>
          <w:sz w:val="20"/>
        </w:rPr>
        <w:t>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r>
        <w:rPr>
          <w:color w:val="000000"/>
        </w:rPr>
        <w:t xml:space="preserve">” </w:t>
      </w:r>
      <w:r>
        <w:rPr>
          <w:rFonts w:ascii="Times New Roman;serif" w:hAnsi="Times New Roman;serif"/>
          <w:b w:val="false"/>
          <w:color w:val="000000"/>
          <w:sz w:val="20"/>
        </w:rPr>
        <w:t xml:space="preserve">in Item 1A “Risk Factors” in this Annual Report.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49"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full Board has overall responsibility for risk oversight, it has delegated primary oversight of certain risks to its committees. Our Audit Committee monitors cybersecurity risks, and the steps our management has taken to monitor and control exposures. Our Chief Information Officer (CIO) and Chief Information Security Officer (CISO) brief the Audit Committee quarterly on cybersecurity risks, updates on the regulatory and cyber landscape and significant cybersecurity events, as needed.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Information Security Team to strengthen our cybersecurity risk management activities across the Company, with its members having experience in public and private companies within the healthcare industry, as well as various cybersecurity certifications. The Information Security Team reports to our CISO who works in collaboration with our CIO, Chief Compliance Officer and General Counsel. The Information Security Team is responsible for the oversight and operation of our Program, and the management of our security standards and operating procedures.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Cole Naus is our CISO. Mr. Naus has over 10 years of experience in the cybersecurity industry. Mr. Naus holds a degree in Cybersecurity and Information Assurance and holds other cybersecurity certifications. Mr. Naus reports directly to Cara Babachicos, our CIO. Ms. Babachicos has over 20 years of experience in the cybersecurity industry, having previously worked as Chief Information Officer at other companies in the healthcare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operated an aggregate of 20 PACE centers, of which ten were owned and ten were leased, representing approximately 410,000 and 240,000 gross square feet, respectively. Our centers are located in 14 markets and six states.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Denver, Colorado, where we own facilities totaling approximately 290,000 square feet across the state. We occupy a 69,000 square foot facility for administration, sales and marketing, technology and development and professional services in Denver, Colorado. We also own and lease properties for operational PACE centers in Denver, Colorado; Loveland, Colorado; Pueblo, Colorado; Albuquerque, New Mexico; Los Angeles, California; Sacramento, California; San Bernardino, California; Philadelphia, Pennsylvania; Charlottesville, Virginia; Newport News, Virginia; Richmond, Virginia; Roanoke, Virginia; Orlando, Florida; and Tampa, Florida. We also lease properties for PACE centers that are not operational. We do not have any PACE centers or properties located outside of the United States.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leases have an average original term of ten years, and generally provide for renewal or extension options. Our lease obligations often include annual fixed rent escalators ranging between 2.0% and 3.0%. Generally, our leases are “modified gross” leases, which require us to pay the cost of insurance, taxes, maintenance and utilities, but not for costs related to the structure of the building. We generally cannot cancel these leases at our option.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facilities and centers are adequate to meet our needs for the immediate future, and that, should it be needed, suitable additional space will be available to accommodate any such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legal proceedings and be subject to claims.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regarding our material pending legal proceedings, refer to Note 9 “Commitments and Contingencies” to the consolidated financial statements included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0"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Securities Market Information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“INNV.”</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1, 2026, there were approximately nine stockholders of record for our common stock. The actual number of stockholders is greater than this number of record holders, and includes stockholders who are beneficial owners, but whose shares are held in street name by banks, brokers and other financial institutions. This number of holders of record also does not include stockholders whose shares may be held in trust by other entities.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year ended June 30, 2026.</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1"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 thereto included elsewhere in this Annual Report.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in the sections entitled “Risk Factors” and “Cautionary Note About Forward-Looking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 Holding Corp. (“InnovAge”) became a public company in March 2021. The Company served approximately 8,230 PACE participants as of June 30, 2026, making it the largest PACE provider in the U.S. based upon participants served, and operates 20 PACE centers across California, Colorado, Florida, New Mexico, Pennsylvania and Virginia.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beginning of fiscal year 2027, to increase operational efficiency, we began the process of converting two legacy PACE centers to alternate care setting (“ACS”) centers in Pennsylvania. Once the process is complete, which we expect to be during the second fiscal quarter, these ACS centers will provide our participants with flexibility to participate in activities and receive certain services.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InnovAge’s programs are designed to allow frail seniors to live life on their terms by aging in place, in their own homes and communities, for as long as safely possible.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the leading healthcare delivery platform by number of participants focused on providing all-inclusive, capitated care to high-cost, dual-eligible seniors. Our programs are designed to directly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oversee all aspects of each participant’s unique care plan and function as the core group of care providers to our participants. We directly manage and are responsible for all healthcare needs and associated costs for our participants, including housing costs, where applicable.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seeking to reduce unnecessary spend, (ii) reducing excessive administrative costs by contracting directly with the government, (iii) focusing on the patient experience and (iv) addressing social determinants of health.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Trends and Uncertainties Affecting the Company</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Increased cost of care and external provider costs</w:t>
      </w:r>
      <w:r>
        <w:rPr>
          <w:rFonts w:ascii="Times New Roman;serif" w:hAnsi="Times New Roman;serif"/>
          <w:b w:val="false"/>
          <w:color w:val="000000"/>
          <w:sz w:val="20"/>
        </w:rPr>
        <w:t xml:space="preserve">. We anticipate increased cost of care from our third-party service providers in an effort to offset their heightened expenses resulting, in part, from budget pressures due to the Reconciliation Act, budget cuts to providers from state Medicaid programs, as well as possible increases in other costs in order to provide healthcare services. While we did not experience a material increase to our cost of care through fiscal year 2026, we continue to monitor the situation. We believe that our clinical value initiatives and operational value initiatives, which continue to be executed, may assist us in reducing unnecessary utilization and offsetting the increased cost of care anticipated for fiscal year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2"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pPr>
      <w:r>
        <w:rPr>
          <w:rFonts w:ascii="Times New Roman;serif" w:hAnsi="Times New Roman;serif"/>
          <w:b w:val="false"/>
          <w:i/>
          <w:color w:val="000000"/>
          <w:sz w:val="20"/>
        </w:rPr>
        <w:t>Labor market</w:t>
      </w:r>
      <w:r>
        <w:rPr>
          <w:rFonts w:ascii="Times New Roman;serif" w:hAnsi="Times New Roman;serif"/>
          <w:b w:val="false"/>
          <w:color w:val="000000"/>
          <w:sz w:val="20"/>
        </w:rPr>
        <w:t>. Throughout fiscal year 2026, the healthcare sector continued to experience workforce shortages, particularly in geriatrics, primary care and direct care roles, as well as a complex set of challenges in hiring additional professionals. Competition from health systems and home health providers, drivers and caregivers, has remained challenging for the Company’s ability to recruit and retain staff. Labor market pressures and competition continues to impact wage and benefit costs for our direct care providers and have also affected our staffing ability, which could impact our enrollment capacity. To mitigate these challenges, we continue to review our compensation and benefits to align with the markets in which we operate and focus our retention programs on critical roles and our operational measures to help improve productivity and continue reducing reliance on agency staffing. Partially as a result of increased competition and other market trends, there was an increase in the cost of care for fiscal year 2026 compared to fiscal year 2025, as discussed in "Results of Operations" below.</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Census and capitation revenue. </w:t>
      </w:r>
      <w:r>
        <w:rPr>
          <w:rFonts w:ascii="Times New Roman;serif" w:hAnsi="Times New Roman;serif"/>
          <w:b w:val="false"/>
          <w:color w:val="000000"/>
          <w:sz w:val="20"/>
        </w:rPr>
        <w:t>We continue to monitor the delays and increased gaps in eligibility, both for new enrollments and Medicaid redetermination applications during fiscal year 2026. Such delays and eligibility gaps stem from issues with state enrollment and redetermination processes, which vary by state and county. While processing delays abated modestly during fiscal year 2026, it is possible these delays could persist or increase due to potential impacts of the Reconciliation Act. The foregoing has not yet had a material effect on the Company’s financial statements or operations; however, we continue to monitor the situation.</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Medicaid Spending. </w:t>
      </w:r>
      <w:r>
        <w:rPr>
          <w:rFonts w:ascii="Times New Roman;serif" w:hAnsi="Times New Roman;serif"/>
          <w:b w:val="false"/>
          <w:color w:val="000000"/>
          <w:sz w:val="20"/>
        </w:rPr>
        <w:t xml:space="preserve">Among other things, the Reconciliation Act has constrained states’ use of provider taxes to finance Medicaid programs and some states have mandated changes in order to reduce Medicaid spending. Consequent state budgetary pressures may lead to (i) reductions in state workforce, which may include those responsible for overseeing PACE, possibly causing delays in eligibility determinations and discharge of other state responsibilities; (ii) reduction or removal of optional Medicaid services from the PACE benefit package; and (iii) pressure on Medicaid capitation rates. In Colorado, where we serve the largest cohort of our PACE census, we anticipate a decrease in Medicaid premium rates which will be retroactive for the fiscal year beginning July 1, 2026. We also expect to face Medicaid reimbursement wage pressures from other states that release rates effective January 1, 2027, such as California, which could impact the latter half of our fiscal year. We expect the rate pressures to impact the Company’s margins in fiscal year 2027 and continue to monitor the full effects of the Reconciliation Act on the Company. </w:t>
      </w:r>
    </w:p>
    <w:p>
      <w:pPr>
        <w:pStyle w:val="TextBody"/>
        <w:bidi w:val="0"/>
        <w:spacing w:lineRule="auto" w:line="288" w:before="200" w:after="283"/>
        <w:ind w:left="0" w:right="0" w:firstLine="360"/>
        <w:jc w:val="left"/>
        <w:rPr/>
      </w:pPr>
      <w:r>
        <w:rPr>
          <w:rFonts w:ascii="Times New Roman;serif" w:hAnsi="Times New Roman;serif"/>
          <w:b w:val="false"/>
          <w:i/>
          <w:color w:val="000000"/>
          <w:sz w:val="20"/>
        </w:rPr>
        <w:t xml:space="preserve">California Moratorium. </w:t>
      </w:r>
      <w:r>
        <w:rPr>
          <w:rFonts w:ascii="Times New Roman;serif" w:hAnsi="Times New Roman;serif"/>
          <w:b w:val="false"/>
          <w:color w:val="000000"/>
          <w:sz w:val="20"/>
        </w:rPr>
        <w:t>Effective November 20, 2025, the California Department of Health Care Services (DHCS) paused PACE applications for all new PACE centers for a minimum of two years, or until otherwise notified. The pause does not apply to the ongoing Bakersfield center application, the review of which may resume following remediation of the deficiencies raised in our Sacramento and San Bernardino centers and the completion of the San Bernardino medical review. The pause, however, would impact the opening of other de novo centers in the state of California.</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the various risks posed by macroeconomic events, regulation, and employee matters, please see the section entitled “Risk Factors” included in Part I, Item 1A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financial performance has been, and we expect our financial performance in the future to be, driven by the following factors: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Our participants.</w:t>
      </w:r>
      <w:r>
        <w:rPr>
          <w:color w:val="000000"/>
        </w:rPr>
        <w:t xml:space="preserve"> </w:t>
      </w:r>
      <w:r>
        <w:rPr>
          <w:rFonts w:ascii="Times New Roman;serif" w:hAnsi="Times New Roman;serif"/>
          <w:b w:val="false"/>
          <w:color w:val="000000"/>
          <w:sz w:val="20"/>
        </w:rPr>
        <w:t>We focus on providing all-inclusive care to frail, high-cost, dual-eligible seniors. We 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RAF score of 2.48 based on InnovAge data as of June 30, 2026;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encounter data submission process so that our revenue more accurately reflects the acuity of the populations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3"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 xml:space="preserve">Our ability to grow enrollment and capacity within existing centers. </w:t>
      </w:r>
      <w:r>
        <w:rPr>
          <w:rFonts w:ascii="Times New Roman;serif" w:hAnsi="Times New Roman;serif"/>
          <w:b w:val="false"/>
          <w:color w:val="000000"/>
          <w:sz w:val="20"/>
        </w:rPr>
        <w:t>We believe all seniors should have access to the type of all-inclusive care offered by the PACE model. Several factors can affect our ability to grow enrollment and capacity within existing centers, including competition, costs and regulatory compliance.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 xml:space="preserve">Our ability to maintain high participant satisfaction and retention. </w:t>
      </w:r>
      <w:r>
        <w:rPr>
          <w:rFonts w:ascii="Times New Roman;serif" w:hAnsi="Times New Roman;serif"/>
          <w:b w:val="false"/>
          <w:color w:val="000000"/>
          <w:sz w:val="20"/>
        </w:rPr>
        <w:t xml:space="preserve">Our comprehensive individualized care model and frequency of interaction with participants generates high levels of participant satisfaction. We achieved an I-SAT NPS score of 52 for fiscal year 2026 and average participant tenure of 3.1 years as of June 30, 2026, measured as tenure from enrollment to disenrollment, among our centers that have been operated by us for at least five years. Furthermore, we experience low levels of voluntary disenrollment, averaging 6.5% annually over the last three fiscal years.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Effectively managing</w:t>
      </w:r>
      <w:r>
        <w:rPr>
          <w:rFonts w:ascii="Times New Roman;serif" w:hAnsi="Times New Roman;serif"/>
          <w:b w:val="false"/>
          <w:color w:val="000000"/>
          <w:sz w:val="20"/>
        </w:rPr>
        <w:t xml:space="preserve">. We receive capitated payments to manage the totality of a participant’s medical care across all settings. The risk pool of our population is highly acute. Various factors, including increased salaries, wages and benefits, increased staffing, annual increases in assisted living and nursing facility unit cost and general medical inflation, have affected our external provider costs and cost of care, excluding depreciation and amortization, which represented approximately 77% of our revenue in the year ended June 30, 2026.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Center-level Contribution Margin</w:t>
      </w:r>
      <w:r>
        <w:rPr>
          <w:rFonts w:ascii="Times New Roman;serif" w:hAnsi="Times New Roman;serif"/>
          <w:b w:val="false"/>
          <w:color w:val="000000"/>
          <w:sz w:val="20"/>
        </w:rPr>
        <w:t>. The Company’s management uses Center-level Contribution Margin as the measure for assessing performance of its operating segments. As we serve more participants in existing centers, we expect to leverage our fixed cost base at those centers and increase the value of a center to our business over time.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 xml:space="preserve">Our ability to expand via de novo centers within existing and new markets. </w:t>
      </w:r>
      <w:r>
        <w:rPr>
          <w:rFonts w:ascii="Times New Roman;serif" w:hAnsi="Times New Roman;serif"/>
          <w:b w:val="false"/>
          <w:color w:val="000000"/>
          <w:sz w:val="20"/>
        </w:rPr>
        <w:t>Several factors can affect our ability to open de novo centers, including competition, costs and actions by local and state regulators, such as the moratorium issued in California by the California Department of Health Care Services (“DHCS”) and any sanctions issued by regulators, legal, community or other obstacles in the construction or opening of such centers.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response to an audit to our Sacramento center and a medical review of our San Bernardino center, which have been previously disclosed, DHCS suspended its attestations in support of the planned de novo centers in Downey and Bakersfield, California. CMS has closed its process. DHCS closed its audit with respect to the Sacramento audit, but its medical review with respect to the San Bernardino center is ongoing. On December 23, 2025, we received a formal Corrective Action Plan (CAP) from DHCS to remediate findings resulting from the San Bernardino medical review. We continue working closely with the State to fulfill the obligations under the CAP. In July 2026, we withdrew our PACE application for the previously planned Downey center, however, we continue to pursue the PACE application for the de novo center in Bakersfield. DHCS provided notice that they would consider restoring the State Attestation that would allow us to open our Bakersfield center based upon the successful remediation of the deficiencies raised in our Sacramento and San Bernardino centers and its completion of the medical review.</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Execute tuck-in acquisitions, strategic transactions and partnerships.</w:t>
      </w:r>
      <w:r>
        <w:rPr>
          <w:color w:val="000000"/>
        </w:rPr>
        <w:t xml:space="preserve"> </w:t>
      </w:r>
      <w:r>
        <w:rPr>
          <w:rFonts w:ascii="Times New Roman;serif" w:hAnsi="Times New Roman;serif"/>
          <w:b w:val="false"/>
          <w:color w:val="000000"/>
          <w:sz w:val="20"/>
        </w:rPr>
        <w:t xml:space="preserve">Since fiscal year 2019, we have acquired and integrated four PACE organizations for a total of eight operational centers (excluding the PACE center in Bakersfield, California, which is not yet operational). These acquisitions represent expansion of our InnovAge Platform into one new state and five new markets. Acquisitions could help support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geographies, such as the joint venture with Orlando Health relating to our Orlando PACE center and the joint venture with Tampa General Hospital relating to our Tampa center. In fiscal year 2025, we acquired certain pharmacy assets from Tabula Rasa HealthCare Group, Inc. (“TRHC”), with the goal of supporting our growth and improving pharmacy cost-management.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Our ability to maintain high quality of regulatory compliance</w:t>
      </w:r>
      <w:r>
        <w:rPr>
          <w:rFonts w:ascii="Times New Roman;serif" w:hAnsi="Times New Roman;serif"/>
          <w:b w:val="false"/>
          <w:color w:val="000000"/>
          <w:sz w:val="20"/>
        </w:rPr>
        <w:t>. The Company’s priority is to continue to maintain high quality of regulatory compliance in all its centers.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Contracting with government payors</w:t>
      </w:r>
      <w:r>
        <w:rPr>
          <w:rFonts w:ascii="Times New Roman;serif" w:hAnsi="Times New Roman;serif"/>
          <w:b w:val="false"/>
          <w:color w:val="000000"/>
          <w:sz w:val="20"/>
        </w:rPr>
        <w:t xml:space="preserve">. Our economic model relies on our capitated arrangements with government payors, namely Medicare and Medicaid. We view the government not only as a payor but also as a key partner in our efforts to expand into new geographies and access more participants in our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4"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markets. Maintaining, supporting and growing these relationships, in existing markets as well as new geographies, is critical to our long-term success.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Investing to support growth</w:t>
      </w:r>
      <w:r>
        <w:rPr>
          <w:rFonts w:ascii="Times New Roman;serif" w:hAnsi="Times New Roman;serif"/>
          <w:b w:val="false"/>
          <w:color w:val="000000"/>
          <w:sz w:val="20"/>
        </w:rPr>
        <w:t>. We intend to continue investing in our centers, value-based care model, and sales and marketing initiatives to support long-term growth. We expect our expenses to increase in absolute dollars for the foreseeable future to support our growth and as the result of current and potential legal and regulatory proceedings. We plan to continue investing in our growth while also maintaining focus on managing our results of operations. During fiscal years 2025 and 2026 we made investments to increase our sophistication as a payor to drive clinical value, improve outcomes, and manage cost trends, and plan to continue investing in such activities in fiscal year 2027. Accordingly, in the short term, these activities increase our expenses as a percentage of revenue, but in the longer term, we anticipate that these investments will positively impact our business and results of operations.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Seasonality of our business</w:t>
      </w:r>
      <w:r>
        <w:rPr>
          <w:rFonts w:ascii="Times New Roman;serif" w:hAnsi="Times New Roman;serif"/>
          <w:b w:val="false"/>
          <w:color w:val="000000"/>
          <w:sz w:val="20"/>
        </w:rPr>
        <w:t xml:space="preserve">. Our operational and financial results, including medical costs and per-participant revenue risk adjustment reconciliation payments, will experience some variability depending upon the time of year in which they are measured. Medical costs vary most significantly as a result of (i) the weather, with certain illnesses, such as the influenza virus, COVID-19 and respiratory syncytial viruses, being more prevalent during colder months of the year, which generally increases per-participant costs and (ii) the number of business days in a period, with shorter periods generally having lower medical costs all else equal. Per-participant risk adjustment reconciliation revenue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risk score reconciliation revenue. Historically, these risk adjustment reconciliation payments typically occur between June and July, but the timing of these payments is determined by CMS, and we have neither visibility into nor control over the timing of such payments. The variability of participant enrollments and voluntary disenrollments has also been impacted by additional offerings by MA, special needs programs and other competitors including PACE organizations in select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Capitation Revenue</w:t>
      </w:r>
      <w:r>
        <w:rPr>
          <w:rFonts w:ascii="Times New Roman;serif" w:hAnsi="Times New Roman;serif"/>
          <w:b w:val="false"/>
          <w:color w:val="000000"/>
          <w:sz w:val="20"/>
        </w:rPr>
        <w:t>. In order to provide comprehensive services to manage the totality of a participant’s medical care across all settings, we receive fixed or capitated fees per participant that are paid monthly by Medicare, Medicaid, Veterans Affairs (“VA”) and private pay sources. The concentration of capitation revenue from our various payors for the fiscal years ended June 30, 2026 and 2025 was:</w:t>
      </w:r>
    </w:p>
    <w:tbl>
      <w:tblPr>
        <w:tblW w:w="4051" w:type="dxa"/>
        <w:jc w:val="left"/>
        <w:tblInd w:w="0" w:type="dxa"/>
        <w:tblLayout w:type="fixed"/>
        <w:tblCellMar>
          <w:top w:w="28" w:type="dxa"/>
          <w:left w:w="28" w:type="dxa"/>
          <w:bottom w:w="28" w:type="dxa"/>
          <w:right w:w="28" w:type="dxa"/>
        </w:tblCellMar>
      </w:tblPr>
      <w:tblGrid>
        <w:gridCol w:w="798"/>
        <w:gridCol w:w="702"/>
        <w:gridCol w:w="705"/>
        <w:gridCol w:w="232"/>
        <w:gridCol w:w="234"/>
        <w:gridCol w:w="271"/>
        <w:gridCol w:w="109"/>
        <w:gridCol w:w="109"/>
        <w:gridCol w:w="109"/>
        <w:gridCol w:w="232"/>
        <w:gridCol w:w="234"/>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 private pay and other</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*denotes less than 1%</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below and Note 2 “Summary of Significant Accounting Policies” to our consolidated financial statements included in this Annual Report.</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Other Service Revenue.</w:t>
      </w:r>
      <w:r>
        <w:rPr>
          <w:color w:val="000000"/>
        </w:rPr>
        <w:t xml:space="preserve"> </w:t>
      </w:r>
      <w:r>
        <w:rPr>
          <w:rFonts w:ascii="Times New Roman;serif" w:hAnsi="Times New Roman;serif"/>
          <w:b w:val="false"/>
          <w:color w:val="000000"/>
          <w:sz w:val="20"/>
        </w:rPr>
        <w:t xml:space="preserve">Other service revenue primarily consists of revenues derived from state grants. For a discussion of our revenue recognition policies, please see </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below and Note 2 “Summary of Significant Accounting Policies” to our consolidated financial statements included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5"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External Provider Costs.</w:t>
      </w:r>
      <w:r>
        <w:rPr>
          <w:color w:val="000000"/>
        </w:rPr>
        <w:t xml:space="preserve"> </w:t>
      </w:r>
      <w:r>
        <w:rPr>
          <w:rFonts w:ascii="Times New Roman;serif" w:hAnsi="Times New Roman;serif"/>
          <w:b w:val="false"/>
          <w:color w:val="000000"/>
          <w:sz w:val="20"/>
        </w:rPr>
        <w:t>External provider costs consist primarily of the costs for medical care provided by 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Cost of Care, Excluding Depreciation and Amortization.</w:t>
      </w:r>
      <w:r>
        <w:rPr>
          <w:color w:val="000000"/>
        </w:rPr>
        <w:t xml:space="preserve"> </w:t>
      </w:r>
      <w:r>
        <w:rPr>
          <w:rFonts w:ascii="Times New Roman;serif" w:hAnsi="Times New Roman;serif"/>
          <w:b w:val="false"/>
          <w:color w:val="000000"/>
          <w:sz w:val="20"/>
        </w:rPr>
        <w:t xml:space="preserve">Cost of care, excluding depreciation and amortization, includes the costs we incur to operate our care delivery model. This includes costs related to salaries, wages and benefits for IDT and other center-level staff, participant transportation, medical supplies, pharmacy,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When we open new centers, we expect cost of care, excluding depreciation and amortization, to increase in absolute dollars due to higher census and facility related costs.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 xml:space="preserve">Sales and marketing expenses consist of employee-related expenses, including salaries, commissions, and employee benefits costs, 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Corporate, General and Administrative Expenses.</w:t>
      </w:r>
      <w:r>
        <w:rPr>
          <w:color w:val="000000"/>
        </w:rPr>
        <w:t xml:space="preserve"> </w:t>
      </w:r>
      <w:r>
        <w:rPr>
          <w:rFonts w:ascii="Times New Roman;serif" w:hAnsi="Times New Roman;serif"/>
          <w:b w:val="false"/>
          <w:color w:val="000000"/>
          <w:sz w:val="20"/>
        </w:rPr>
        <w:t xml:space="preserve">Corporate, general and administrative expenses include employee-related expenses, including salaries and related costs. In addition, general and administrative expenses include all corporate technology and occupancy costs associated with our corporate office. We expect our general and administrative expenses to increase in absolute dollars due to legal, accounting, insurance, investor relations and other costs that we incur to operate as a public company, as well as other costs associated with compliance and growth of our business. However, we anticipate general and administrative expenses to decrease as a percentage of revenue over the long term, although such expenses may fluctuate as a percentage of revenue from period to period due to the timing and amount of these expenses.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 xml:space="preserve">Depreciation and amortization expenses are primarily attributable to our buildings and leasehold improvements and our equipment and vehicles. Depreciation and amortization are recorded using the straight-line method over the shorter of estimated useful life or lease terms, to the extent the assets are being leased.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For more information relating to the components of our results of operations, see </w:t>
      </w:r>
      <w:r>
        <w:rPr>
          <w:rFonts w:ascii="Times New Roman;serif" w:hAnsi="Times New Roman;serif"/>
          <w:b w:val="false"/>
          <w:i/>
          <w:color w:val="000000"/>
          <w:sz w:val="20"/>
        </w:rPr>
        <w:t xml:space="preserve">Results of Operations </w:t>
      </w:r>
      <w:r>
        <w:rPr>
          <w:rFonts w:ascii="Times New Roman;serif" w:hAnsi="Times New Roman;serif"/>
          <w:b w:val="false"/>
          <w:color w:val="000000"/>
          <w:sz w:val="20"/>
        </w:rPr>
        <w:t>below and Note 2 “Summary of Significant Accounting Policies” to our consolidated financial statements included in this Annual Report for more detailed information regarding our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6"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results of operations for the periods presented. </w:t>
      </w:r>
    </w:p>
    <w:tbl>
      <w:tblPr>
        <w:tblW w:w="8148" w:type="dxa"/>
        <w:jc w:val="left"/>
        <w:tblInd w:w="0" w:type="dxa"/>
        <w:tblLayout w:type="fixed"/>
        <w:tblCellMar>
          <w:top w:w="28" w:type="dxa"/>
          <w:left w:w="28" w:type="dxa"/>
          <w:bottom w:w="28" w:type="dxa"/>
          <w:right w:w="28" w:type="dxa"/>
        </w:tblCellMar>
      </w:tblPr>
      <w:tblGrid>
        <w:gridCol w:w="1869"/>
        <w:gridCol w:w="1635"/>
        <w:gridCol w:w="1656"/>
        <w:gridCol w:w="211"/>
        <w:gridCol w:w="826"/>
        <w:gridCol w:w="271"/>
        <w:gridCol w:w="109"/>
        <w:gridCol w:w="109"/>
        <w:gridCol w:w="109"/>
        <w:gridCol w:w="211"/>
        <w:gridCol w:w="826"/>
        <w:gridCol w:w="316"/>
      </w:tblGrid>
      <w:tr>
        <w:trPr/>
        <w:tc>
          <w:tcPr>
            <w:tcW w:w="186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987,089 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883,460 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cost and equity method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(35,343)</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InnovAge Holding Corp.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(30,313)</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as a %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as a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Revenues</w:t>
      </w:r>
    </w:p>
    <w:tbl>
      <w:tblPr>
        <w:tblW w:w="6767" w:type="dxa"/>
        <w:jc w:val="left"/>
        <w:tblInd w:w="0" w:type="dxa"/>
        <w:tblLayout w:type="fixed"/>
        <w:tblCellMar>
          <w:top w:w="28" w:type="dxa"/>
          <w:left w:w="28" w:type="dxa"/>
          <w:bottom w:w="28" w:type="dxa"/>
          <w:right w:w="28" w:type="dxa"/>
        </w:tblCellMar>
      </w:tblPr>
      <w:tblGrid>
        <w:gridCol w:w="602"/>
        <w:gridCol w:w="531"/>
        <w:gridCol w:w="53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33"/>
        <w:gridCol w:w="233"/>
        <w:gridCol w:w="532"/>
      </w:tblGrid>
      <w:tr>
        <w:trPr/>
        <w:tc>
          <w:tcPr>
            <w:tcW w:w="60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989,707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853,699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136,008 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Capitation revenue. </w:t>
      </w:r>
      <w:r>
        <w:rPr>
          <w:rFonts w:ascii="Times New Roman;serif" w:hAnsi="Times New Roman;serif"/>
          <w:b w:val="false"/>
          <w:color w:val="000000"/>
          <w:sz w:val="20"/>
        </w:rPr>
        <w:t>Capitation revenue was $988.4 million for the year ended June 30, 2026, an increase of $136.0 million, or 16.0%, compared to $852.4 million for the year ended June 30, 2025. This increase was driven by a $66.2 million, or 7.8% increase in member months (as defined below under “Key Business Metrics and non-GAAP Measures – Total member months”) coupled with a $69.9 million, or 7.6%, increase in capitation rates. The increase in member months was primarily due to growth in our California, Colorado, and Florida centers. The increase in capitation rates includes an 8.4% increase in Medicaid rates coupled with a decrease in revenue reserve and a 4.1% increase in Medicare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57"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Expenses</w:t>
      </w:r>
    </w:p>
    <w:tbl>
      <w:tblPr>
        <w:tblW w:w="10064" w:type="dxa"/>
        <w:jc w:val="left"/>
        <w:tblInd w:w="0" w:type="dxa"/>
        <w:tblLayout w:type="fixed"/>
        <w:tblCellMar>
          <w:top w:w="28" w:type="dxa"/>
          <w:left w:w="28" w:type="dxa"/>
          <w:bottom w:w="28" w:type="dxa"/>
          <w:right w:w="28" w:type="dxa"/>
        </w:tblCellMar>
      </w:tblPr>
      <w:tblGrid>
        <w:gridCol w:w="1626"/>
        <w:gridCol w:w="1426"/>
        <w:gridCol w:w="143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07"/>
        <w:gridCol w:w="309"/>
        <w:gridCol w:w="544"/>
      </w:tblGrid>
      <w:tr>
        <w:trPr/>
        <w:tc>
          <w:tcPr>
            <w:tcW w:w="16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21"/>
            <w:tcBorders/>
            <w:tcMar>
              <w:top w:w="0" w:type="dxa"/>
              <w:left w:w="0" w:type="dxa"/>
              <w:bottom w:w="0" w:type="dxa"/>
              <w:right w:w="0" w:type="dxa"/>
            </w:tcMar>
            <w:vAlign w:val="center"/>
          </w:tcPr>
          <w:p>
            <w:pPr>
              <w:pStyle w:val="TableContents"/>
              <w:bidi w:val="0"/>
              <w:spacing w:lineRule="auto" w:line="276" w:before="0" w:after="1"/>
              <w:jc w:val="center"/>
              <w:rPr/>
            </w:pPr>
            <w:r>
              <w:rPr>
                <w:rFonts w:ascii="Times New Roman;serif" w:hAnsi="Times New Roman;serif"/>
                <w:b w:val="false"/>
                <w:i/>
                <w:color w:val="000000"/>
                <w:sz w:val="16"/>
              </w:rPr>
              <w:t>in thousands</w:t>
            </w:r>
            <w:r>
              <w:rPr>
                <w:color w:val="000000"/>
              </w:rPr>
              <w:t xml:space="preserve"> </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883,460 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External provider costs. </w:t>
      </w:r>
      <w:r>
        <w:rPr>
          <w:rFonts w:ascii="Times New Roman;serif" w:hAnsi="Times New Roman;serif"/>
          <w:b w:val="false"/>
          <w:color w:val="000000"/>
          <w:sz w:val="20"/>
        </w:rPr>
        <w:t xml:space="preserve">External provider costs were $449.8 million for the year ended June 30, 2026, an increase of $18.7 million, or 4.3%, compared to $431.2 million for the year ended June 30, 2025. The increase was driven by an increase of $33.5 million, or 7.8%, in member months partially offset by a decrease of $14.8 million, or 3.2%, in cost per participant. The decrease in external provider cost per participant was primarily driven by a decrease in permanent nursing facility and short stay nursing facility utilization, and a decrease in pharmacy expense associated with the transition to in-house pharmacy services. The decrease in external provider cost per participant was partially offset by an annual increase in assisted living and permanent nursing facility unit cost, and an increase in assisted living utilization.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Cost of care, excluding depreciation and amortization. </w:t>
      </w:r>
      <w:r>
        <w:rPr>
          <w:rFonts w:ascii="Times New Roman;serif" w:hAnsi="Times New Roman;serif"/>
          <w:b w:val="false"/>
          <w:color w:val="000000"/>
          <w:sz w:val="20"/>
        </w:rPr>
        <w:t xml:space="preserve">Cost of care, excluding depreciation and amortization expense was $312.1 million for the year ended June 30, 2026, an increase of $43.2 million, or 16.1%, compared to $268.9 million for the year ended June 30, 2025, primarily due to an increase of $20.9 million, or 7.8%, in member months coupled with an increase of $22.3 million, or 7.7%, in cost per participant. The overall increase of cost of care (excluding depreciation and amortization) expense was driven by (i) an $11.7 million increase in salaries, wages and benefits associated with higher wage rates, (ii) $14.2 million in third party fees and shipping costs associated with in-house pharmacy services, (iii) $4.3 million increase in contract services, (iv) $4.8 million in supplies and administrative costs, and (v) an $8.6 million increase in fleet expense including contract transportation.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were $34.4 million for the year ended June 30, 2026, an increase of $6.1 million, or 21.8%, compared to $28.2 million for the year ended June 30, 2025, primarily due to increased headcount and wage rates, and increased marketing spend to support growth.</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Corporate, general and administrative expenses. </w:t>
      </w:r>
      <w:r>
        <w:rPr>
          <w:rFonts w:ascii="Times New Roman;serif" w:hAnsi="Times New Roman;serif"/>
          <w:b w:val="false"/>
          <w:color w:val="000000"/>
          <w:sz w:val="20"/>
        </w:rPr>
        <w:t>Corporate, general and administrative expenses were $166.5 million for the year ended June 30, 2026, an increase of $44.4 million, or 36.4% compared to $122.1 million for the year ended June 30, 2025. The increase was primarily due to (i) $2.7 million net increase in employee compensation and benefits as the result of organizational restructure, executive severance, and an increase in headcount and wage rates, partially offset by lower variable compensation associated with the restructure, (ii) $2.4 million increase in consulting services, (iii) $0.9 million increase in software license fees, and (iv) a $36.8 million net increase in our litigation expenses related to the accrual for the various legal matters disclosed in Note 9, “Commitments and Contingencies” to the consolidated financial statements included in this Annual Report.</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expense was $21.1 million for the year ended June 30, 2026, an increase of $1.6 million, or 8.4%, compared to $19.5 million for the year ended June 30, 2025. The increase in depreciation expense was a result of capital additions in the normal course of business.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Impairments and loss on assets held for sale. </w:t>
      </w:r>
      <w:r>
        <w:rPr>
          <w:rFonts w:ascii="Times New Roman;serif" w:hAnsi="Times New Roman;serif"/>
          <w:b w:val="false"/>
          <w:color w:val="000000"/>
          <w:sz w:val="20"/>
        </w:rPr>
        <w:t xml:space="preserve">Impairments and loss on assets held for sale were $3.2 million for the year ended June 30, 2026 due to (i) impairment charges related to ROU asset and construction in progress related to halting developments to a previously planned de novo center in Downey, California that the Company is no longer pursuing, and (ii) loss on assets held for sale. Impairments and loss on assets held for sale were $13.6 million for the year ended June 30, 2025 due to (i) impairment charges related to ROU asset and construction in progress related to halting developments to a previously planned de novo center in Louisville, Kentucky that the Company is no longer pursuing, (ii) loss on sale of center equipment that was originally purchased for the center in Louisville, Kentucky, (iii) loss on assets held for sale, and (iv) loss on settlement of lease liability in Louisville, Kentucky.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58"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Income (Expense)</w:t>
      </w:r>
    </w:p>
    <w:tbl>
      <w:tblPr>
        <w:tblW w:w="8574" w:type="dxa"/>
        <w:jc w:val="left"/>
        <w:tblInd w:w="0" w:type="dxa"/>
        <w:tblLayout w:type="fixed"/>
        <w:tblCellMar>
          <w:top w:w="28" w:type="dxa"/>
          <w:left w:w="28" w:type="dxa"/>
          <w:bottom w:w="28" w:type="dxa"/>
          <w:right w:w="28" w:type="dxa"/>
        </w:tblCellMar>
      </w:tblPr>
      <w:tblGrid>
        <w:gridCol w:w="1347"/>
        <w:gridCol w:w="1183"/>
        <w:gridCol w:w="1189"/>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68"/>
        <w:gridCol w:w="268"/>
        <w:gridCol w:w="380"/>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cMar>
              <w:top w:w="0" w:type="dxa"/>
              <w:left w:w="0" w:type="dxa"/>
              <w:bottom w:w="0" w:type="dxa"/>
              <w:right w:w="0" w:type="dxa"/>
            </w:tcMar>
            <w:vAlign w:val="center"/>
          </w:tcPr>
          <w:p>
            <w:pPr>
              <w:pStyle w:val="TableContents"/>
              <w:bidi w:val="0"/>
              <w:spacing w:lineRule="auto" w:line="276" w:before="0" w:after="1"/>
              <w:jc w:val="center"/>
              <w:rPr/>
            </w:pPr>
            <w:r>
              <w:rPr>
                <w:rFonts w:ascii="Times New Roman;serif" w:hAnsi="Times New Roman;serif"/>
                <w:b w:val="false"/>
                <w:i/>
                <w:color w:val="000000"/>
                <w:sz w:val="16"/>
              </w:rPr>
              <w:t>in thousands</w:t>
            </w:r>
            <w:r>
              <w:rPr>
                <w:color w:val="000000"/>
              </w:rPr>
              <w:t xml:space="preserve"> </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cost and equity method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r>
    </w:tbl>
    <w:p>
      <w:pPr>
        <w:pStyle w:val="TextBody"/>
        <w:bidi w:val="0"/>
        <w:spacing w:before="200" w:after="283"/>
        <w:jc w:val="left"/>
        <w:rPr/>
      </w:pPr>
      <w:r>
        <w:rPr/>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Interest expense, net, consists primarily of interest payments on our outstanding borrowings, net of interest income earned on our cash and cash equivalents and restricted cash. Interest expense, net was $4.3 million for the year ended June 30, 2026, a decrease of $0.4 million, or 7.7%, compared to $4.6 million for the year ended June 30, 2025. The decrease was primarily due to interest expense of $6.2 million partially offset by interest income of $1.9 million from money market funds during the year ended June 30, 2026, compared to interest expense of $6.0 million partially offset by interest income of $1.4 million from money market funds during the year ended June 30, 2025.</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Loss on cost and equity method investments.</w:t>
      </w:r>
      <w:r>
        <w:rPr>
          <w:color w:val="000000"/>
        </w:rPr>
        <w:t xml:space="preserve"> </w:t>
      </w:r>
      <w:r>
        <w:rPr>
          <w:rFonts w:ascii="Times New Roman;serif" w:hAnsi="Times New Roman;serif"/>
          <w:b w:val="false"/>
          <w:color w:val="000000"/>
          <w:sz w:val="20"/>
        </w:rPr>
        <w:t xml:space="preserve">Loss on cost and equity method investments was $1.4 million for the year ended June 30, 2025. The Company recognized a loss of $2.6 million associated with the impairment of a minority interest investment in DispatchHealth Holdings, Inc, partially offset by a $1.3 million net benefit associated with the dissolution of the Pinewood Lodge, LLLP (“PWD”) partnership during the year ended June 30, 2025.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consists primarily of the net proceeds received from the sale of or disposal of property and equipment, unrealized gains and losses and investment income related to short-term investments. Other income, net was $1.9 million for the year ended June 30, 2026, an increase of $0.2 million, compared to $1.7 million for the year ended June 30, 2025. Investment income during the year ended June 30, 2026 was $1.3 million combined with $0.4 million gain on disposal of capital assets. Investment income during the year ended June 30, 2025 was $2.1 million offset by $0.5 million loss on disposal of capital assets.</w:t>
      </w:r>
    </w:p>
    <w:p>
      <w:pPr>
        <w:pStyle w:val="TextBody"/>
        <w:bidi w:val="0"/>
        <w:spacing w:lineRule="auto" w:line="288" w:before="200" w:after="283"/>
        <w:jc w:val="both"/>
        <w:rPr/>
      </w:pPr>
      <w:r>
        <w:rPr>
          <w:rFonts w:ascii="Times New Roman;serif" w:hAnsi="Times New Roman;serif"/>
          <w:b/>
          <w:i/>
          <w:color w:val="000000"/>
          <w:sz w:val="20"/>
        </w:rPr>
        <w:t>Provision for Income Taxes.</w:t>
      </w:r>
      <w:r>
        <w:rPr>
          <w:color w:val="000000"/>
        </w:rPr>
        <w:t xml:space="preser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InnovAge California PACE - Sacramento (“SCR”), InnovAge Florida PACE, LLC (“TMP”), and InnovAge Florida PACE II, LLC (“ORL”) have elected to be taxed as partnerships, and no provision (benefit) for income taxes for SCR, TMP, or ORL is included in these consolidated financial statements included in this Annual Report. In addition, no provision (benefit) for income taxes for SH1 is included in the consolidated financial statements through the date of the Company’s sale of its partnership interest in SH1 on September 11, 2025.</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June 30, 2026 and 2025, we reported provision for income taxes of $0.9 million and $1.3 million, respectively. The decrease of $0.4 million is primarily due to (i) pretax book income recognized during the year ended June 30, 2026, as compared to the pretax book loss recognized during the year ended June 30, 2025 and (ii) the change in our valuation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59"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Loss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June 30, 2026 and 2025, we reported a net loss of $0.7 million and $35.3 million, respectively, consisting of (i) operating income (loss) of $2.6 million and $(29.8) million, respectively, (ii) other expense of $2.4 million and $4.3 million, respectively, and (iii) provision for income taxes of $0.9 million and $1.3 million, respectively, each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Business Metrics and Non-GAAP Measures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tbl>
      <w:tblPr>
        <w:tblW w:w="7472" w:type="dxa"/>
        <w:jc w:val="left"/>
        <w:tblInd w:w="0" w:type="dxa"/>
        <w:tblLayout w:type="fixed"/>
        <w:tblCellMar>
          <w:top w:w="28" w:type="dxa"/>
          <w:left w:w="28" w:type="dxa"/>
          <w:bottom w:w="28" w:type="dxa"/>
          <w:right w:w="28" w:type="dxa"/>
        </w:tblCellMar>
      </w:tblPr>
      <w:tblGrid>
        <w:gridCol w:w="1621"/>
        <w:gridCol w:w="1427"/>
        <w:gridCol w:w="1436"/>
        <w:gridCol w:w="211"/>
        <w:gridCol w:w="826"/>
        <w:gridCol w:w="271"/>
        <w:gridCol w:w="109"/>
        <w:gridCol w:w="109"/>
        <w:gridCol w:w="109"/>
        <w:gridCol w:w="211"/>
        <w:gridCol w:w="826"/>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Key Business Metrics: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Centers</w:t>
            </w:r>
            <w:r>
              <w:rPr>
                <w:rFonts w:ascii="Times New Roman;serif" w:hAnsi="Times New Roman;serif"/>
                <w:b w:val="false"/>
                <w:color w:val="000000"/>
                <w:sz w:val="13"/>
              </w:rPr>
              <w:t>(a)</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Census</w:t>
            </w:r>
            <w:r>
              <w:rPr>
                <w:rFonts w:ascii="Times New Roman;serif" w:hAnsi="Times New Roman;serif"/>
                <w:b w:val="false"/>
                <w:color w:val="000000"/>
                <w:sz w:val="13"/>
              </w:rPr>
              <w:t>(a)(b)</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7,740</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Member Months</w:t>
            </w:r>
            <w:r>
              <w:rPr>
                <w:rFonts w:ascii="Times New Roman;serif" w:hAnsi="Times New Roman;serif"/>
                <w:b w:val="false"/>
                <w:color w:val="000000"/>
                <w:sz w:val="13"/>
              </w:rPr>
              <w:t>(b)</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89,130</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Measures: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Center-level Contribution Margin</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Center-level Contribution Margin as a % of revenue</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00" w:after="283"/>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Includes InnovAge Sacramento, InnovAge Orlando, and as of August 15, 2025, InnovAge Tampa, which the Company owns and controls through joint ventures and are consolidated in our financial statements. </w:t>
      </w:r>
    </w:p>
    <w:p>
      <w:pPr>
        <w:pStyle w:val="TextBody"/>
        <w:bidi w:val="0"/>
        <w:spacing w:lineRule="auto" w:line="288" w:before="200" w:after="283"/>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Amounts are approximate.</w:t>
      </w:r>
    </w:p>
    <w:p>
      <w:pPr>
        <w:pStyle w:val="TextBody"/>
        <w:bidi w:val="0"/>
        <w:spacing w:lineRule="auto" w:line="288" w:before="200" w:after="283"/>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Centers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our centers as those centers open for business and attending to participants at the end of a particular period.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Census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census is comprised of our capitated participants for whom we are financially responsible for their total healthcare costs.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Member Months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Total Member Months as the total number of participants multiplied by the number of months within the respective reporting period in which each participant was enrolled in our program. We believe this is a useful metric as it more precisely tracks the number of participants we serve throughout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0"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Center-level Contribution Margin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$227.8 million and $153.6 million for the years ended June 30, 2026 and 2025, respectively. The increase in Center-level Contribution Margin for fiscal year 2026 was primarily due to a year-over-year increase of 15.9% in total revenue and 8.8% in center level expense during the same period. For more information relating to Center-level Contribution Margin, see Note 13 “Segment Reporting” to our consolidated financial statements included in this Annual Report. A reconciliation of Center-level Contribution Margin to loss before income taxes, the most directly comparable GAAP measure, for each of the periods is as follows:</w:t>
      </w:r>
    </w:p>
    <w:tbl>
      <w:tblPr>
        <w:tblW w:w="10205" w:type="dxa"/>
        <w:jc w:val="left"/>
        <w:tblInd w:w="0" w:type="dxa"/>
        <w:tblLayout w:type="fixed"/>
        <w:tblCellMar>
          <w:top w:w="28" w:type="dxa"/>
          <w:left w:w="28" w:type="dxa"/>
          <w:bottom w:w="28" w:type="dxa"/>
          <w:right w:w="28" w:type="dxa"/>
        </w:tblCellMar>
      </w:tblPr>
      <w:tblGrid>
        <w:gridCol w:w="995"/>
        <w:gridCol w:w="701"/>
        <w:gridCol w:w="693"/>
        <w:gridCol w:w="211"/>
        <w:gridCol w:w="826"/>
        <w:gridCol w:w="109"/>
        <w:gridCol w:w="109"/>
        <w:gridCol w:w="109"/>
        <w:gridCol w:w="109"/>
        <w:gridCol w:w="225"/>
        <w:gridCol w:w="433"/>
        <w:gridCol w:w="116"/>
        <w:gridCol w:w="109"/>
        <w:gridCol w:w="109"/>
        <w:gridCol w:w="109"/>
        <w:gridCol w:w="211"/>
        <w:gridCol w:w="826"/>
        <w:gridCol w:w="109"/>
        <w:gridCol w:w="109"/>
        <w:gridCol w:w="109"/>
        <w:gridCol w:w="109"/>
        <w:gridCol w:w="211"/>
        <w:gridCol w:w="826"/>
        <w:gridCol w:w="109"/>
        <w:gridCol w:w="109"/>
        <w:gridCol w:w="109"/>
        <w:gridCol w:w="109"/>
        <w:gridCol w:w="225"/>
        <w:gridCol w:w="433"/>
        <w:gridCol w:w="116"/>
        <w:gridCol w:w="109"/>
        <w:gridCol w:w="109"/>
        <w:gridCol w:w="109"/>
        <w:gridCol w:w="211"/>
        <w:gridCol w:w="826"/>
        <w:gridCol w:w="158"/>
      </w:tblGrid>
      <w:tr>
        <w:trPr/>
        <w:tc>
          <w:tcPr>
            <w:tcW w:w="9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153,639 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(29,761)</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(1)Center-level Contribution Margin from a segment below the quantitative thresholds was attributable to the Senior Housing operating segment of the Company as of June 30, 2026. This segment never met any of the quantitative thresholds for determining reportable segments.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loss adjusted for interest expense, net, other investment income, depreciation and amortization, and provision for income tax as well as addbacks for non-recurring expenses or exceptional items, including charges relating to management equity compensation, litigation costs and settlement, M&amp;A diligence, transaction and integration, business optimization, loss on cost and equity method investments, asset impairments and loss on assets held for sale, and loss on sale of assets. Adjusted EBITDA margin is Adjusted EBITDA expressed as a percentage of our total revenue.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June 30, 2026 and 2025, our net loss was $0.7 million and $35.3 million, respectively, representing a year-over-year increase of 98%, and Adjusted EBITDA was $94.6 million and $34.5 million, respectively, representing a year-over-year increase of 174%.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1"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June 30, 2026, our net loss margin was 0.1%, compared to 4.1% for the year ended June 30, 2025. For the year ended June 30, 2026, our Adjusted EBITDA margin was 9.6%, compared to 4.0% for the year ended June 30, 2025.</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supplemental measures of operating performance monitored by management that are not defined under GAAP and that do not represent, and should not be considered as, an alternative to net loss and net loss margin, respectively, as determined by GAAP. We believe that Adjusted EBITDA and Adjusted EBITDA margin are appropriate measures of operating performance because the metrics eliminate the impact of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GAAP financial measures, including net loss and net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Adjusted EBITDA to net loss, the most directly comparable GAAP measure, for each of the periods is as follows:</w:t>
      </w:r>
    </w:p>
    <w:tbl>
      <w:tblPr>
        <w:tblW w:w="6773" w:type="dxa"/>
        <w:jc w:val="left"/>
        <w:tblInd w:w="0" w:type="dxa"/>
        <w:tblLayout w:type="fixed"/>
        <w:tblCellMar>
          <w:top w:w="28" w:type="dxa"/>
          <w:left w:w="28" w:type="dxa"/>
          <w:bottom w:w="28" w:type="dxa"/>
          <w:right w:w="28" w:type="dxa"/>
        </w:tblCellMar>
      </w:tblPr>
      <w:tblGrid>
        <w:gridCol w:w="1537"/>
        <w:gridCol w:w="1339"/>
        <w:gridCol w:w="1368"/>
        <w:gridCol w:w="211"/>
        <w:gridCol w:w="721"/>
        <w:gridCol w:w="109"/>
        <w:gridCol w:w="109"/>
        <w:gridCol w:w="109"/>
        <w:gridCol w:w="109"/>
        <w:gridCol w:w="211"/>
        <w:gridCol w:w="79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costs and settlements</w:t>
            </w:r>
            <w:r>
              <w:rPr>
                <w:rFonts w:ascii="Times New Roman;serif" w:hAnsi="Times New Roman;serif"/>
                <w:b w:val="false"/>
                <w:color w:val="000000"/>
                <w:sz w:val="13"/>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M&amp;A diligence, transaction and integration</w:t>
            </w:r>
            <w:r>
              <w:rPr>
                <w:rFonts w:ascii="Times New Roman;serif" w:hAnsi="Times New Roman;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cost and equity method investments</w:t>
            </w:r>
            <w:r>
              <w:rPr>
                <w:rFonts w:ascii="Times New Roman;serif" w:hAnsi="Times New Roman;serif"/>
                <w:b w:val="false"/>
                <w:color w:val="000000"/>
                <w:sz w:val="13"/>
              </w:rPr>
              <w: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 impairments and loss on assets held for sale</w:t>
            </w:r>
            <w:r>
              <w:rPr>
                <w:rFonts w:ascii="Times New Roman;serif" w:hAnsi="Times New Roman;serif"/>
                <w:b w:val="false"/>
                <w:color w:val="000000"/>
                <w:sz w:val="13"/>
              </w:rPr>
              <w:t>(f)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sale of assets</w:t>
            </w:r>
            <w:r>
              <w:rPr>
                <w:rFonts w:ascii="Times New Roman;serif" w:hAnsi="Times New Roman;serif"/>
                <w:b w:val="false"/>
                <w:color w:val="000000"/>
                <w:sz w:val="13"/>
              </w:rPr>
              <w:t>(g)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00" w:after="283"/>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Reflects investment income related to short term investments included in our consolidated statements of operations.</w:t>
      </w:r>
    </w:p>
    <w:p>
      <w:pPr>
        <w:pStyle w:val="TextBody"/>
        <w:bidi w:val="0"/>
        <w:spacing w:lineRule="auto" w:line="288" w:before="200" w:after="283"/>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Reflects charges/(credits) related to litigation by stockholders, civil investigative demands, and settlement with our former pharmacy provider. Refer to Note 9, "Commitments and Contingencies" to our consolidated financial statements included in this Annual Report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For the year ended June 30, 2026, includes an aggregate $52.4 million of accrued loss for potential resolutions or paid settlements. For the year ended June 30, 2025, includes $10.1 million that was accrued in connection with the settlement of the previously disclosed stockholder class action and which was paid in fiscal year 2026.</w:t>
      </w:r>
    </w:p>
    <w:p>
      <w:pPr>
        <w:pStyle w:val="TextBody"/>
        <w:bidi w:val="0"/>
        <w:spacing w:lineRule="auto" w:line="288" w:before="200" w:after="283"/>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 xml:space="preserve">Reflects charges related to M&amp;A diligence, transactions and integrations.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2"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Reflects charges related to business optimization initiatives. Such charges related to one-time investments in projects designed to enhance our technology and compliance systems and improve and support the efficiency and effectiveness of our operations. For the year ended June 30, 2026 this consists of $3.5 million of costs related to organizational restructure and executive severance.. For the year ended June 30, 2025, this includes (i) $2.5 million of costs associated with organizational restructure and executive severance, and (ii) $0.5 million related to other non-recurring projects aimed at reducing costs and improving efficiencies.</w:t>
      </w:r>
    </w:p>
    <w:p>
      <w:pPr>
        <w:pStyle w:val="TextBody"/>
        <w:bidi w:val="0"/>
        <w:spacing w:lineRule="auto" w:line="288" w:before="200" w:after="283"/>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For the year ended June 30, 2025, reflects $2.6 million impairment loss for the investment in DispatchHealth Holdings, Inc., partially offset by $1.3 million net benefit associated with the dissolution of the PWD partnership.</w:t>
      </w:r>
    </w:p>
    <w:p>
      <w:pPr>
        <w:pStyle w:val="TextBody"/>
        <w:bidi w:val="0"/>
        <w:spacing w:lineRule="auto" w:line="288" w:before="200" w:after="283"/>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For the year ended June 30, 2026, reflects (i) additional loss related to the Company’s sale of its managing member interest in SH1 and the adjacent land and (ii) impairment charges related to ROU asset and construction in progress related to a previously planned de novo center in Downey, California. For the year ended June 30, 2025, reflects (i) impairment charges related to ROU asset and construction in progress related to halting developments related to the planned Louisville, Kentucky center, (ii) loss on assets held for sale, and (iii) loss on settlement of lease liability in Louisville, Kentucky.</w:t>
      </w:r>
    </w:p>
    <w:p>
      <w:pPr>
        <w:pStyle w:val="TextBody"/>
        <w:bidi w:val="0"/>
        <w:spacing w:lineRule="auto" w:line="288" w:before="200" w:after="283"/>
        <w:ind w:left="0" w:right="0" w:hanging="360"/>
        <w:jc w:val="both"/>
        <w:rPr/>
      </w:pPr>
      <w:r>
        <w:rPr>
          <w:rFonts w:ascii="Times New Roman;serif" w:hAnsi="Times New Roman;serif"/>
          <w:b w:val="false"/>
          <w:color w:val="000000"/>
          <w:sz w:val="13"/>
        </w:rPr>
        <w:t>(g)</w:t>
      </w:r>
      <w:r>
        <w:rPr>
          <w:rFonts w:ascii="Times New Roman;serif" w:hAnsi="Times New Roman;serif"/>
          <w:b w:val="false"/>
          <w:color w:val="000000"/>
          <w:sz w:val="20"/>
        </w:rPr>
        <w:t>For the year ended June 30, 2026, reflects gain on sale of center equipment that was originally purchased for the center in Louisville, Kentucky. For the year ended June 30, 2025, reflects loss on sale of center equipment that was originally purchased for the center in Louisville, Kentucky.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financed our operations principally through cash flows from operations and through borrowings under our credit facilities. As of the years ended June 30, 2026 and 2025, we had cash and cash equivalents of $97.9 million and $64.1 million, respectively, an increase of $33.8 million primarily due to an increase in working capital partially offset by cash used in investing activities including capital expenditures. Our cash and cash equivalents primarily consist of highly liquid investments in demand deposit accounts and cash.</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resources are generally used to fund (i) debt service requirements, the majority of which relate to the quarterly principal payments of the Term Loan A Facility (as defined below) due August 2028, (ii) finance and operating lease obligations, which are generally paid on a monthly basis and include maturities from calendar year 2026 through 2039, (iii) the operations of our business, (iv) income tax payments, which are generally due on a quarterly and annual basis, (v) capital additions, which include acquisition and de novo centers, and (vi) share repurchases, if any. We also will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 For additional information regarding our lease obligations, debt and commitments, see Notes 6 “Leases,” 7 “Long-term Debt,” and 9 “Commitments and Contingencies,” respectively, to our consolidated financial statements included in this Annual Report.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our cash flows from operations, available funds and access to financing sources, including our Revolving Credit Facility (as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2025, the Company entered into Amendment No. 2 to the Credit Agreement originally dated March 8, 2021. Following entry into Amendment No. 2 to the Credit Agreement, the Credit Agreement consists of a $50.7 million term loan (the "Term Loan A Facility") and a revolving credit facility with $100.0 maximum borrowing capacity (the “Revolving Credit Facility”), with a maturity date of August 8, 2028. As of June 30, 2026, we had $48.8 million of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3"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under our Term Loan A Facility, no borrowings outstanding, $6.2 million of letters of credit issued, and $93.8 million of remaining capacity under our Revolving Credit Facility.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borrowing capacity under the Revolving Credit Facility is subject to (i) any issued amounts under our letters of credit and (ii) applicable covenant compliance restrictions and any other conditions precedent to borrowing. Principal on the Term Loan A Facility is paid each calendar quarter in an amount equal to 1.25% of the initial term loan on closing date.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principal amounts under the Credit Agreement accrue interest at a variable interest rate. As of June 30, 2026, the interest rate was 6.15%. Under the terms of the Credit Agreement, the Revolving Credit Facility accrues a fee for unused commitments at 0.50% of the average daily unused amount and is paid quarterly.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more information about our debt, see Note 7 “Long-term Debt” to our consolidated financial statements included in this Annual Report.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material cash requirements from known contractual and other obligations primarily relate to long-term debt and lease obligations. Expected timing of those payments as of June 30, 2026 was as follows: </w:t>
      </w:r>
    </w:p>
    <w:tbl>
      <w:tblPr>
        <w:tblW w:w="7079" w:type="dxa"/>
        <w:jc w:val="left"/>
        <w:tblInd w:w="0" w:type="dxa"/>
        <w:tblLayout w:type="fixed"/>
        <w:tblCellMar>
          <w:top w:w="28" w:type="dxa"/>
          <w:left w:w="28" w:type="dxa"/>
          <w:bottom w:w="28" w:type="dxa"/>
          <w:right w:w="28" w:type="dxa"/>
        </w:tblCellMar>
      </w:tblPr>
      <w:tblGrid>
        <w:gridCol w:w="949"/>
        <w:gridCol w:w="835"/>
        <w:gridCol w:w="841"/>
        <w:gridCol w:w="211"/>
        <w:gridCol w:w="721"/>
        <w:gridCol w:w="109"/>
        <w:gridCol w:w="109"/>
        <w:gridCol w:w="109"/>
        <w:gridCol w:w="109"/>
        <w:gridCol w:w="255"/>
        <w:gridCol w:w="873"/>
        <w:gridCol w:w="132"/>
        <w:gridCol w:w="109"/>
        <w:gridCol w:w="109"/>
        <w:gridCol w:w="109"/>
        <w:gridCol w:w="291"/>
        <w:gridCol w:w="996"/>
        <w:gridCol w:w="212"/>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Beyond 12 Months</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(excluding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 (excluding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79,576 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substantially all available funds and any future earnings to fund the development and growth of our business, to repay indebtedness, and to repurchase shares, if such repurchases are approved by our Board in the future. We do not anticipate paying any cash dividends in the foreseeable future.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Statements of Cash Flows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statements of cash flows for the year ended June 30, 2026 and 2025 are summarized as follows:</w:t>
      </w:r>
    </w:p>
    <w:tbl>
      <w:tblPr>
        <w:tblW w:w="7871" w:type="dxa"/>
        <w:jc w:val="left"/>
        <w:tblInd w:w="0" w:type="dxa"/>
        <w:tblLayout w:type="fixed"/>
        <w:tblCellMar>
          <w:top w:w="28" w:type="dxa"/>
          <w:left w:w="28" w:type="dxa"/>
          <w:bottom w:w="28" w:type="dxa"/>
          <w:right w:w="28" w:type="dxa"/>
        </w:tblCellMar>
      </w:tblPr>
      <w:tblGrid>
        <w:gridCol w:w="1466"/>
        <w:gridCol w:w="1289"/>
        <w:gridCol w:w="1294"/>
        <w:gridCol w:w="211"/>
        <w:gridCol w:w="721"/>
        <w:gridCol w:w="109"/>
        <w:gridCol w:w="109"/>
        <w:gridCol w:w="109"/>
        <w:gridCol w:w="109"/>
        <w:gridCol w:w="211"/>
        <w:gridCol w:w="721"/>
        <w:gridCol w:w="109"/>
        <w:gridCol w:w="109"/>
        <w:gridCol w:w="109"/>
        <w:gridCol w:w="109"/>
        <w:gridCol w:w="211"/>
        <w:gridCol w:w="721"/>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Our primary source of liquidity is cash provided by operating activities, consisting of net income adjusted for non-cash items and changes in working capital. The change in net cash provided by operating activities was primarily due to a $23.6 million increase in net loss adjusted for non-cash items and a $8.2 million increase in working capital.</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 xml:space="preserve">The increase in net cash used in investing activities was primarily due to a $8.0 million increase in purchases of property and equipment to support growth.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xml:space="preserve">The decrease in net cash used in financing activities was primarily due a $7.3 million decrease in cash used for share repurchases and a $2.6 million increase in cash provided from other financing activities, partially offset by a $9.4 million net increase in cash used for debt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4"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Smaller Reporting Company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qualify as a "smaller reporting company" as defined by the Exchange Act, based on the aggregate worldwide market value of common equity securities held by non-affiliates measured as of the last business day of our most recently completed second fiscal quarter.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may take advantage of certain reduced reporting requirements that are otherwise applicable to public companies. These provisions include, but are not limited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requirement to present only two years of audited financial statements and related discussion in the section titled "Management's Discussion and Analysis of Financial Condition and Results of Operations";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reduced disclosure obligations regarding executive compensation in our periodic reports, proxy statements and registration statements.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the information that we provide to our stockholders may be different than you might receive from other public reporting companies in which you hold equity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consolidated financial statements included in this Annual Report,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included in this Annual Report and the reported amounts of revenues and expenses during the reporting period. Actual results may differ from these estimates under different assumptions or conditions, impacting our reported results of operations and financial condition.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more detail in Note 2 “Summary of Significant Accounting Policies” to our consolidated financial statements included in this Annual Report,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 included in this Annual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We recognize revenue in accordance with Accounting Standards Codification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We provide comprehensive healthcare services to participants on the basis of estimated PMPM amounts we expect to be entitled to receive from the capitated fees per participant that are paid monthly by Medicare, Medicaid, the VA, and private pay sources. We recognize capitation revenues based on the estimated PMPM transaction price to transfer the service for a distinct increment of the series (i.e. month). We recognize revenue in the month in which participants are entitled to receive comprehensive care benefits during the contract term. Medicaid and Medicare capitation revenues are based on PMPM capitation rates under the PACE program, and Medicare rates can fluctuate throughout the contract based on the acuity of each individual participant. In certain contracts, PMPM rates also include “risk adjustments” based on various factors. For additional information see Note 3 “Revenue Recognition” to the consolidated financial statements included in this Annual Report.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For certain capitation payments, the Company is subject to risk adjustments reconciliations based on various factors. Specifically, there is a midyear true up payment based on updated risk score calculations and a final true up payment to allow for complete diagnosis submission. The Company estimates the amount of the adjustment based on historical experience. Such estimates are then recorded monthly on a straight-line basis over the periods for which they pertain. </w:t>
      </w:r>
      <w:r>
        <w:rPr>
          <w:rFonts w:ascii="Times New Roman;serif" w:hAnsi="Times New Roman;serif"/>
          <w:b w:val="false"/>
          <w:color w:val="000000"/>
          <w:sz w:val="20"/>
          <w:shd w:fill="FFFFFF" w:val="clear"/>
        </w:rPr>
        <w:t xml:space="preserve">We review our assumptions and adjust these estimates as needed, but no less than twice a year. </w:t>
      </w:r>
      <w:r>
        <w:rPr>
          <w:rFonts w:ascii="Times New Roman;serif" w:hAnsi="Times New Roman;serif"/>
          <w:b w:val="false"/>
          <w:color w:val="000000"/>
          <w:sz w:val="20"/>
        </w:rPr>
        <w:t>These adjustments are not expected to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5"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third-party payor contracts include a Medicare Part D payment related to pharmacy claims, which is subject to risk sharing through accepted risk corridor provisions. Under certain agreements the fund risk allocation is established whereby we, as the contract provider, receive only a portion of the risk and the associated surplus or deficit. We estimate and recognize an adjustment monthly to Part D capitation revenues related to these risk corridor provisions based upon pharmacy claims experience to date, as if the annual risk contract were to terminate at the end of the reporting period.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consideration paid over the fair value of net assets acquired through business acquisitions. The Company does not amortize goodwill but tests it for impairment at least annually or when an interim triggering event has occurred indicating potential impairment. Our annual test is performed on April 1, the first day of the fourth quarter. Our impairment evaluations represent a critical accounting policy as they require significant judgments and assumptions that we believe to be reasonable but that are inherently uncertain and unpredictable.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of goodwill is evaluated at the reporting unit level. A reporting unit is defined as an operating segment (i.e. before aggregation or combination), or one level below an operating segment (i.e. a component). For purposes of the annual goodwill impairment assessment, the Company has identified two reporting units, East and West.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performing our annual test for impairment, we may assess goodwill for potential impairment using either a qualitative or quantitative assessment. The qualitative assessment may evaluate factors such as a significant change in the business climate, legal factors, operating performance indicators, competition, sale, disposition of a significant portion of the business, or other factors. If we determine that it is more likely than not that the fair value of a reporting unit is less than its carrying value, a quantitative assessment is performed. For the quantitative assessment, we compare the estimated fair value of the reporting unit with their respective carrying value, including the goodwill assigned to the reporting unit. The quantitative assessment uses a combination of an income approach (discounted cash flow analysis), a cost approach, and a market approach to estimate the fair value of each reporting unit. If carrying value of the reporting unit exceeds its estimated fair value, an impairment charge is recorded.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a qualitative assessment of goodwill as of April 1, 2026, and concluded that it was not more likely than not that the fair value of either reporting unit was less than its carrying value. Accordingly, no quantitative impairment test was required, and no goodwill impairment was recorded during the years ended June 30, 2026 and 2025.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Reported and estimated claims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Reported and estimated claims represent costs for medical care services provided to our participants by third-party healthcare providers that we are contractually obligated to pay under our full-risk capitation arrangements. The liability for reported and estimated claims is included in our consolidated balance sheets and reflects our best estimate of amounts owed for both claims received and processed and claims incurred but not yet reported (“IBNR”).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Estimating this liability requires significant judgment and involves consideration of multiple factors, including the utilization of healthcare services, historical payment patterns, cost trends, and other factors. Given the inherent uncertainty in these factors, actual claims experience may differ from our estimates.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assess our claims liability estimates on at least a quarterly basis with the assistance of an independent actuarial expert to ensure our estimates reflect the best available data at each reporting date. We have recorded a reported and estimated claims liability of $56.9 million and $59.0 million as of June 30, 2026 and 2025, respectively. Our recorded medical claims expense estimate has historically been within approximately +/- 5-10% of actual medical claims incurred; however, this variance represents less than 1% of total operating expense, reflecting the relative stability and predictability of our claims experience over time.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information about incurred and paid claims reporting and development as of June 30, 2026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 actual incurred claims table represents the actual amount of claims incurred by the Company with the benefit of the passage of time. The cumulative actual paid claims table represents the actual amount of claims paid by the Company during the period. The variance between the expense recorded and the cumulative actual incurred claims ranges between approximately 1% and 3% of actual total incurred claims over the periods presented, and such variance may vary based on the factors described above in this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6"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9123" w:type="dxa"/>
        <w:jc w:val="left"/>
        <w:tblInd w:w="0" w:type="dxa"/>
        <w:tblLayout w:type="fixed"/>
        <w:tblCellMar>
          <w:top w:w="28" w:type="dxa"/>
          <w:left w:w="28" w:type="dxa"/>
          <w:bottom w:w="28" w:type="dxa"/>
          <w:right w:w="28" w:type="dxa"/>
        </w:tblCellMar>
      </w:tblPr>
      <w:tblGrid>
        <w:gridCol w:w="739"/>
        <w:gridCol w:w="648"/>
        <w:gridCol w:w="65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Expenses Recorded for the Fiscal Years Ended 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Claims incurred year: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365,304 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48" w:type="dxa"/>
        <w:jc w:val="left"/>
        <w:tblInd w:w="0" w:type="dxa"/>
        <w:tblLayout w:type="fixed"/>
        <w:tblCellMar>
          <w:top w:w="28" w:type="dxa"/>
          <w:left w:w="28" w:type="dxa"/>
          <w:bottom w:w="28" w:type="dxa"/>
          <w:right w:w="28" w:type="dxa"/>
        </w:tblCellMar>
      </w:tblPr>
      <w:tblGrid>
        <w:gridCol w:w="821"/>
        <w:gridCol w:w="719"/>
        <w:gridCol w:w="72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Cumulative Actual Incurred Claims for the Fiscal Year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Claims incurred year: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1,538,551 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Cumulative Actual Paid Claims for the Fiscal Year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Claims incurred year: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FY 2026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1,482,413 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claims-related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and estimated claims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56,864 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See Note 2 to our consolidated financial statements “Summary of Significant Accounting Policies—</w:t>
      </w:r>
      <w:r>
        <w:rPr>
          <w:rFonts w:ascii="Times New Roman;serif" w:hAnsi="Times New Roman;serif"/>
          <w:b w:val="false"/>
          <w:i/>
          <w:color w:val="000000"/>
          <w:sz w:val="20"/>
        </w:rPr>
        <w:t>Recently Adopted Accounting Pronouncements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 xml:space="preserve">Recent Accounting Pronouncements Not Yet Adopted”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interest rates. We do not hold financial instruments for trading purposes.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total outstanding borrowings of $48.8 million principal amount under the Term Loan Facility (as defined in Note 7 to the consolidated financial statements included in this Annual Report). As of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67"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had total outstanding debt of $60.0 million in principal amount under the Term Loan Facility. As of June 30, 2026 and 2025, the interest rate on the Term Loan Facility was 6.13% and 7.18%, respectively.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interest rates as a result of our variable-rate borrowings under the Credit Agreement. Generally, the Company may designate specific borrowings under the Credit Agreement as either base rate borrowings or Secured Overnight Financing Rate (“SOFR”) borrowings. As of June 30, 2026, based on our secured net leverage ratio, the margins of our borrowings under the Term Loan Facility were (a) 1.50% for alternate base rate borrowings and (b) 2.50% for Term SOFR borrowings.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and interest payments in respect of our debt are subject to market risk due to changes in interest rates. We had cash and cash equivalents of $97.9 million as of June 30, 2026, which are deposited with high credit quality financial institutions and are primarily in demand deposit accounts. We do not believe that an increase or decrease in interest rates of 100 basis points would have a material effect on our business, financial condition or results of operations.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short-term investments $43.4 million and $41.8 million as of June 30, 2026 and 2025,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(a)Index to Consolidated Financial Statements</w:t>
      </w:r>
    </w:p>
    <w:tbl>
      <w:tblPr>
        <w:tblW w:w="8067" w:type="dxa"/>
        <w:jc w:val="left"/>
        <w:tblInd w:w="0" w:type="dxa"/>
        <w:tblLayout w:type="fixed"/>
        <w:tblCellMar>
          <w:top w:w="28" w:type="dxa"/>
          <w:left w:w="28" w:type="dxa"/>
          <w:bottom w:w="28" w:type="dxa"/>
          <w:right w:w="28" w:type="dxa"/>
        </w:tblCellMar>
      </w:tblPr>
      <w:tblGrid>
        <w:gridCol w:w="2786"/>
        <w:gridCol w:w="2447"/>
        <w:gridCol w:w="2462"/>
        <w:gridCol w:w="109"/>
        <w:gridCol w:w="109"/>
        <w:gridCol w:w="154"/>
      </w:tblGrid>
      <w:tr>
        <w:trPr/>
        <w:tc>
          <w:tcPr>
            <w:tcW w:w="2786"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e9d346baee346229380c42074ada2e5_8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34)</w:t>
            </w:r>
          </w:p>
        </w:tc>
        <w:tc>
          <w:tcPr>
            <w:tcW w:w="37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pPr>
            <w:hyperlink w:anchor="i8e9d346baee346229380c42074ada2e5_85">
              <w:r>
                <w:rPr>
                  <w:rStyle w:val="InternetLink"/>
                  <w:rFonts w:ascii="Times New Roman;serif" w:hAnsi="Times New Roman;serif"/>
                  <w:b w:val="false"/>
                  <w:strike w:val="false"/>
                  <w:dstrike w:val="false"/>
                  <w:color w:val="000000"/>
                  <w:sz w:val="20"/>
                  <w:u w:val="none"/>
                  <w:effect w:val="none"/>
                </w:rPr>
                <w:t>64</w:t>
              </w:r>
            </w:hyperlink>
          </w:p>
        </w:tc>
      </w:tr>
      <w:tr>
        <w:trPr/>
        <w:tc>
          <w:tcPr>
            <w:tcW w:w="7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e9d346baee346229380c42074ada2e5_88">
              <w:r>
                <w:rPr>
                  <w:rStyle w:val="InternetLink"/>
                  <w:rFonts w:ascii="Times New Roman;serif" w:hAnsi="Times New Roman;serif"/>
                  <w:b w:val="false"/>
                  <w:color w:val="0000FF"/>
                  <w:sz w:val="20"/>
                  <w:u w:val="single"/>
                </w:rPr>
                <w:t>Consolidated Balance Sheets as of June 30, 2026 and 2025</w:t>
              </w:r>
            </w:hyperlink>
          </w:p>
        </w:tc>
        <w:tc>
          <w:tcPr>
            <w:tcW w:w="37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pPr>
            <w:hyperlink w:anchor="i8e9d346baee346229380c42074ada2e5_88">
              <w:r>
                <w:rPr>
                  <w:rStyle w:val="InternetLink"/>
                  <w:rFonts w:ascii="Times New Roman;serif" w:hAnsi="Times New Roman;serif"/>
                  <w:b w:val="false"/>
                  <w:strike w:val="false"/>
                  <w:dstrike w:val="false"/>
                  <w:color w:val="000000"/>
                  <w:sz w:val="20"/>
                  <w:u w:val="none"/>
                  <w:effect w:val="none"/>
                </w:rPr>
                <w:t>66</w:t>
              </w:r>
            </w:hyperlink>
          </w:p>
        </w:tc>
      </w:tr>
      <w:tr>
        <w:trPr/>
        <w:tc>
          <w:tcPr>
            <w:tcW w:w="7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e9d346baee346229380c42074ada2e5_91">
              <w:r>
                <w:rPr>
                  <w:rStyle w:val="InternetLink"/>
                  <w:rFonts w:ascii="Times New Roman;serif" w:hAnsi="Times New Roman;serif"/>
                  <w:b w:val="false"/>
                  <w:color w:val="0000FF"/>
                  <w:sz w:val="20"/>
                  <w:u w:val="single"/>
                </w:rPr>
                <w:t>Consolidated Statements of Operations for the years ended June 30, 2026 and 2025</w:t>
              </w:r>
            </w:hyperlink>
          </w:p>
        </w:tc>
        <w:tc>
          <w:tcPr>
            <w:tcW w:w="37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pPr>
            <w:hyperlink w:anchor="i8e9d346baee346229380c42074ada2e5_91">
              <w:r>
                <w:rPr>
                  <w:rStyle w:val="InternetLink"/>
                  <w:rFonts w:ascii="Times New Roman;serif" w:hAnsi="Times New Roman;serif"/>
                  <w:b w:val="false"/>
                  <w:strike w:val="false"/>
                  <w:dstrike w:val="false"/>
                  <w:color w:val="000000"/>
                  <w:sz w:val="20"/>
                  <w:u w:val="none"/>
                  <w:effect w:val="none"/>
                </w:rPr>
                <w:t>67</w:t>
              </w:r>
            </w:hyperlink>
          </w:p>
        </w:tc>
      </w:tr>
      <w:tr>
        <w:trPr/>
        <w:tc>
          <w:tcPr>
            <w:tcW w:w="7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e9d346baee346229380c42074ada2e5_94">
              <w:r>
                <w:rPr>
                  <w:rStyle w:val="InternetLink"/>
                  <w:rFonts w:ascii="Times New Roman;serif" w:hAnsi="Times New Roman;serif"/>
                  <w:b w:val="false"/>
                  <w:color w:val="0000FF"/>
                  <w:sz w:val="20"/>
                  <w:u w:val="single"/>
                </w:rPr>
                <w:t>Consolidated Statements of Stockholders’ Equity for the years ended June 30, 2026 and 2025</w:t>
              </w:r>
            </w:hyperlink>
          </w:p>
        </w:tc>
        <w:tc>
          <w:tcPr>
            <w:tcW w:w="37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pPr>
            <w:hyperlink w:anchor="i8e9d346baee346229380c42074ada2e5_94">
              <w:r>
                <w:rPr>
                  <w:rStyle w:val="InternetLink"/>
                  <w:rFonts w:ascii="Times New Roman;serif" w:hAnsi="Times New Roman;serif"/>
                  <w:b w:val="false"/>
                  <w:strike w:val="false"/>
                  <w:dstrike w:val="false"/>
                  <w:color w:val="000000"/>
                  <w:sz w:val="20"/>
                  <w:u w:val="none"/>
                  <w:effect w:val="none"/>
                </w:rPr>
                <w:t>68</w:t>
              </w:r>
            </w:hyperlink>
          </w:p>
        </w:tc>
      </w:tr>
      <w:tr>
        <w:trPr/>
        <w:tc>
          <w:tcPr>
            <w:tcW w:w="7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e9d346baee346229380c42074ada2e5_97">
              <w:r>
                <w:rPr>
                  <w:rStyle w:val="InternetLink"/>
                  <w:rFonts w:ascii="Times New Roman;serif" w:hAnsi="Times New Roman;serif"/>
                  <w:b w:val="false"/>
                  <w:color w:val="0000FF"/>
                  <w:sz w:val="20"/>
                  <w:u w:val="single"/>
                </w:rPr>
                <w:t>Consolidated Statements of Cash Flows for the years ended June 30, 2026 and 2025</w:t>
              </w:r>
            </w:hyperlink>
          </w:p>
        </w:tc>
        <w:tc>
          <w:tcPr>
            <w:tcW w:w="37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pPr>
            <w:hyperlink w:anchor="i8e9d346baee346229380c42074ada2e5_97">
              <w:r>
                <w:rPr>
                  <w:rStyle w:val="InternetLink"/>
                  <w:rFonts w:ascii="Times New Roman;serif" w:hAnsi="Times New Roman;serif"/>
                  <w:b w:val="false"/>
                  <w:strike w:val="false"/>
                  <w:dstrike w:val="false"/>
                  <w:color w:val="000000"/>
                  <w:sz w:val="20"/>
                  <w:u w:val="none"/>
                  <w:effect w:val="none"/>
                </w:rPr>
                <w:t>69</w:t>
              </w:r>
            </w:hyperlink>
          </w:p>
        </w:tc>
      </w:tr>
      <w:tr>
        <w:trPr/>
        <w:tc>
          <w:tcPr>
            <w:tcW w:w="76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left"/>
              <w:rPr/>
            </w:pPr>
            <w:hyperlink w:anchor="i8e9d346baee346229380c42074ada2e5_100">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left"/>
              <w:rPr/>
            </w:pPr>
            <w:hyperlink w:anchor="i8e9d346baee346229380c42074ada2e5_100">
              <w:r>
                <w:rPr>
                  <w:rStyle w:val="InternetLink"/>
                  <w:rFonts w:ascii="Times New Roman;serif" w:hAnsi="Times New Roman;serif"/>
                  <w:b w:val="false"/>
                  <w:strike w:val="false"/>
                  <w:dstrike w:val="false"/>
                  <w:color w:val="000000"/>
                  <w:sz w:val="20"/>
                  <w:u w:val="none"/>
                  <w:effect w:val="non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68"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InnovAge Holding Corp.</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InnovAge Holding Corp. and subsidiaries (the "Company") as of June 30, 2026 and 2025, the related consolidated statements of operations, stockholder's equity, and cash flows, for each of the two years in the period ended June 30, 2026, and the related notes (collectively referred to as the "financial statements"). We also have audited the Company's internal control over financial reporting as of June 30, 2026, based on criteria established in Internal Control — Integrated Framework (2013) issued by the Committee of Sponsoring Organizations of the Treadway Commission (COSO).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financial statements referred to above present fairly, in all material respects, the financial position of the Company as of June 30, 2026 and 2025, and the results of its operations and its cash flows for each of the two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Internal Control — Integrated Framework (2013) issued by COSO.</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200" w:after="283"/>
        <w:jc w:val="both"/>
        <w:rPr/>
      </w:pPr>
      <w:r>
        <w:rPr>
          <w:rFonts w:ascii="Times New Roman;serif" w:hAnsi="Times New Roman;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w:t>
      </w:r>
      <w:r>
        <w:rPr>
          <w:color w:val="000000"/>
        </w:rPr>
        <w:t xml:space="preserve"> </w:t>
      </w:r>
      <w:r>
        <w:rPr>
          <w:rFonts w:ascii="Times New Roman;serif" w:hAnsi="Times New Roman;serif"/>
          <w:b w:val="false"/>
          <w:color w:val="000000"/>
          <w:sz w:val="20"/>
        </w:rPr>
        <w:t>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69"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Estimated Claims Liability – Refer to Note 2 to the Financial Statements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estimated claims are a liability to third-party healthcare service providers that provide medical care to participants for which the Company is contractually obligated to pay. The balance consists of estimates of claims incurred on or before June 30, 2026 that have not been reported to the Company by that date. The estimates are developed using actuarial methods and are based on many variables, including utilization of healthcare services, historical payment patterns, cost trends, and other factors. The complex estimation methods and the resulting liability are continually reviewed and updated, and any adjustments deemed necessary to contemplate new or updated information are reflected in current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identified the estimated claims liability as a critical audit matter because it requires significant management assumptions in estimating the liability. This required complex auditor judgment, and an increased extent of effort, including the involvement of actuarial specialists in performing procedures to evaluate the reasonableness of management's methods, assumptions, and judgments in developing estimates for the liability.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estimated claims liability included the following, among others: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tested the effectiveness of controls over the Company's actuarial process for estimating the liability for estimated claims, including the controls over the review of the actuarial assumptions within the reserve models.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tested the underlying claims and participant data and other information that served as the basis for the actuarial analysis, to test that the inputs to the actuarial estimate were complete and accurate.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With the assistance of actuarial specialists, we evaluated the reasonableness of the actuarial methods and assumptions used by management to estimate the liability for estimated claims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Performing an overlay of the historical claims data used in management's current year model to the data used in prior periods to validate that there were no material changes to the claims data tested in prior periods.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Developing an independent estimate of the estimated claims liability for these services and comparing our estimate to management's estimate.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Performing a retrospective review comparing management's prior year estimate of the liability for estimated claims to claims processed in the current year with dates of service in prior years.</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Denver, CO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September 8,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0"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75"/>
        <w:gridCol w:w="2378"/>
        <w:gridCol w:w="2396"/>
        <w:gridCol w:w="196"/>
        <w:gridCol w:w="736"/>
        <w:gridCol w:w="109"/>
        <w:gridCol w:w="109"/>
        <w:gridCol w:w="109"/>
        <w:gridCol w:w="109"/>
        <w:gridCol w:w="196"/>
        <w:gridCol w:w="736"/>
        <w:gridCol w:w="156"/>
      </w:tblGrid>
      <w:tr>
        <w:trPr/>
        <w:tc>
          <w:tcPr>
            <w:tcW w:w="2975"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176,108 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350,743 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526,851 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and estimated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Due to Medicaid and Medicare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164,807 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263,943 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(See Note 9)</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Redeemable Noncontrolling Interest (See Note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500,000,000 authorized as of each of June 30, 2026 and 2025; 137,483,028 issued and 136,020,049 outstanding as of June 30, 2026 and 136,903,271 issued and 135,440,292 outstanding as of June 30,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1,462,979 and 1,462,979 shares as of June 30, 2026 and June 30,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InnovAge Holding Corp.</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234,968 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237,898 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557,393 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526,851 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1"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bl>
      <w:tblPr>
        <w:tblW w:w="8621" w:type="dxa"/>
        <w:jc w:val="left"/>
        <w:tblInd w:w="0" w:type="dxa"/>
        <w:tblLayout w:type="fixed"/>
        <w:tblCellMar>
          <w:top w:w="28" w:type="dxa"/>
          <w:left w:w="28" w:type="dxa"/>
          <w:bottom w:w="28" w:type="dxa"/>
          <w:right w:w="28" w:type="dxa"/>
        </w:tblCellMar>
      </w:tblPr>
      <w:tblGrid>
        <w:gridCol w:w="2081"/>
        <w:gridCol w:w="1821"/>
        <w:gridCol w:w="1843"/>
        <w:gridCol w:w="228"/>
        <w:gridCol w:w="893"/>
        <w:gridCol w:w="117"/>
        <w:gridCol w:w="117"/>
        <w:gridCol w:w="117"/>
        <w:gridCol w:w="117"/>
        <w:gridCol w:w="228"/>
        <w:gridCol w:w="893"/>
        <w:gridCol w:w="166"/>
      </w:tblGrid>
      <w:tr>
        <w:trPr/>
        <w:tc>
          <w:tcPr>
            <w:tcW w:w="208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987,089 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883,460 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(29,761)</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cost and equity method investments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InnovAge Holding Corp.</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color w:val="000000"/>
                <w:sz w:val="20"/>
              </w:rPr>
              <w:t>Weighted-average number of common</w:t>
            </w:r>
            <w:r>
              <w:rPr>
                <w:color w:val="000000"/>
              </w:rPr>
              <w:t xml:space="preserve"> </w:t>
            </w:r>
            <w:r>
              <w:rPr>
                <w:rFonts w:ascii="Times New Roman;serif" w:hAnsi="Times New Roman;serif"/>
                <w:b/>
                <w:color w:val="000000"/>
                <w:sz w:val="20"/>
              </w:rPr>
              <w:t>shares outstanding - basic</w:t>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135,698,603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135,387,555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color w:val="000000"/>
                <w:sz w:val="20"/>
              </w:rPr>
              <w:t>Weighted-average number of common</w:t>
            </w:r>
            <w:r>
              <w:rPr>
                <w:color w:val="000000"/>
              </w:rPr>
              <w:t xml:space="preserve"> </w:t>
            </w:r>
            <w:r>
              <w:rPr>
                <w:rFonts w:ascii="Times New Roman;serif" w:hAnsi="Times New Roman;serif"/>
                <w:b/>
                <w:color w:val="000000"/>
                <w:sz w:val="20"/>
              </w:rPr>
              <w:t>shares outstanding - diluted</w:t>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135,698,603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135,387,555</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per share - basic</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per share - 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2"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tbl>
      <w:tblPr>
        <w:tblW w:w="14474" w:type="dxa"/>
        <w:jc w:val="left"/>
        <w:tblInd w:w="0" w:type="dxa"/>
        <w:tblLayout w:type="fixed"/>
        <w:tblCellMar>
          <w:top w:w="28" w:type="dxa"/>
          <w:left w:w="28" w:type="dxa"/>
          <w:bottom w:w="28" w:type="dxa"/>
          <w:right w:w="28" w:type="dxa"/>
        </w:tblCellMar>
      </w:tblPr>
      <w:tblGrid>
        <w:gridCol w:w="648"/>
        <w:gridCol w:w="253"/>
        <w:gridCol w:w="255"/>
        <w:gridCol w:w="334"/>
        <w:gridCol w:w="334"/>
        <w:gridCol w:w="338"/>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435"/>
        <w:gridCol w:w="436"/>
        <w:gridCol w:w="196"/>
        <w:gridCol w:w="109"/>
        <w:gridCol w:w="109"/>
        <w:gridCol w:w="109"/>
        <w:gridCol w:w="196"/>
        <w:gridCol w:w="571"/>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196"/>
        <w:gridCol w:w="661"/>
        <w:gridCol w:w="109"/>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 xml:space="preserve">Earnings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Permanent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Redeemable </w:t>
              <w:br/>
              <w:t xml:space="preserve">Noncontrolling Interests </w:t>
              <w:b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Loss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4"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share amounts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June 30, 2024</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136,116,299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277,608 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1,156,941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7,619 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the net share settlements of stock-based compensation awards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 at cost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(1,426,420)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1,426,420 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for redeemable noncontrolling interests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June 30,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135,440,292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237,898 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25,010 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861,246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the net share settlements of stock-based compensation awards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joint venture partner</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joint venture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for redeemable noncontrolling interests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June 30, 2026</w:t>
            </w:r>
          </w:p>
        </w:tc>
        <w:tc>
          <w:tcPr>
            <w:tcW w:w="10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136,020,049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(105,758)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238,763 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30,013 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3"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884"/>
        <w:gridCol w:w="2480"/>
        <w:gridCol w:w="2499"/>
        <w:gridCol w:w="196"/>
        <w:gridCol w:w="646"/>
        <w:gridCol w:w="109"/>
        <w:gridCol w:w="109"/>
        <w:gridCol w:w="109"/>
        <w:gridCol w:w="109"/>
        <w:gridCol w:w="196"/>
        <w:gridCol w:w="713"/>
        <w:gridCol w:w="155"/>
      </w:tblGrid>
      <w:tr>
        <w:trPr/>
        <w:tc>
          <w:tcPr>
            <w:tcW w:w="288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7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uncollectible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rentals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cost and equity method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Impairments and loss on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and estimated claims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Due to Medicaid and Medicare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short-term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dissolution of equity method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(5,550)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finance lease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joint venture partner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joint venture partner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settlements of stock-based compensation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(19,082)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Net change in cash, cash equivalents and restricted cash including cash of $0.08 million reclassified to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Less: change in cash and restricted cash reclassified to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INCREASE IN CASH, CASH EQUIVALENTS &amp;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CASH EQUIVALENTS &amp;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CASH EQUIVALENTS &amp;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Cash Flows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4"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6024" w:type="dxa"/>
        <w:jc w:val="left"/>
        <w:tblInd w:w="0" w:type="dxa"/>
        <w:tblLayout w:type="fixed"/>
        <w:tblCellMar>
          <w:top w:w="28" w:type="dxa"/>
          <w:left w:w="28" w:type="dxa"/>
          <w:bottom w:w="28" w:type="dxa"/>
          <w:right w:w="28" w:type="dxa"/>
        </w:tblCellMar>
      </w:tblPr>
      <w:tblGrid>
        <w:gridCol w:w="1421"/>
        <w:gridCol w:w="1250"/>
        <w:gridCol w:w="1259"/>
        <w:gridCol w:w="196"/>
        <w:gridCol w:w="556"/>
        <w:gridCol w:w="109"/>
        <w:gridCol w:w="109"/>
        <w:gridCol w:w="109"/>
        <w:gridCol w:w="109"/>
        <w:gridCol w:w="196"/>
        <w:gridCol w:w="55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purchased under capital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5"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40" w:after="283"/>
        <w:jc w:val="center"/>
        <w:rPr/>
      </w:pPr>
      <w:r>
        <w:rPr>
          <w:rFonts w:ascii="Times New Roman;serif" w:hAnsi="Times New Roman;serif"/>
          <w:b/>
          <w:color w:val="000000"/>
          <w:sz w:val="20"/>
        </w:rPr>
        <w:t>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1: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InnovAge Holding Corp. and its subsidiaries (“InnovAge” or the “Company”), are headquartered in Denver, Colorado. The purpose of the Company’s participant-centered care delivery approach is to improve the quality of care the Company’s participants receive, while keeping them in their homes for as long as safely possible. Through the Company’s Program of All-Inclusive Care for the Elderly (“PACE”),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including pharmacy services. The Company manages its business as one reportable segment, PACE.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served approximately 8,230 PACE participants, making it the largest PACE provider in the United States of America (the U.S.) based upon participants served, and operated 20 PACE centers across California, Colorado, Florida, New Mexico, Pennsylvania and Virginia.</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PACE is a fully-capitated managed care program, which serves the frail elderly, and predominantly dual-eligible, population in a community-based service model. The Company defines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common stock is traded on the Nasdaq Stock Market LLC (“NASDAQ”) under the ticker symbol “INNV”.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Preparation and Principles of Consolidation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accounting principles generally accepted in the U.S. (“GAAP”). The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have any components of comprehensive income (loss) and comprehensive income (loss) is equal to net income (loss) reported in the statements of operations for all periods presented.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judgments that affect the reported amounts of assets and liabilities and disclosure of contingent assets and liabilities at the date of the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accounting estimates involve significant judgments and assumptions by management that have a material impact on the carrying value of assets and liabilities and the recognition of income and expenses. The estimates and assumptions used by management are based on historical experience and other factors believed to be reasonable under the circumstances. Estimates are used in accounting for, among other things, revenue recognition, including risk-score adjustments and Part D risk corridor provisions related to participant revenues; reported and estimated claims, including claims incurred but not yet reported (IBNR); and the valuation and impairment of goodwill and intangible assets.</w:t>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6"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financial instruments issued by major financial institutions that have an original maturity of less than three months. Amounts are reported in the consolidated balance sheets at cost, which approximates fair value.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and cash equivalents are deposited with high credit quality financial institutions and are primarily in demand deposit accounts. The FDIC insurance coverage is $250,000 on the aggregate of interest bearing and non-interest bearing accounts. The Company has not experienced losses on these accounts and management believes, based upon the quality of the financial institutions, that the credit risk with regard to these deposits is not significant.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Short-term investments consist of investments in managed income fund securities managed by major financial institutions. These securities are measured at fair value on a recurring basis with changes in fair value recognized in earnings. The estimated fair value of the short-term investments is valued using quoted market prices in active markets and classified as Level 1 of the fair value hierarchy. Dividend income is reported within other income (expense) in the Company’s consolidated statements of operations. Dividends received are reinvested in fund securities. We may sell these securities at any time for use in current operations. As a result, we classify our short-term investments as current assets on the Company’s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includes cash held for participants who have established a personal-needs account to pay for nonmedical personal expenses, payment of which only occurs upon participant authorization, in the amount of approximately $0.01 million as of each June 30, 2026 and 2025. The Company records a related deposit liability for any participant contributions to these personal-needs accounts in accounts payable and accrued expenses in the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comprehensive healthcare services to participants on the basis of capitated or fixed fees per participant that are paid monthly by Medicare, Medicaid, the VA, and private pay sources. 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See additional information in Note 3 “Revenue Recognition.”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less accumulated depreciation and amortization. Depreciation and amortization are recorded using the straight-line method over the shorter of estimated useful lives or lease terms, if the assets are being leased.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were comprised of the following as of June 30:</w:t>
      </w:r>
    </w:p>
    <w:tbl>
      <w:tblPr>
        <w:tblW w:w="8179" w:type="dxa"/>
        <w:jc w:val="left"/>
        <w:tblInd w:w="0" w:type="dxa"/>
        <w:tblLayout w:type="fixed"/>
        <w:tblCellMar>
          <w:top w:w="28" w:type="dxa"/>
          <w:left w:w="28" w:type="dxa"/>
          <w:bottom w:w="28" w:type="dxa"/>
          <w:right w:w="28" w:type="dxa"/>
        </w:tblCellMar>
      </w:tblPr>
      <w:tblGrid>
        <w:gridCol w:w="1466"/>
        <w:gridCol w:w="1288"/>
        <w:gridCol w:w="1295"/>
        <w:gridCol w:w="379"/>
        <w:gridCol w:w="379"/>
        <w:gridCol w:w="381"/>
        <w:gridCol w:w="109"/>
        <w:gridCol w:w="109"/>
        <w:gridCol w:w="109"/>
        <w:gridCol w:w="211"/>
        <w:gridCol w:w="826"/>
        <w:gridCol w:w="109"/>
        <w:gridCol w:w="109"/>
        <w:gridCol w:w="109"/>
        <w:gridCol w:w="109"/>
        <w:gridCol w:w="211"/>
        <w:gridCol w:w="82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10 - 40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vehicles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266,807 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168,044 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of $20.5 million and $18.8 million was recorded during the fiscal years ended June 30, 2026 and 2025, respectively. Land is not depreciated, and construction in progress is not depreciated until ready for service.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77"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enhancements or modifications that substantially extend the capacity or useful life of an asset are capitalized and depreciated accordingly. Ordinary repairs and maintenance are expensed as incurred.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property and equipment are retired or otherwise disposed of, the cost and accumulated depreciation are removed from the consolidated balance sheets, and the resulting gain or loss, if any, is reflected in the consolidated statements of operations. Long-lived assets are evaluated for impairment whenever events or changes in circumstances indicate the carrying value of an asset may not be recoverable. The Company recorded a $2.6 million and $7.1 million impairment of construction in progress during the fiscal years ended June 30, 2026 and June 30, 2025, respectively, related to halting developments to previously planned de novo centers in Downey, California and Louisville, Kentucky, respectively, that the Company is no longer pursuing.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Cloud Computing Arrangements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various cloud computing arrangements (“CCAs”) that are governed by service contracts (hosting arrangements) to support operations. Application development stage implementation costs (implementation costs) of a hosting arrangement are deferred and recorded to prepaid expenses and other assets in the consolidated balance sheets. Implementation costs are expensed on a straight-line basis and recorded in Corporate, general and administrative expenses in the Company’s consolidated statements of operations over the term of the hosting arrangement, including reasonably certain renewals, which are generally one to three years.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method investments do not have a readily determinable fair value and are carried at cost, less impairment plus or minus any changes resulting from observable price changes in orderly transactions for the identical or similar investment of the same issuer.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equity method to account for investments in entities that it does not control, but in which it has the ability to exercise significant influence over operating and financial policies. The Company’s investments in these nonconsolidated entities are reflected in the Company’s consolidated balance sheets under the equity method, and the Company’s proportionate net income (loss), if any, is included in the Company’s consolidated statements of operations under the equity method.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its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During the fiscal year ended June 30, 2025, the Company recorded impairment charges of $2.6 million. There were no impairment charges recorded during the fiscal year ended June 30, 2026. See Note 4 “Investments” for more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consideration paid over the fair value of net assets acquired through business acquisitions. The Company does not amortize goodwill but tests it for impairment at least annually or when an interim triggering event has occurred indicating potential impairment. The Company’s annual test is performed on April 1, the first day of the fourth quarter. The Company’s impairment evaluations represent a critical accounting policy as they require significant judgments and assumptions that management believe to be reasonable but that are inherently uncertain and unpredictable.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Impairment of goodwill is evaluated at the reporting unit level. A reporting unit is defined as an operating segment (i.e. before aggregation or combination), or one level below an operating segment (i.e. a component). For purposes of the annual goodwill impairment assessment, the Company has identified two reporting units, East and West.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performing the Company’s annual test for impairment, management may assess goodwill for potential impairment using either a qualitative or quantitative assessment. The qualitative assessment may evaluate factors such as a significant change in the business climate, legal factors, operating performance indicators, competition, sale, disposition of a significant portion of the business, or other factors. If the Company determines that it is more likely than not that the fair value of a reporting unit is less than its carrying value, a quantitative assessment is performed. For the quantitative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78"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assessment, the Company compares the estimated fair value of the reporting unit with the respective carrying value, including the goodwill assigned to the reporting unit. The quantitative assessment uses a combination of an income approach (discounted cash flow analysis), a cost approach, and a market approach to estimate the fair value of each reporting unit. If carrying value of the reporting unit exceeds its estimated fair value, an impairment charge is recorded.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a qualitative assessment of goodwill as of April 1, 2026, and concluded that it was not more likely than not that the fair value of either reporting unit was less than its carrying value. Accordingly, no quantitative impairment test was required, and no goodwill impairment was recorded during the years ended June 30, 2026 and 2025.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primarily consist of customer relationships acquired through business acquisitions. 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2026 and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Reported and Estimated Claims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issuance costs incurred in connection with the issuance of long-term debt are presented as a direct deduction from the carrying amount of the related debt liability in the consolidated balance sheets. Debt issuance costs incurred in connection with the Company's revolving credit facility are recorded in Deposits and other in the consolidated balance sheets, as there may be no outstanding borrowings against which to offset such costs. All debt issuance costs are amortized over the term of the underlying debt using the straight-line method, as the difference between that method and the effective interest method is immaterial.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Company recognizes revenue in accordance with Accounting Standards Codification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w:t>
      </w:r>
      <w:r>
        <w:rPr>
          <w:rFonts w:ascii="Times New Roman;serif" w:hAnsi="Times New Roman;serif"/>
          <w:b w:val="false"/>
          <w:color w:val="000000"/>
          <w:sz w:val="20"/>
          <w:shd w:fill="FFFFFF" w:val="clear"/>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 Medicaid and Medicare capitation revenues are based on a per member, per month (“PMPM”) capitation rates under the PACE program. For a discussion of our revenue recognition policies, please see Note 3 “Revenue Recognition.”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sales and marketing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Total advertising expenses included in sales and marketing expenses were $8.3 million and $7.2 million for the fiscal years ended June 30, 2026 and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principal shareholder have long-term equity incentive plans that provide for stock-based compensation, including the granting of stock options, profits interests units and restricted stock units to employees, directors, consultants, or advisers, as determined by each of the respective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79"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the Black-Scholes option-pricing model to determine the fair value of the stock options on the date of grant. This model derives the fair value of the options based on certain assumptions related to expected stock price volatility, expected option life, risk-free interest rate, and dividend yield. The Company uses the Monte Carlo option model to determine the fair value of the granted profits interests units.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service-vesting awards (i.e., restricted stock units), we recognize stock-based compensation expense over the requisite service period, which is generally the vesting period of the respective award, on a straight-line basis. If the award was, in substance, multiple awards, we recognize stock-based compensation expense over the requisite service period for each separately vesting portion of the awards. For performance-vesting awards (i.e., performance stock units), we recognize stock-based compensation expense when it is probable that the performance condition will be achieved. We analyze if a performance condition is probable for each reporting period through the settlement date for awards subject to performance vesting. Stock-based compensation is included in corporate, general and administrative expenses on our consolidated statements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issued pursuant to our equity incentive plan are issued from authorized but unissued shares or from shares held by the Company as treasury stock, if any. See Note 10 “Stock-based Compensation.”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California PACE - Sacramento (“SCR”), InnovAge Florida PACE, LLC (“TMP”), and InnovAge Florida PACE II, LLC (“ORL) have elected to be taxed as partnerships, and no provision (benefit) for income taxes for SCR, TMP, or ORL is included in these consolidated financial statements. In addition, no provision (benefit) for income taxes for SH1 is included in the consolidated financial statements through the date of the Company’s sale of its partnership interest in SH1 on September 11, 2025.</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Variable Interest Entities (VIE)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VIE is defined as a legal entity whose equity owners do not have sufficient equity at risk or whose equity owners lack certain decision-making and economic rights. The primary beneficiary is identified as the variable interest holder that has both the power to direct the activities of the VIE that most significantly affect the entity’s economic performance and the obligation to absorb losses or the right to receive benefits from the entity. The primary beneficiary is required to consolidate the VIE. SH1 was considered a VIE. The Company was considered the primary beneficiary of SH1. 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 On September 11, 2025, the Company closed on the sale of the Company’s managing member interest in SH1 and the adjacent vacant land. The Company is no longer associated with any VIEs.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ASU 2023-09 requires public companies to annually (i) disclose specific categories in the rate reconciliation and provide additional information for reconciling items that meet a quantitative threshold, and (ii) disclose the amount of income taxes paid, disaggregated by federal, state, and foreign taxes, as well as by individual jurisdiction. The Company adopted ASU 2023-09 in its annual consolidated financial statements for the year ending June 30, 2026. As ASU 2023-09 relates solely to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0"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disclosures, adoption did not have a material impact on the Company's consolidated financial statements. The required disclosures are included in Note 12 “Income Taxes.”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ASU 2024-03 requires that each interim and annual reporting period, an entity disclose more information about the components of certain expense captions that is currently disclosed in the financial statements. As revised by ASU 2025-01,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xml:space="preserve">, the provisions of ASU 2024-03 are effective for annual reporting periods beginning after December 15, 2026, and interim periods within annual reporting periods beginning after December 15, 2027. Early adoption is permitted. The Company is currently evaluating the effects this guidance will have on its consolidated financial statements.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the applicability of the interim reporting guidance, the types of interim reporting, and the form and content of interim financial statements in accordance with U.S. GAAP.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reporting periods within annual reporting periods beginning after December 15, 2027. The Company is assessing the effect of this update on its consolidated financial statements and related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expect that any other recently issued accounting guidance will have a significant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Capitation Revenue and Accounts Receivable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PMPM basis. We receive 100% of the pooled capitated payment to directly provide or manage the healthcare needs of our participants.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consolidated balance sheets. These costs are amortized over a three-year period which corresponds to the average time a participant is enrolled in the PACE program. As of June 30, 2026 and 2025, contract assets included within prepaid expenses and other and deposits and other were $4.7 million and $2.2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1"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disaggregates capitation revenue from the following sources for the year ended June 30:</w:t>
      </w:r>
    </w:p>
    <w:tbl>
      <w:tblPr>
        <w:tblW w:w="4051" w:type="dxa"/>
        <w:jc w:val="left"/>
        <w:tblInd w:w="0" w:type="dxa"/>
        <w:tblLayout w:type="fixed"/>
        <w:tblCellMar>
          <w:top w:w="28" w:type="dxa"/>
          <w:left w:w="28" w:type="dxa"/>
          <w:bottom w:w="28" w:type="dxa"/>
          <w:right w:w="28" w:type="dxa"/>
        </w:tblCellMar>
      </w:tblPr>
      <w:tblGrid>
        <w:gridCol w:w="798"/>
        <w:gridCol w:w="702"/>
        <w:gridCol w:w="705"/>
        <w:gridCol w:w="232"/>
        <w:gridCol w:w="234"/>
        <w:gridCol w:w="271"/>
        <w:gridCol w:w="109"/>
        <w:gridCol w:w="109"/>
        <w:gridCol w:w="109"/>
        <w:gridCol w:w="232"/>
        <w:gridCol w:w="234"/>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 private pay and other</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*Less than 1%</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transaction price for these contracts is the amount we expect to be entitled to, which is the most likely amount. For certain capitation payments, the Company is subject to risk adjustment reconciliations according to the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capitation revenues are recognized based on the estimated PMPM transaction price to transfer the service for a distinct increment of the series (i.e. month). We recognize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13% and 14% of capitation revenues for the years ended June 30, 2026 and 2025, respectively, and (ii) 29% and 27% of external provider costs for the years ended June 30, 2026 and 2025, respectively.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comprehensive healthcare services to participants on the basis of capitated or fixed fees per participant that are paid monthly by Medicare, Medicaid, the VA, and private pay sources. The concentration of net receivables from participants and third-party payers as of June 30, 2026 and 2025 was as follows:</w:t>
      </w:r>
    </w:p>
    <w:tbl>
      <w:tblPr>
        <w:tblW w:w="4051" w:type="dxa"/>
        <w:jc w:val="left"/>
        <w:tblInd w:w="0" w:type="dxa"/>
        <w:tblLayout w:type="fixed"/>
        <w:tblCellMar>
          <w:top w:w="28" w:type="dxa"/>
          <w:left w:w="28" w:type="dxa"/>
          <w:bottom w:w="28" w:type="dxa"/>
          <w:right w:w="28" w:type="dxa"/>
        </w:tblCellMar>
      </w:tblPr>
      <w:tblGrid>
        <w:gridCol w:w="798"/>
        <w:gridCol w:w="702"/>
        <w:gridCol w:w="705"/>
        <w:gridCol w:w="232"/>
        <w:gridCol w:w="234"/>
        <w:gridCol w:w="271"/>
        <w:gridCol w:w="109"/>
        <w:gridCol w:w="109"/>
        <w:gridCol w:w="109"/>
        <w:gridCol w:w="232"/>
        <w:gridCol w:w="234"/>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 private pay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Service Revenue and Accounts Receivable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service revenue primarily consists of revenues derived from state grants. Accounts receivable related to other service revenue were not significant as of each of June 30, 2026 and June 30, 2025.</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2"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Controlling Interest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InnovAge Florida PACE – Orlando</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the Company entered into a Joint Venture Agreement with Orlando Health (“OHI”) to develop and manage the Company’s PACE center to serve the communities in Orlando, Florida. In connection with the joint venture, the Company contributed $26.1 million for its controlling membership interest of 90% of InnovAge Florida PACE - Orlando. OHI contributed $2.9 million in cash for its 10% interest. As a result, the joint venture’s results are consolidated in the Company’s consolidated financial statements.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InnovAge Florida PACE – Tampa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the Company entered into a Joint Venture Agreement with Tampa General Hospital (“TGH”) to develop the Company’s PACE center to serve the communities in Tampa, Florida. In connection with the joint venture, the Company contributed an aggregate of $28.8 million for its controlling membership interest of 90% of InnovAge Florida PACE - Tampa. TGH contributed $3.2 million in cash for its 10% interest. As a result, the joint venture’s results are consolidated in the Company’s consolidated financial statements.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Noncontrolling Interest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operations included a 0.01% partnership interest in SH1, which was organized to develop, construct, own, maintain, and operate certain apartment complexes intended for rental to low-income elderly individuals aged 62 or older. SH1 was a VIE. The Company was the primary beneficiary of SH1 and consolidated SH1 because it had the power to direct the activities that were most significant to SH1 and had an obligation to absorb losses or the right to receive benefits from SH1. The most significant activity of SH1 was the operation of the senior housing facility. In 2015, SH1 took out a convertible term loan for which the Company provided a guarantee.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 The Company has recorded the Assets held for sale, net of Liabilities held for sale at the fair value, less cost to sell, and as a result recorded a $4.5 million loss on assets held for sale for the year ended June 30, 2025.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11, 2025, the Company closed on the sale of the Company’s managing member interest in SH1 and the adjacent vacant land and recorded an additional loss on assets held for sale of $0.1 million for the year ended June 30, 2026. Following the sale of the Company’s managing interest in SH1, the convertible loan is no longer an obligation of the Company.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InnovAge Sacramento</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2019, the Company entered into a joint venture with Adventist Health System/West (“Adventist”) and Eskaton Properties, Incorporated (“Eskaton”) relating to InnovAge California PACE - Sacramento. As of June 30, 2026 and 2025, the Company held a 60% membership interest in the joint venture and Adventist and Eskaton held 26.35% and 13.65%, respectively. As a result, the joint venture’s results are consolidated in the Company’s consolidated financial statements.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June 30, 2026, none of the conditions specified in the JV Agreement had been met. Accordingly, these put rights held by the noncontrolling interests of the joint venture are required to be presented as temporary equity. As of June 30, 2026 and 2025, the Company’s redeemable noncontrolling interest was recorded at a fair value of $30.0 million and $25.0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3"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5:    Goodwill and Intangible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net assets acquired. The Company has no acquisitions during the year ended June 30, 2026. The Company had one acquisition resulting in goodwill during the year ended June 30, 2025, see additional information in Note 11 “Acquisitions.” Goodwill is not amortized.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ASC 350, “Intangibles — Goodwill and Other,” we review the recoverability of goodwill annually as of April 1 or whenever significant events or changes occur which might impair the recovery of recorded amounts. For purposes of the annual goodwill impairment assessment for fiscal years 2026 and 2025, the Company identified two reporting units, East and West. There were no indicators of impairment identified and no goodwill impairments recorded during the years ended June 30, 2026 and 2025.</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goodwill for the fiscal years ended June 30:</w:t>
      </w:r>
    </w:p>
    <w:tbl>
      <w:tblPr>
        <w:tblW w:w="5753" w:type="dxa"/>
        <w:jc w:val="left"/>
        <w:tblInd w:w="0" w:type="dxa"/>
        <w:tblLayout w:type="fixed"/>
        <w:tblCellMar>
          <w:top w:w="28" w:type="dxa"/>
          <w:left w:w="28" w:type="dxa"/>
          <w:bottom w:w="28" w:type="dxa"/>
          <w:right w:w="28" w:type="dxa"/>
        </w:tblCellMar>
      </w:tblPr>
      <w:tblGrid>
        <w:gridCol w:w="1119"/>
        <w:gridCol w:w="983"/>
        <w:gridCol w:w="987"/>
        <w:gridCol w:w="211"/>
        <w:gridCol w:w="826"/>
        <w:gridCol w:w="109"/>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w:t>
      </w:r>
    </w:p>
    <w:tbl>
      <w:tblPr>
        <w:tblW w:w="5079" w:type="dxa"/>
        <w:jc w:val="left"/>
        <w:tblInd w:w="0" w:type="dxa"/>
        <w:tblLayout w:type="fixed"/>
        <w:tblCellMar>
          <w:top w:w="28" w:type="dxa"/>
          <w:left w:w="28" w:type="dxa"/>
          <w:bottom w:w="28" w:type="dxa"/>
          <w:right w:w="28" w:type="dxa"/>
        </w:tblCellMar>
      </w:tblPr>
      <w:tblGrid>
        <w:gridCol w:w="1025"/>
        <w:gridCol w:w="902"/>
        <w:gridCol w:w="908"/>
        <w:gridCol w:w="211"/>
        <w:gridCol w:w="616"/>
        <w:gridCol w:w="109"/>
        <w:gridCol w:w="109"/>
        <w:gridCol w:w="109"/>
        <w:gridCol w:w="109"/>
        <w:gridCol w:w="211"/>
        <w:gridCol w:w="61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Definite-lived intangible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with a finite useful life continue to be amortized over their useful lives. The Company recorded amortization expense of $0.7 million for each of the years ended June 30, 2026 and 2025.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expected future annual amortization expense for the next 5 years ending June 30, is as follows:</w:t>
      </w:r>
    </w:p>
    <w:tbl>
      <w:tblPr>
        <w:tblW w:w="2760" w:type="dxa"/>
        <w:jc w:val="left"/>
        <w:tblInd w:w="0" w:type="dxa"/>
        <w:tblLayout w:type="fixed"/>
        <w:tblCellMar>
          <w:top w:w="28" w:type="dxa"/>
          <w:left w:w="28" w:type="dxa"/>
          <w:bottom w:w="28" w:type="dxa"/>
          <w:right w:w="28" w:type="dxa"/>
        </w:tblCellMar>
      </w:tblPr>
      <w:tblGrid>
        <w:gridCol w:w="364"/>
        <w:gridCol w:w="320"/>
        <w:gridCol w:w="321"/>
        <w:gridCol w:w="444"/>
        <w:gridCol w:w="984"/>
        <w:gridCol w:w="32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240" w:after="283"/>
        <w:ind w:left="0" w:right="0" w:hanging="810"/>
        <w:jc w:val="left"/>
        <w:rPr>
          <w:rFonts w:ascii="Times New Roman;serif" w:hAnsi="Times New Roman;serif"/>
          <w:b w:val="false"/>
          <w:i/>
          <w:color w:val="000000"/>
          <w:sz w:val="20"/>
        </w:rPr>
      </w:pPr>
      <w:r>
        <w:rPr>
          <w:rFonts w:ascii="Times New Roman;serif" w:hAnsi="Times New Roman;serif"/>
          <w:b w:val="false"/>
          <w:i/>
          <w:color w:val="000000"/>
          <w:sz w:val="20"/>
        </w:rPr>
        <w:t>Leasing Arrangements as Lessee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4"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2026 through 2039. We determine if an arrangement is a lease upon commencement of the contract. If an arrangement is determined to be a long-term lease (greater than 12 months), we recognize a right-of-use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 following table presents the components of our ROU assets and their classification in our Balance Sheet </w:t>
      </w:r>
      <w:r>
        <w:rPr>
          <w:rFonts w:ascii="Times New Roman;serif" w:hAnsi="Times New Roman;serif"/>
          <w:b w:val="false"/>
          <w:color w:val="000000"/>
          <w:sz w:val="20"/>
        </w:rPr>
        <w:t>as of June 30</w:t>
      </w:r>
      <w:r>
        <w:rPr>
          <w:rFonts w:ascii="Times New Roman;serif" w:hAnsi="Times New Roman;serif"/>
          <w:b w:val="false"/>
          <w:color w:val="000000"/>
          <w:sz w:val="20"/>
          <w:shd w:fill="FFFFFF" w:val="clear"/>
        </w:rPr>
        <w:t xml:space="preserve">. </w:t>
      </w:r>
    </w:p>
    <w:tbl>
      <w:tblPr>
        <w:tblW w:w="7836" w:type="dxa"/>
        <w:jc w:val="left"/>
        <w:tblInd w:w="0" w:type="dxa"/>
        <w:tblLayout w:type="fixed"/>
        <w:tblCellMar>
          <w:top w:w="28" w:type="dxa"/>
          <w:left w:w="28" w:type="dxa"/>
          <w:bottom w:w="28" w:type="dxa"/>
          <w:right w:w="28" w:type="dxa"/>
        </w:tblCellMar>
      </w:tblPr>
      <w:tblGrid>
        <w:gridCol w:w="962"/>
        <w:gridCol w:w="845"/>
        <w:gridCol w:w="848"/>
        <w:gridCol w:w="799"/>
        <w:gridCol w:w="799"/>
        <w:gridCol w:w="802"/>
        <w:gridCol w:w="109"/>
        <w:gridCol w:w="109"/>
        <w:gridCol w:w="109"/>
        <w:gridCol w:w="211"/>
        <w:gridCol w:w="721"/>
        <w:gridCol w:w="109"/>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 of Lease Balances</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leased assets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impairment charges of operating lease assets of $0.4 million and $1.4 million during the years ended June 30, 2026 and June 30, 2025, respectively. </w:t>
      </w:r>
    </w:p>
    <w:p>
      <w:pPr>
        <w:pStyle w:val="TextBody"/>
        <w:bidi w:val="0"/>
        <w:spacing w:lineRule="auto" w:line="288" w:before="200" w:after="283"/>
        <w:ind w:left="0" w:right="0" w:firstLine="360"/>
        <w:jc w:val="left"/>
        <w:rPr/>
      </w:pPr>
      <w:r>
        <w:rPr>
          <w:rFonts w:ascii="Times New Roman;serif" w:hAnsi="Times New Roman;serif"/>
          <w:b w:val="false"/>
          <w:color w:val="000000"/>
          <w:sz w:val="20"/>
          <w:shd w:fill="FFFFFF" w:val="clear"/>
        </w:rPr>
        <w:t xml:space="preserve">The following table presents the components of our lease cost and the classification of such costs in our Statements of Operations for the years ended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749"/>
        <w:gridCol w:w="624"/>
        <w:gridCol w:w="626"/>
        <w:gridCol w:w="1861"/>
        <w:gridCol w:w="1777"/>
        <w:gridCol w:w="1783"/>
        <w:gridCol w:w="109"/>
        <w:gridCol w:w="109"/>
        <w:gridCol w:w="109"/>
        <w:gridCol w:w="211"/>
        <w:gridCol w:w="721"/>
        <w:gridCol w:w="109"/>
        <w:gridCol w:w="109"/>
        <w:gridCol w:w="109"/>
        <w:gridCol w:w="109"/>
        <w:gridCol w:w="211"/>
        <w:gridCol w:w="721"/>
        <w:gridCol w:w="158"/>
      </w:tblGrid>
      <w:tr>
        <w:trPr/>
        <w:tc>
          <w:tcPr>
            <w:tcW w:w="74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 of Lease Cost</w:t>
            </w:r>
          </w:p>
        </w:tc>
        <w:tc>
          <w:tcPr>
            <w:tcW w:w="54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Statements of Operations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5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5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5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5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5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5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5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13,129 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 following table includes the weighted-average lease terms and discount rates for operating and finance leases as of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w:t>
      </w:r>
    </w:p>
    <w:tbl>
      <w:tblPr>
        <w:tblW w:w="5592" w:type="dxa"/>
        <w:jc w:val="left"/>
        <w:tblInd w:w="0" w:type="dxa"/>
        <w:tblLayout w:type="fixed"/>
        <w:tblCellMar>
          <w:top w:w="28" w:type="dxa"/>
          <w:left w:w="28" w:type="dxa"/>
          <w:bottom w:w="28" w:type="dxa"/>
          <w:right w:w="28" w:type="dxa"/>
        </w:tblCellMar>
      </w:tblPr>
      <w:tblGrid>
        <w:gridCol w:w="1292"/>
        <w:gridCol w:w="1135"/>
        <w:gridCol w:w="1143"/>
        <w:gridCol w:w="273"/>
        <w:gridCol w:w="273"/>
        <w:gridCol w:w="279"/>
        <w:gridCol w:w="109"/>
        <w:gridCol w:w="109"/>
        <w:gridCol w:w="109"/>
        <w:gridCol w:w="253"/>
        <w:gridCol w:w="253"/>
        <w:gridCol w:w="36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5"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4741" w:type="dxa"/>
        <w:jc w:val="left"/>
        <w:tblInd w:w="0" w:type="dxa"/>
        <w:tblLayout w:type="fixed"/>
        <w:tblCellMar>
          <w:top w:w="28" w:type="dxa"/>
          <w:left w:w="28" w:type="dxa"/>
          <w:bottom w:w="28" w:type="dxa"/>
          <w:right w:w="28" w:type="dxa"/>
        </w:tblCellMar>
      </w:tblPr>
      <w:tblGrid>
        <w:gridCol w:w="1015"/>
        <w:gridCol w:w="892"/>
        <w:gridCol w:w="898"/>
        <w:gridCol w:w="255"/>
        <w:gridCol w:w="256"/>
        <w:gridCol w:w="271"/>
        <w:gridCol w:w="109"/>
        <w:gridCol w:w="109"/>
        <w:gridCol w:w="109"/>
        <w:gridCol w:w="255"/>
        <w:gridCol w:w="256"/>
        <w:gridCol w:w="316"/>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includes the future maturities of lease payments for operating leases and finance leases for periods subsequent to June 30, 2026. </w:t>
      </w:r>
    </w:p>
    <w:tbl>
      <w:tblPr>
        <w:tblW w:w="7619" w:type="dxa"/>
        <w:jc w:val="left"/>
        <w:tblInd w:w="0" w:type="dxa"/>
        <w:tblLayout w:type="fixed"/>
        <w:tblCellMar>
          <w:top w:w="28" w:type="dxa"/>
          <w:left w:w="28" w:type="dxa"/>
          <w:bottom w:w="28" w:type="dxa"/>
          <w:right w:w="28" w:type="dxa"/>
        </w:tblCellMar>
      </w:tblPr>
      <w:tblGrid>
        <w:gridCol w:w="1249"/>
        <w:gridCol w:w="1098"/>
        <w:gridCol w:w="1103"/>
        <w:gridCol w:w="264"/>
        <w:gridCol w:w="904"/>
        <w:gridCol w:w="136"/>
        <w:gridCol w:w="109"/>
        <w:gridCol w:w="109"/>
        <w:gridCol w:w="109"/>
        <w:gridCol w:w="253"/>
        <w:gridCol w:w="741"/>
        <w:gridCol w:w="131"/>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br/>
              <w:t>Year ending June 30,</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liability accretion / imputed interest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lease liabilities</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19,775 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7:    Long-term Debt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our long-term debt are as follows:</w:t>
      </w:r>
    </w:p>
    <w:tbl>
      <w:tblPr>
        <w:tblW w:w="5588" w:type="dxa"/>
        <w:jc w:val="left"/>
        <w:tblInd w:w="0" w:type="dxa"/>
        <w:tblLayout w:type="fixed"/>
        <w:tblCellMar>
          <w:top w:w="28" w:type="dxa"/>
          <w:left w:w="28" w:type="dxa"/>
          <w:bottom w:w="28" w:type="dxa"/>
          <w:right w:w="28" w:type="dxa"/>
        </w:tblCellMar>
      </w:tblPr>
      <w:tblGrid>
        <w:gridCol w:w="1134"/>
        <w:gridCol w:w="998"/>
        <w:gridCol w:w="1002"/>
        <w:gridCol w:w="211"/>
        <w:gridCol w:w="721"/>
        <w:gridCol w:w="109"/>
        <w:gridCol w:w="109"/>
        <w:gridCol w:w="109"/>
        <w:gridCol w:w="109"/>
        <w:gridCol w:w="211"/>
        <w:gridCol w:w="72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borrowings: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maturities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8, 2025, the Company entered into Amendment No. 2 to the Credit Agreement, dated as of March 8, 2021 (as amended, the “Credit Agreement”). Amendment No. 2 refinanced the then-existing Term Loan Facility with a $50.7 million term loan (the “Term Loan A Facility”), renewed the commitments with respect to the Revolving Credit Facility for maximum borrowing capacity of $100.0 million (the “Revolving Credit Facility”), and extended the maturity date of both the Term Loan A Facility and the Revolving Credit Facility to August 8, 2028 from March 8,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Terms of the Credit Agreement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 capacity under the Revolving Credit Facility is subject to (i) any issued amounts under our letters of credit, which as of June 30, 2026 was $6.2 million, and (ii) applicable covenant compliance restrictions and any other conditions precedent to borrowing. Loans under the Credit Agreement are secured by substantially all of the Company’s assets. Principal on the Term Loan A Facility is paid each calendar quarter in an amount equal to 1.25% of the initial term loan on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6"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principal amounts under the Credit Agreement accrue interest at a variable interest rate. As of June 30, 2026 and 2025, the interest rate on the Term Loan A Facility was 6.15% and 6.13%, respectively. Under the terms of the Credit Agreement, the Revolving Credit Facility fee accrues at 0.50% of the average daily unused amount and is paid quarterly. As of June 30, 2026, we had no borrowings outstanding, $6.2 million of letters of credit issued, and $93.8 million of remaining capacity under the Revolving Credit Facility.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Credit Agreement. The Credit Agreement also provides certain restrictions on dividend payments and other equity transactions and requires the Company to make prepayments under specified circumstances. The Company was in compliance with the covenants of the Credit Agreement as of June 30, 2026 and 2025.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financing costs are amortized over the term of the underlying debt and unamortized amounts related to the Term Loan A Facility have been partially offset against long-term debt and unamortized amounts related to the Revolving Credit Facility are recorded in deposits and other in the consolidated balance sheets. Total amortization of deferred financing costs was $0.8 million and $0.4 million for the years ended June 30, 2026 and 2025, respectively.</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Aggregate maturities of our debt as of June 30, 2026 were as follows:</w:t>
      </w:r>
    </w:p>
    <w:tbl>
      <w:tblPr>
        <w:tblW w:w="2930" w:type="dxa"/>
        <w:jc w:val="left"/>
        <w:tblInd w:w="0" w:type="dxa"/>
        <w:tblLayout w:type="fixed"/>
        <w:tblCellMar>
          <w:top w:w="28" w:type="dxa"/>
          <w:left w:w="28" w:type="dxa"/>
          <w:bottom w:w="28" w:type="dxa"/>
          <w:right w:w="28" w:type="dxa"/>
        </w:tblCellMar>
      </w:tblPr>
      <w:tblGrid>
        <w:gridCol w:w="667"/>
        <w:gridCol w:w="587"/>
        <w:gridCol w:w="590"/>
        <w:gridCol w:w="211"/>
        <w:gridCol w:w="7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Long-term</w:t>
              <w:br/>
              <w:t>debt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June 30:</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8:    Fair Value Measurements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three levels of inputs that may be used to measure fair value are:</w:t>
      </w:r>
    </w:p>
    <w:p>
      <w:pPr>
        <w:pStyle w:val="TextBody"/>
        <w:bidi w:val="0"/>
        <w:spacing w:lineRule="auto" w:line="288" w:before="200" w:after="283"/>
        <w:ind w:left="0" w:right="0" w:firstLine="360"/>
        <w:jc w:val="both"/>
        <w:rPr/>
      </w:pPr>
      <w:r>
        <w:rPr>
          <w:rFonts w:ascii="Times New Roman;serif" w:hAnsi="Times New Roman;serif"/>
          <w:b/>
          <w:color w:val="000000"/>
          <w:sz w:val="20"/>
        </w:rPr>
        <w:t>Level 1    </w:t>
      </w:r>
      <w:r>
        <w:rPr>
          <w:rFonts w:ascii="Times New Roman;serif" w:hAnsi="Times New Roman;serif"/>
          <w:b w:val="false"/>
          <w:color w:val="000000"/>
          <w:sz w:val="20"/>
        </w:rPr>
        <w:t>Unadjusted quoted prices in active markets for identical assets or liabilities that the entity has the ability to access at the measurement date</w:t>
      </w:r>
    </w:p>
    <w:p>
      <w:pPr>
        <w:pStyle w:val="TextBody"/>
        <w:bidi w:val="0"/>
        <w:spacing w:lineRule="auto" w:line="288" w:before="200" w:after="283"/>
        <w:ind w:left="0" w:right="0" w:firstLine="360"/>
        <w:jc w:val="both"/>
        <w:rPr/>
      </w:pPr>
      <w:r>
        <w:rPr>
          <w:rFonts w:ascii="Times New Roman;serif" w:hAnsi="Times New Roman;serif"/>
          <w:b/>
          <w:color w:val="000000"/>
          <w:sz w:val="20"/>
        </w:rPr>
        <w:t>Level 2    </w:t>
      </w:r>
      <w:r>
        <w:rPr>
          <w:rFonts w:ascii="Times New Roman;serif" w:hAnsi="Times New Roman;serif"/>
          <w:b w:val="false"/>
          <w:color w:val="000000"/>
          <w:sz w:val="20"/>
        </w:rPr>
        <w:t>Quoted prices in markets that are not active or inputs that are observable, either directly or indirectly, for substantially the full term of the assets or liabilities</w:t>
      </w:r>
    </w:p>
    <w:p>
      <w:pPr>
        <w:pStyle w:val="TextBody"/>
        <w:bidi w:val="0"/>
        <w:spacing w:lineRule="auto" w:line="288" w:before="200" w:after="283"/>
        <w:ind w:left="0" w:right="0" w:firstLine="360"/>
        <w:jc w:val="both"/>
        <w:rPr/>
      </w:pPr>
      <w:r>
        <w:rPr>
          <w:rFonts w:ascii="Times New Roman;serif" w:hAnsi="Times New Roman;serif"/>
          <w:b/>
          <w:color w:val="000000"/>
          <w:sz w:val="20"/>
        </w:rPr>
        <w:t>Level 3    </w:t>
      </w:r>
      <w:r>
        <w:rPr>
          <w:rFonts w:ascii="Times New Roman;serif" w:hAnsi="Times New Roman;serif"/>
          <w:b w:val="false"/>
          <w:color w:val="000000"/>
          <w:sz w:val="20"/>
        </w:rPr>
        <w:t>Unobservable inputs to the valuation techniques that are significant to the fair value measurements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87"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short-term investments that are measured and accounted for at fair value on a recurring basis as of June 30, 2026 and 2025.</w:t>
      </w:r>
    </w:p>
    <w:tbl>
      <w:tblPr>
        <w:tblW w:w="10205" w:type="dxa"/>
        <w:jc w:val="left"/>
        <w:tblInd w:w="0" w:type="dxa"/>
        <w:tblLayout w:type="fixed"/>
        <w:tblCellMar>
          <w:top w:w="28" w:type="dxa"/>
          <w:left w:w="28" w:type="dxa"/>
          <w:bottom w:w="28" w:type="dxa"/>
          <w:right w:w="28" w:type="dxa"/>
        </w:tblCellMar>
      </w:tblPr>
      <w:tblGrid>
        <w:gridCol w:w="360"/>
        <w:gridCol w:w="316"/>
        <w:gridCol w:w="317"/>
        <w:gridCol w:w="228"/>
        <w:gridCol w:w="782"/>
        <w:gridCol w:w="118"/>
        <w:gridCol w:w="109"/>
        <w:gridCol w:w="109"/>
        <w:gridCol w:w="109"/>
        <w:gridCol w:w="211"/>
        <w:gridCol w:w="721"/>
        <w:gridCol w:w="109"/>
        <w:gridCol w:w="109"/>
        <w:gridCol w:w="109"/>
        <w:gridCol w:w="109"/>
        <w:gridCol w:w="109"/>
        <w:gridCol w:w="109"/>
        <w:gridCol w:w="279"/>
        <w:gridCol w:w="953"/>
        <w:gridCol w:w="144"/>
        <w:gridCol w:w="109"/>
        <w:gridCol w:w="109"/>
        <w:gridCol w:w="109"/>
        <w:gridCol w:w="228"/>
        <w:gridCol w:w="782"/>
        <w:gridCol w:w="118"/>
        <w:gridCol w:w="109"/>
        <w:gridCol w:w="109"/>
        <w:gridCol w:w="109"/>
        <w:gridCol w:w="211"/>
        <w:gridCol w:w="721"/>
        <w:gridCol w:w="109"/>
        <w:gridCol w:w="109"/>
        <w:gridCol w:w="109"/>
        <w:gridCol w:w="109"/>
        <w:gridCol w:w="109"/>
        <w:gridCol w:w="109"/>
        <w:gridCol w:w="276"/>
        <w:gridCol w:w="944"/>
        <w:gridCol w:w="207"/>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972" w:type="dxa"/>
            <w:gridSpan w:val="8"/>
            <w:tcBorders/>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43,435 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Recurring Measurements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June 30, 2026 and 2025, the Company’s redeemable noncontrolling interest was recorded at fair value of $30.0 million and $25.0 million, respectively.</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There were no transfers in and out of Level 3 during the fiscal years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and 2025. The Company’s policy is to recognize transfers as of the actual date of the event or change 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Professional Liability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Civil Investigative Demands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and December 2025, the Company received supplemental civil investigative demands requesting supplemental information on the same matters.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the Company and the DOJ have been discussing potential resolutions regarding these matters and are currently negotiating settlements, which remain subject to ongoing governmental review and approval. During the third quarter of fiscal 2026, the Company recorded an estimated liability in connection with these matters and, based on its expectations regarding potential resolutions, recorded an incremental estimated liability during the fourth quarter of fiscal 2026. Based on the information currently available, the Company does not believe that a material additional loss in excess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88"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the amount accrued is reasonably possible. However, there can be no assurance that any settlement will be reached, that the terms of any settlement will be consistent with the Company’s current expectations, or that the Company will not incur additional material losses.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received a civil investigative demand from the DOJ under the Federal False Claims Act on a similar subject matter as the 2022 investigation. The demand requested information and documents regarding the Company's relationship as a PACE provider with residential care facilities in California, Colorado, Virginia and New Mexico, related housing costs, and enrollment practices. The DOJ closed this investigation in the first quarter of fiscal year 2027.</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Stockholder Lawsuits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20, 2022, the Board received a books and records demand pursuant to Section 220 of the Delaware General Corporation Law from a purported stockholder of the Company, Brian Hall.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May 4, 2026, the parties entered into a settlement agreement to resolve the action. The settlement agreement provides for, among other things, a monetary payment to the Company and an award of plaintiff's attorneys' fees, which will be fully funded by insurance proceeds, as well as the adoption by the Company of certain corporate governance enhancements. The agreement is subject to court approval. The court has set a hearing regarding approval of the agreement for October 7, 2026. The Company cannot predict whether the court will approve the agreement.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Litigation Accrual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accrual for litigation matters was approximately $37.0 million, substantially all of which is related to the 2021 and 2022 civil investigative demands described above, and is included in accounts payable and accrued expenses in the Company's consolidated balance sheet.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regulatory proceedings, investigations, inquiries, litigation, claims and audits are inherently unpredictable and uncertain and their actual outcome could differ materially from amounts accrued. The outcomes of regulatory proceedings, investigations, inquiries, litigation, claims, and audits claims could be material to the Company’s financial condition and operating results for any particular period, depending in part, upon the operating results of such period. Regardless of the outcome, regulatory proceedings, investigations, inquiries, litigation, claims and audits have the potential to have an adverse impact on the Company due to any related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aggregate stock-based compensation expense is set forth below. Stock-based compensation expense is included in corporate, general and administrative expenses on our consolidated statements of operations.</w:t>
      </w:r>
    </w:p>
    <w:tbl>
      <w:tblPr>
        <w:tblW w:w="5693" w:type="dxa"/>
        <w:jc w:val="left"/>
        <w:tblInd w:w="0" w:type="dxa"/>
        <w:tblLayout w:type="fixed"/>
        <w:tblCellMar>
          <w:top w:w="28" w:type="dxa"/>
          <w:left w:w="28" w:type="dxa"/>
          <w:bottom w:w="28" w:type="dxa"/>
          <w:right w:w="28" w:type="dxa"/>
        </w:tblCellMar>
      </w:tblPr>
      <w:tblGrid>
        <w:gridCol w:w="1248"/>
        <w:gridCol w:w="1097"/>
        <w:gridCol w:w="1104"/>
        <w:gridCol w:w="211"/>
        <w:gridCol w:w="616"/>
        <w:gridCol w:w="109"/>
        <w:gridCol w:w="109"/>
        <w:gridCol w:w="109"/>
        <w:gridCol w:w="109"/>
        <w:gridCol w:w="211"/>
        <w:gridCol w:w="61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2020 Equity Incentive Plan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Profits Interests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89"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advisers, and other services providers (including partners) of the LP or any of its affiliates, including the Company. A maximum number of 16,162,177 Class B Units are authorized for grant under the 2020 Equity Incentive Plan. Both performance-based and time-based units were issued under the plan. As of June 30, 2026, a total of 13,874,760 profits interests units have been granted under the 2020 Equity Incentive Plan.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During the fiscal year ended June 30, 2026, a total of 8,068,447 Class B Units were awarded to several executive officers of the Company. The assumptions under the Monte Carlo model related to profit interests units for fiscal year 2026, presented on a weighted-average basis, are provided below:</w:t>
      </w:r>
    </w:p>
    <w:tbl>
      <w:tblPr>
        <w:tblW w:w="5063" w:type="dxa"/>
        <w:jc w:val="left"/>
        <w:tblInd w:w="0" w:type="dxa"/>
        <w:tblLayout w:type="fixed"/>
        <w:tblCellMar>
          <w:top w:w="28" w:type="dxa"/>
          <w:left w:w="28" w:type="dxa"/>
          <w:bottom w:w="28" w:type="dxa"/>
          <w:right w:w="28" w:type="dxa"/>
        </w:tblCellMar>
      </w:tblPr>
      <w:tblGrid>
        <w:gridCol w:w="1229"/>
        <w:gridCol w:w="1078"/>
        <w:gridCol w:w="1082"/>
        <w:gridCol w:w="109"/>
        <w:gridCol w:w="109"/>
        <w:gridCol w:w="109"/>
        <w:gridCol w:w="323"/>
        <w:gridCol w:w="323"/>
        <w:gridCol w:w="329"/>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69.0 - 74.0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 - time 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2.1 - 2.3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3.50 - 3.95</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1.06 - 2.04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underlying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3.68 - 7.14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During the fiscal year ended June 30, 2025, a total of 650,000 Class B Units were awarded. The assumptions under the Monte Carlo model related to profit interests units for fiscal year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presented on a weighted-average basis, are provided below: </w:t>
      </w:r>
    </w:p>
    <w:tbl>
      <w:tblPr>
        <w:tblW w:w="4755" w:type="dxa"/>
        <w:jc w:val="left"/>
        <w:tblInd w:w="0" w:type="dxa"/>
        <w:tblLayout w:type="fixed"/>
        <w:tblCellMar>
          <w:top w:w="28" w:type="dxa"/>
          <w:left w:w="28" w:type="dxa"/>
          <w:bottom w:w="28" w:type="dxa"/>
          <w:right w:w="28" w:type="dxa"/>
        </w:tblCellMar>
      </w:tblPr>
      <w:tblGrid>
        <w:gridCol w:w="1229"/>
        <w:gridCol w:w="1078"/>
        <w:gridCol w:w="1082"/>
        <w:gridCol w:w="109"/>
        <w:gridCol w:w="109"/>
        <w:gridCol w:w="109"/>
        <w:gridCol w:w="255"/>
        <w:gridCol w:w="256"/>
        <w:gridCol w:w="156"/>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 - time 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underlying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profits interests activity for the year ended June 30, 2026, was as follows:</w:t>
      </w:r>
    </w:p>
    <w:tbl>
      <w:tblPr>
        <w:tblW w:w="6278" w:type="dxa"/>
        <w:jc w:val="left"/>
        <w:tblInd w:w="0" w:type="dxa"/>
        <w:tblLayout w:type="fixed"/>
        <w:tblCellMar>
          <w:top w:w="28" w:type="dxa"/>
          <w:left w:w="28" w:type="dxa"/>
          <w:bottom w:w="28" w:type="dxa"/>
          <w:right w:w="28" w:type="dxa"/>
        </w:tblCellMar>
      </w:tblPr>
      <w:tblGrid>
        <w:gridCol w:w="1095"/>
        <w:gridCol w:w="964"/>
        <w:gridCol w:w="970"/>
        <w:gridCol w:w="109"/>
        <w:gridCol w:w="109"/>
        <w:gridCol w:w="109"/>
        <w:gridCol w:w="309"/>
        <w:gridCol w:w="309"/>
        <w:gridCol w:w="313"/>
        <w:gridCol w:w="109"/>
        <w:gridCol w:w="109"/>
        <w:gridCol w:w="109"/>
        <w:gridCol w:w="401"/>
        <w:gridCol w:w="971"/>
        <w:gridCol w:w="292"/>
      </w:tblGrid>
      <w:tr>
        <w:trPr/>
        <w:tc>
          <w:tcPr>
            <w:tcW w:w="10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Time-based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w:t>
              <w:br/>
              <w:t>grant date fair value</w:t>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0"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6278"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309"/>
        <w:gridCol w:w="309"/>
        <w:gridCol w:w="313"/>
        <w:gridCol w:w="109"/>
        <w:gridCol w:w="109"/>
        <w:gridCol w:w="109"/>
        <w:gridCol w:w="401"/>
        <w:gridCol w:w="971"/>
        <w:gridCol w:w="292"/>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Performance-based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w:t>
              <w:br/>
              <w:t>grant date fair value</w:t>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5,378,965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profits interests units outstanding as of June 30, 2026 was $10.8 million, comprised (i) $3.2 million related to time-based unit awards expected to be recognized over a weighted-average period of 3.0 years and (ii) $7.6 million related to performance-based unit awards, which will be recorded when it is probable that the performance-based criteria will be met.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2021 Omnibus Incentive Plan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the Compensation Committee of the Board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our common stock on the date of grant. Certain other awards under this plan, including units and stock options, vest upon achieving specific share price performance criteria and are determined to have performance-based vesting conditions.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time-based vesting restricted stock units activity for the year ended June 30, 2026, was as follows:</w:t>
      </w:r>
    </w:p>
    <w:tbl>
      <w:tblPr>
        <w:tblW w:w="5904" w:type="dxa"/>
        <w:jc w:val="left"/>
        <w:tblInd w:w="0" w:type="dxa"/>
        <w:tblLayout w:type="fixed"/>
        <w:tblCellMar>
          <w:top w:w="28" w:type="dxa"/>
          <w:left w:w="28" w:type="dxa"/>
          <w:bottom w:w="28" w:type="dxa"/>
          <w:right w:w="28" w:type="dxa"/>
        </w:tblCellMar>
      </w:tblPr>
      <w:tblGrid>
        <w:gridCol w:w="1097"/>
        <w:gridCol w:w="963"/>
        <w:gridCol w:w="970"/>
        <w:gridCol w:w="109"/>
        <w:gridCol w:w="109"/>
        <w:gridCol w:w="109"/>
        <w:gridCol w:w="309"/>
        <w:gridCol w:w="309"/>
        <w:gridCol w:w="313"/>
        <w:gridCol w:w="109"/>
        <w:gridCol w:w="109"/>
        <w:gridCol w:w="109"/>
        <w:gridCol w:w="277"/>
        <w:gridCol w:w="810"/>
        <w:gridCol w:w="202"/>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Restricted stock units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grant-date fair </w:t>
              <w:br/>
              <w:t>value per share</w:t>
            </w:r>
          </w:p>
        </w:tc>
      </w:tr>
      <w:tr>
        <w:trPr/>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time-based restricted stock units outstanding as of June 30, 2026, was $6.2 million and is expected to be recognized over a weighted-average period of 1.8 years.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performance-based vesting restricted stock units activity for the year ended June 30, 2026, was as follows:</w:t>
      </w:r>
    </w:p>
    <w:tbl>
      <w:tblPr>
        <w:tblW w:w="6067" w:type="dxa"/>
        <w:jc w:val="left"/>
        <w:tblInd w:w="0" w:type="dxa"/>
        <w:tblLayout w:type="fixed"/>
        <w:tblCellMar>
          <w:top w:w="28" w:type="dxa"/>
          <w:left w:w="28" w:type="dxa"/>
          <w:bottom w:w="28" w:type="dxa"/>
          <w:right w:w="28" w:type="dxa"/>
        </w:tblCellMar>
      </w:tblPr>
      <w:tblGrid>
        <w:gridCol w:w="1158"/>
        <w:gridCol w:w="1017"/>
        <w:gridCol w:w="1020"/>
        <w:gridCol w:w="109"/>
        <w:gridCol w:w="109"/>
        <w:gridCol w:w="109"/>
        <w:gridCol w:w="309"/>
        <w:gridCol w:w="309"/>
        <w:gridCol w:w="311"/>
        <w:gridCol w:w="109"/>
        <w:gridCol w:w="109"/>
        <w:gridCol w:w="109"/>
        <w:gridCol w:w="310"/>
        <w:gridCol w:w="752"/>
        <w:gridCol w:w="227"/>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Restricted stock units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grant-date fair </w:t>
              <w:br/>
              <w:t>value per share</w:t>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1"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unrecognized compensation cost related to performance-based vesting restricted stock units outstanding as of June 30, 2026, was $0.03 million and is expected to be recognized over a weighted-average period of 0.5 years.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Nonqualified Stock Options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time-based vesting stock option activity for the year ended June 30, 2026, was as follows:</w:t>
      </w:r>
    </w:p>
    <w:tbl>
      <w:tblPr>
        <w:tblW w:w="5902" w:type="dxa"/>
        <w:jc w:val="left"/>
        <w:tblInd w:w="0" w:type="dxa"/>
        <w:tblLayout w:type="fixed"/>
        <w:tblCellMar>
          <w:top w:w="28" w:type="dxa"/>
          <w:left w:w="28" w:type="dxa"/>
          <w:bottom w:w="28" w:type="dxa"/>
          <w:right w:w="28" w:type="dxa"/>
        </w:tblCellMar>
      </w:tblPr>
      <w:tblGrid>
        <w:gridCol w:w="1097"/>
        <w:gridCol w:w="962"/>
        <w:gridCol w:w="971"/>
        <w:gridCol w:w="109"/>
        <w:gridCol w:w="109"/>
        <w:gridCol w:w="109"/>
        <w:gridCol w:w="309"/>
        <w:gridCol w:w="309"/>
        <w:gridCol w:w="311"/>
        <w:gridCol w:w="109"/>
        <w:gridCol w:w="109"/>
        <w:gridCol w:w="109"/>
        <w:gridCol w:w="310"/>
        <w:gridCol w:w="752"/>
        <w:gridCol w:w="227"/>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 options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grant-date fair </w:t>
              <w:br/>
              <w:t>value per share</w:t>
            </w:r>
          </w:p>
        </w:tc>
      </w:tr>
      <w:tr>
        <w:trPr/>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no unrecognized compensation cost related to time-based vesting stock options outstanding.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performance-based vesting stock option activity for the year ended June 30, 2026, was as follows:</w:t>
      </w:r>
    </w:p>
    <w:tbl>
      <w:tblPr>
        <w:tblW w:w="5901"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309"/>
        <w:gridCol w:w="309"/>
        <w:gridCol w:w="311"/>
        <w:gridCol w:w="109"/>
        <w:gridCol w:w="109"/>
        <w:gridCol w:w="109"/>
        <w:gridCol w:w="310"/>
        <w:gridCol w:w="752"/>
        <w:gridCol w:w="227"/>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 options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grant-date fair </w:t>
              <w:br/>
              <w:t>value per share</w:t>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unrecognized compensation cost related to performance-based vesting stock options outstanding as of June 30, 2026, was $0.1 million and is expected to be recognized over a weighted-average period of 0.5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Note 11: Acquisitions</w:t>
      </w:r>
    </w:p>
    <w:p>
      <w:pPr>
        <w:pStyle w:val="TextBody"/>
        <w:bidi w:val="0"/>
        <w:spacing w:lineRule="auto" w:line="288" w:before="240" w:after="240"/>
        <w:ind w:left="0" w:right="0" w:hanging="810"/>
        <w:jc w:val="both"/>
        <w:rPr>
          <w:rFonts w:ascii="Times New Roman;serif" w:hAnsi="Times New Roman;serif"/>
          <w:b/>
          <w:i/>
          <w:color w:val="000000"/>
          <w:sz w:val="20"/>
        </w:rPr>
      </w:pPr>
      <w:r>
        <w:rPr>
          <w:rFonts w:ascii="Times New Roman;serif" w:hAnsi="Times New Roman;serif"/>
          <w:b/>
          <w:i/>
          <w:color w:val="000000"/>
          <w:sz w:val="20"/>
        </w:rPr>
        <w:t>TRHC</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the Company completed the acquisition of certain pharmacy assets from Tabula Rasa Healthcare Group, Inc. (“TRHC”), a leading pharmacy care management company, for a total purchase price of $4.8 million. The acquisition was funded through cash on hand.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of the TRHC assets was accounted for using the purchase method of accounting. The purchase price was allocated to the assets acquired and liabilities assumed based on their estimated fair values at the date of acquisition. Goodwill represents the excess of the purchase price over the fair value of net assets acquired and the estimated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2"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economic benefits arising from expected growth opportunities for the Company and is not deductible for income tax purposes.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finalized allocation of the purchase price to the assets acquired and liabilities assumed as of the acquisition date. The measurement period has closed, and the Company did not recognize any measurement period adjustments. </w:t>
      </w:r>
    </w:p>
    <w:tbl>
      <w:tblPr>
        <w:tblW w:w="5674"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229"/>
        <w:gridCol w:w="671"/>
        <w:gridCol w:w="11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Final </w:t>
              <w:br/>
              <w:t>Allocation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pre-tax income (loss), based on the jurisdiction of the legal entity, were as follows:</w:t>
      </w:r>
    </w:p>
    <w:tbl>
      <w:tblPr>
        <w:tblW w:w="4568" w:type="dxa"/>
        <w:jc w:val="left"/>
        <w:tblInd w:w="0" w:type="dxa"/>
        <w:tblLayout w:type="fixed"/>
        <w:tblCellMar>
          <w:top w:w="28" w:type="dxa"/>
          <w:left w:w="28" w:type="dxa"/>
          <w:bottom w:w="28" w:type="dxa"/>
          <w:right w:w="28" w:type="dxa"/>
        </w:tblCellMar>
      </w:tblPr>
      <w:tblGrid>
        <w:gridCol w:w="831"/>
        <w:gridCol w:w="730"/>
        <w:gridCol w:w="733"/>
        <w:gridCol w:w="211"/>
        <w:gridCol w:w="466"/>
        <w:gridCol w:w="109"/>
        <w:gridCol w:w="109"/>
        <w:gridCol w:w="109"/>
        <w:gridCol w:w="109"/>
        <w:gridCol w:w="211"/>
        <w:gridCol w:w="79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June 30, 2026, and 2025, none of the Company’s pre-tax income was derived from foreign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3"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years ended June 30, 2026 and 2025 was 356.5% and (3.9)%, respectively, which differed from the amount computed by applying the applicable U.S. federal statutory corporate income tax rate of 21% in each period as a result of the following factors:</w:t>
      </w:r>
    </w:p>
    <w:tbl>
      <w:tblPr>
        <w:tblW w:w="8824" w:type="dxa"/>
        <w:jc w:val="left"/>
        <w:tblInd w:w="0" w:type="dxa"/>
        <w:tblLayout w:type="fixed"/>
        <w:tblCellMar>
          <w:top w:w="28" w:type="dxa"/>
          <w:left w:w="28" w:type="dxa"/>
          <w:bottom w:w="28" w:type="dxa"/>
          <w:right w:w="28" w:type="dxa"/>
        </w:tblCellMar>
      </w:tblPr>
      <w:tblGrid>
        <w:gridCol w:w="1496"/>
        <w:gridCol w:w="1320"/>
        <w:gridCol w:w="1324"/>
        <w:gridCol w:w="215"/>
        <w:gridCol w:w="475"/>
        <w:gridCol w:w="109"/>
        <w:gridCol w:w="109"/>
        <w:gridCol w:w="109"/>
        <w:gridCol w:w="109"/>
        <w:gridCol w:w="358"/>
        <w:gridCol w:w="363"/>
        <w:gridCol w:w="271"/>
        <w:gridCol w:w="109"/>
        <w:gridCol w:w="109"/>
        <w:gridCol w:w="109"/>
        <w:gridCol w:w="211"/>
        <w:gridCol w:w="691"/>
        <w:gridCol w:w="109"/>
        <w:gridCol w:w="109"/>
        <w:gridCol w:w="109"/>
        <w:gridCol w:w="109"/>
        <w:gridCol w:w="291"/>
        <w:gridCol w:w="294"/>
        <w:gridCol w:w="316"/>
      </w:tblGrid>
      <w:tr>
        <w:trPr/>
        <w:tc>
          <w:tcPr>
            <w:tcW w:w="14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&amp; local income tax, net of federal benefit (a)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IRC Section 162(m) limitation (b)</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Lobbying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Penalties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Adjustment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Prior year true-up </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majority of the state tax effect relates to California</w:t>
      </w:r>
    </w:p>
    <w:p>
      <w:pPr>
        <w:pStyle w:val="TextBody"/>
        <w:bidi w:val="0"/>
        <w:spacing w:lineRule="auto" w:line="288" w:before="2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(b)Reflects the permanent addback for the IRC Section 162(m) limitation, which limits the deduction of compensation for the five highest paid officers to $1.0 million per officer.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consisted of the following for the years ended June 30, 2026 and 2025:</w:t>
      </w:r>
    </w:p>
    <w:tbl>
      <w:tblPr>
        <w:tblW w:w="4374" w:type="dxa"/>
        <w:jc w:val="left"/>
        <w:tblInd w:w="0" w:type="dxa"/>
        <w:tblLayout w:type="fixed"/>
        <w:tblCellMar>
          <w:top w:w="28" w:type="dxa"/>
          <w:left w:w="28" w:type="dxa"/>
          <w:bottom w:w="28" w:type="dxa"/>
          <w:right w:w="28" w:type="dxa"/>
        </w:tblCellMar>
      </w:tblPr>
      <w:tblGrid>
        <w:gridCol w:w="823"/>
        <w:gridCol w:w="726"/>
        <w:gridCol w:w="731"/>
        <w:gridCol w:w="211"/>
        <w:gridCol w:w="466"/>
        <w:gridCol w:w="109"/>
        <w:gridCol w:w="109"/>
        <w:gridCol w:w="109"/>
        <w:gridCol w:w="109"/>
        <w:gridCol w:w="211"/>
        <w:gridCol w:w="61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expense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4"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deferred tax assets and liabilities were as follows for the years ended June 30, 2026 and 2025:</w:t>
      </w:r>
    </w:p>
    <w:tbl>
      <w:tblPr>
        <w:tblW w:w="6264" w:type="dxa"/>
        <w:jc w:val="left"/>
        <w:tblInd w:w="0" w:type="dxa"/>
        <w:tblLayout w:type="fixed"/>
        <w:tblCellMar>
          <w:top w:w="28" w:type="dxa"/>
          <w:left w:w="28" w:type="dxa"/>
          <w:bottom w:w="28" w:type="dxa"/>
          <w:right w:w="28" w:type="dxa"/>
        </w:tblCellMar>
      </w:tblPr>
      <w:tblGrid>
        <w:gridCol w:w="1403"/>
        <w:gridCol w:w="1232"/>
        <w:gridCol w:w="1235"/>
        <w:gridCol w:w="211"/>
        <w:gridCol w:w="691"/>
        <w:gridCol w:w="109"/>
        <w:gridCol w:w="109"/>
        <w:gridCol w:w="109"/>
        <w:gridCol w:w="109"/>
        <w:gridCol w:w="211"/>
        <w:gridCol w:w="691"/>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net operating losses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net operating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accounts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and estimated claims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settlement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(39,139)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June 30, 2026, the components of income taxes paid were as follows:</w:t>
      </w:r>
    </w:p>
    <w:tbl>
      <w:tblPr>
        <w:tblW w:w="3104" w:type="dxa"/>
        <w:jc w:val="left"/>
        <w:tblInd w:w="0" w:type="dxa"/>
        <w:tblLayout w:type="fixed"/>
        <w:tblCellMar>
          <w:top w:w="28" w:type="dxa"/>
          <w:left w:w="28" w:type="dxa"/>
          <w:bottom w:w="28" w:type="dxa"/>
          <w:right w:w="28" w:type="dxa"/>
        </w:tblCellMar>
      </w:tblPr>
      <w:tblGrid>
        <w:gridCol w:w="750"/>
        <w:gridCol w:w="659"/>
        <w:gridCol w:w="661"/>
        <w:gridCol w:w="262"/>
        <w:gridCol w:w="580"/>
        <w:gridCol w:w="19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income taxes paid during the year in any individual jurisdiction, net of refunds, did not exceed 5% of total income taxes paid.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Carryforwards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state net operating loss carryforwards of $246.8 million and $230.1 million at June 30, 2026 and 2025, respectively, which will begin to expire in 2038 if not utilized. Additionally, the Company had federal net operating loss carryforwards of $117.3 million as of each of June 30, 2026 and 2025, which do not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5"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Valuation Allowance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provided $22.4 million and $23.0 million at June 30, 2026 and June 30, 2025, respectively, as a valuation allowance against its deferred tax assets for federal and state net operating losses and state IRC 163(j) interest expense limitations where there is not sufficient positive evidence to substantiate that these deferred tax assets will be realized at a more-likely-than-not level of assurance.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no uncertain tax positions at June 30, 2026 and 2025.</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as a consolidated group, excluding SH1, InnovAge Sacramento, InnovAge Orlando, and InnovAge Tampa in the U.S. federal jurisdiction and various states and is subject to examination by taxing authorities in all of those jurisdictions. From time to time, the Company’s tax returns are reviewed or audited by U.S. federal and various U.S. state-taxing authorities.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and state jurisdictions for the period ended June 30, 2023 and forward. The Company is subject to income tax examinations by California, Colorado and New Mexico state jurisdictions for the period ended June 30, 2022 and forward.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“Reconciliation Act”) was enacted in the U.S. The Reconciliation Act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net effect of the Reconciliation Act did not have a material impact on the Company’s effective tax rate for the year ended June 30, 2026. The Company continues to evaluate the impact of the Reconciliation Act on its consolidated financial statements and will update its estimates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Note 13:    Segment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two operating segments, both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other/reconciling category related to Senior Housing, and is shown below as “Other” along with certain corporate unallocated expenses. As of June 30, 2026, the Company no longer operates Senior Housing as the remaining Senior Housing assets were sold. See Note 4, "Investments - Noncontrolling interest."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chief executive officer. The CODM uses Center-Level Contribution Margin as the measure for assessing performance of its operating segments and allocating resources, predominantly in the annual budget and forecasting process. The Company evaluates performance and allocates capital resources to each segment based on an operating model that is designed to maximize the quality of care provided and profitability. The CODM considers forecast-to-actual Center-Level Contribution Margin variances on a monthly basis when making decisions about allocating capital and personnel to the segments. Center-Level Contribution Margin is defined as total segment revenues less external provider costs and cost of care (excluding depreciation and amortization).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review assets by segment and therefore assets by segment are not disclosed below. For the periods presented, all of the Company’s long-lived assets were located in the United States and all revenue was earned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6"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regularly provided to the CODM by segment for the years ended June 30, 2026 and 2025:</w:t>
      </w:r>
    </w:p>
    <w:tbl>
      <w:tblPr>
        <w:tblW w:w="10205" w:type="dxa"/>
        <w:jc w:val="left"/>
        <w:tblInd w:w="0" w:type="dxa"/>
        <w:tblLayout w:type="fixed"/>
        <w:tblCellMar>
          <w:top w:w="28" w:type="dxa"/>
          <w:left w:w="28" w:type="dxa"/>
          <w:bottom w:w="28" w:type="dxa"/>
          <w:right w:w="28" w:type="dxa"/>
        </w:tblCellMar>
      </w:tblPr>
      <w:tblGrid>
        <w:gridCol w:w="984"/>
        <w:gridCol w:w="688"/>
        <w:gridCol w:w="680"/>
        <w:gridCol w:w="211"/>
        <w:gridCol w:w="826"/>
        <w:gridCol w:w="109"/>
        <w:gridCol w:w="109"/>
        <w:gridCol w:w="109"/>
        <w:gridCol w:w="109"/>
        <w:gridCol w:w="224"/>
        <w:gridCol w:w="432"/>
        <w:gridCol w:w="115"/>
        <w:gridCol w:w="109"/>
        <w:gridCol w:w="109"/>
        <w:gridCol w:w="109"/>
        <w:gridCol w:w="211"/>
        <w:gridCol w:w="826"/>
        <w:gridCol w:w="109"/>
        <w:gridCol w:w="109"/>
        <w:gridCol w:w="109"/>
        <w:gridCol w:w="109"/>
        <w:gridCol w:w="211"/>
        <w:gridCol w:w="826"/>
        <w:gridCol w:w="109"/>
        <w:gridCol w:w="109"/>
        <w:gridCol w:w="109"/>
        <w:gridCol w:w="109"/>
        <w:gridCol w:w="218"/>
        <w:gridCol w:w="482"/>
        <w:gridCol w:w="112"/>
        <w:gridCol w:w="109"/>
        <w:gridCol w:w="109"/>
        <w:gridCol w:w="109"/>
        <w:gridCol w:w="211"/>
        <w:gridCol w:w="826"/>
        <w:gridCol w:w="160"/>
      </w:tblGrid>
      <w:tr>
        <w:trPr/>
        <w:tc>
          <w:tcPr>
            <w:tcW w:w="9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153,639 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(1)Center-level Contribution Margin from the other/reconciling category was attributable to Senior Housing for the years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Note 14:    Earnings per Share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year ended June 30, 2026 and 2025, 1,900,001 and 105,482 potentially dilutive units were excluded from the weighted-average shares used to calculate the diluted net loss per common share, respectively, as they would have an antidilutive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97"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common share:</w:t>
      </w:r>
    </w:p>
    <w:tbl>
      <w:tblPr>
        <w:tblW w:w="7308" w:type="dxa"/>
        <w:jc w:val="left"/>
        <w:tblInd w:w="0" w:type="dxa"/>
        <w:tblLayout w:type="fixed"/>
        <w:tblCellMar>
          <w:top w:w="28" w:type="dxa"/>
          <w:left w:w="28" w:type="dxa"/>
          <w:bottom w:w="28" w:type="dxa"/>
          <w:right w:w="28" w:type="dxa"/>
        </w:tblCellMar>
      </w:tblPr>
      <w:tblGrid>
        <w:gridCol w:w="1682"/>
        <w:gridCol w:w="1479"/>
        <w:gridCol w:w="1489"/>
        <w:gridCol w:w="253"/>
        <w:gridCol w:w="757"/>
        <w:gridCol w:w="131"/>
        <w:gridCol w:w="109"/>
        <w:gridCol w:w="109"/>
        <w:gridCol w:w="109"/>
        <w:gridCol w:w="227"/>
        <w:gridCol w:w="796"/>
        <w:gridCol w:w="167"/>
      </w:tblGrid>
      <w:tr>
        <w:trPr/>
        <w:tc>
          <w:tcPr>
            <w:tcW w:w="168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values</w:t>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InnovAge Holding Corp.</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135,698,603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135,387,555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EPS (basic)</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(0.02)</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135,698,603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135,387,555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EPS (diluted)</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(0.02)</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Note 15:    Subsequent Event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September 8, 2026, the date on which the consolidated financial statements were issued, and noted there were none.</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98"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2026.</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Management is responsible for establishing and maintaining adequate internal control over financial reporting for the Company. In order to evaluate the effectiveness of the Company’s internal control over financial reporting, management has conducted an assessment, including testing, using the criteria set forth by the Committee of Sponsoring Organizations (COSO) of the Treadway Commission in </w:t>
      </w:r>
      <w:r>
        <w:rPr>
          <w:rFonts w:ascii="Times New Roman;serif" w:hAnsi="Times New Roman;serif"/>
          <w:b w:val="false"/>
          <w:i/>
          <w:color w:val="000000"/>
          <w:sz w:val="20"/>
        </w:rPr>
        <w:t>Internal Control — Integrated Framework (2013 Framework)</w:t>
      </w:r>
      <w:r>
        <w:rPr>
          <w:rFonts w:ascii="Times New Roman;serif" w:hAnsi="Times New Roman;serif"/>
          <w:b w:val="false"/>
          <w:color w:val="000000"/>
          <w:sz w:val="20"/>
        </w:rPr>
        <w:t xml:space="preserve">. The Company’s internal control over financial reporting, as defined in Rule 13a-15(f) and 15d-15(f) under the Exchange Act, is a process designed to provide reasonable assurance regarding the reliability of our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Based on our assessment under the criteria established in </w:t>
      </w:r>
      <w:r>
        <w:rPr>
          <w:rFonts w:ascii="Times New Roman;serif" w:hAnsi="Times New Roman;serif"/>
          <w:b w:val="false"/>
          <w:i/>
          <w:color w:val="000000"/>
          <w:sz w:val="20"/>
        </w:rPr>
        <w:t>Internal Control — Integrated Framework (2013 Framework)</w:t>
      </w:r>
      <w:r>
        <w:rPr>
          <w:color w:val="000000"/>
        </w:rPr>
        <w:t xml:space="preserve"> </w:t>
      </w:r>
      <w:r>
        <w:rPr>
          <w:rFonts w:ascii="Times New Roman;serif" w:hAnsi="Times New Roman;serif"/>
          <w:b w:val="false"/>
          <w:color w:val="000000"/>
          <w:sz w:val="20"/>
        </w:rPr>
        <w:t>issued by the COSO, management has concluded that the Company maintained effective internal control over</w:t>
      </w:r>
      <w:r>
        <w:rPr>
          <w:color w:val="000000"/>
        </w:rPr>
        <w:t xml:space="preserve"> </w:t>
      </w:r>
      <w:r>
        <w:rPr>
          <w:rFonts w:ascii="Times New Roman;serif" w:hAnsi="Times New Roman;serif"/>
          <w:b w:val="false"/>
          <w:color w:val="000000"/>
          <w:sz w:val="20"/>
        </w:rPr>
        <w:t xml:space="preserve">financial reporting as of June 30, 2026.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Attestation Report of the Registered Public Accounting Firm</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attestation report of Deloitte &amp; Touche LLP, our independent registered public accounting firm, on the effectiveness of our internal control over financial reporting as of June 30, 2026 is included in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this Annual Report.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Changes to our Internal Control over Financial Reporting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Insider Trading Arrangements and policies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 2026, Nicole D’Amato, the Company’s Chief Legal Officer and Corporate Secretary, adopted a Rule 10b5-1 trading arrangement (as defined in Item 408(a) of Regulation S-K) intended to satisfy the affirmative defense of Rule 10b5-1(c) under the Exchange Act for the sale of up to 34,021 shares of the Company’s common stock through September 25, 2027, or upon the earlier completion of all authorized transactions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99"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other than the information regarding the code of ethics and business conduct set forth below, will be set forth in the Proxy Statement relating to our upcoming Annual Meeting of Stockholders (the “Proxy Statement”), which is expected to be filed with the Securities and Exchange Commission (the “SEC”) within 120 days of the fiscal year ended June 30, 2026, and is incorporated in herein by reference.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 written Code of Ethics that applies to our directors, executive officers and employees, including our Chief Executive Officer, Chief Financial Officer and officers responsible for financial reporting. A current copy of the code is publicly available under “Governance” on the Investor Relations section of our website, https://investor.innovage.com. We intend to satisfy the disclosure requirements under Item 5.05 of Form 8-K regarding any substantive amendments to or waivers from the Code of Ethics (to the extent applicable to our Chief Executive Officer, Chief Financial Officer or officers responsible for financial reporting) on this page of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which is expected to be filed with the SEC no later than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which is expected to be filed with the SEC no later than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which is expected to be filed with the SEC no later than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which is expected to be filed with the SEC no later than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100"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Annual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(1)FINANCIAL STATEMENTS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required under this Item begin on page 69 of this Annual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(2)FINANCIAL STATEMENT SCHEDULES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schedules are omitted because the required information is either inapplicable or presented within the consolidated financial statements or related notes.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(3)EXHIBITS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Exhibits not filed herewith are incorporated by reference to exhibits previously filed with the SEC, as reflected in the table below.</w:t>
      </w:r>
    </w:p>
    <w:tbl>
      <w:tblPr>
        <w:tblW w:w="10205" w:type="dxa"/>
        <w:jc w:val="left"/>
        <w:tblInd w:w="0" w:type="dxa"/>
        <w:tblLayout w:type="fixed"/>
        <w:tblCellMar>
          <w:top w:w="28" w:type="dxa"/>
          <w:left w:w="28" w:type="dxa"/>
          <w:bottom w:w="28" w:type="dxa"/>
          <w:right w:w="28" w:type="dxa"/>
        </w:tblCellMar>
      </w:tblPr>
      <w:tblGrid>
        <w:gridCol w:w="292"/>
        <w:gridCol w:w="257"/>
        <w:gridCol w:w="259"/>
        <w:gridCol w:w="109"/>
        <w:gridCol w:w="109"/>
        <w:gridCol w:w="109"/>
        <w:gridCol w:w="2686"/>
        <w:gridCol w:w="2639"/>
        <w:gridCol w:w="374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Second Amended and Restated Certificate of Incorporation of InnovAge Holding Corp., filed March 3, 2021 (incorporated by reference to Exhibit 3.1 to the Company’s Current Report on Form 8-K filed with the SEC on March 8, 2021).</w:t>
              </w:r>
            </w:hyperlink>
            <w:r>
              <w:rPr>
                <w:color w:val="000000"/>
              </w:rPr>
              <w:t xml:space="preserve"> </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Certificate of Amendment to the Second Amended and Restated Certificate of Incorporation of InnovAge Holding Corp. (incorporated by reference to Exhibit 3.2 to the Company’s Quarterly Report on Form 10-Q filed with the SEC on February 2, 2025).</w:t>
              </w:r>
            </w:hyperlink>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Amended and Restated Bylaws of InnovAge Holding Corp., effective March 3, 2021 (incorporated by reference to Exhibit 3.2 to the Company’s Current Report on Form 8-K filed with the SEC on March 8, 2021).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80"/>
                  <w:sz w:val="20"/>
                  <w:u w:val="single"/>
                </w:rPr>
                <w:t>Description of Securities</w:t>
              </w:r>
            </w:hyperlink>
            <w:hyperlink r:id="rId7">
              <w:r>
                <w:rPr>
                  <w:rStyle w:val="InternetLink"/>
                  <w:rFonts w:ascii="Times New Roman;serif" w:hAnsi="Times New Roman;serif"/>
                  <w:b w:val="false"/>
                  <w:color w:val="000080"/>
                  <w:sz w:val="20"/>
                  <w:u w:val="single"/>
                </w:rPr>
                <w:t xml:space="preserve"> (incorporated by reference to Exhibit 4 to the Company</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s Annual Report on Form 10-K filed with the SEC on September 9, 2025)</w:t>
              </w:r>
            </w:hyperlink>
            <w:hyperlink r:id="rId10">
              <w:r>
                <w:rPr>
                  <w:rStyle w:val="InternetLink"/>
                  <w:rFonts w:ascii="Times New Roman;serif" w:hAnsi="Times New Roman;serif"/>
                  <w:b w:val="false"/>
                  <w:color w:val="000080"/>
                  <w:sz w:val="20"/>
                  <w:u w:val="single"/>
                </w:rPr>
                <w:t>.</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Registration Rights Agreement, dated as of March 8, 2021, by and among the Company and the other signatories party thereto (incorporated by reference to Exhibit 4.1 to the Company’s Current Report on Form 8-K filed with the SEC on March 8, 2021).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Director Nomination Agreement, dated as of March 8, 2021, by and among the Company and the other signatories party thereto (incorporated by reference to Exhibit 10.1 to the Company’s Current Report on Form 8-K filed with the SEC on March 8, 2021).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Credit Agreement, dated as of March 8, 2021, by and among Total Community Options, Inc., the Borrower, JPMorgan Chase Bank, N.A., as administrative agent, and the other parties thereto (incorporated by reference to Exhibit 10.1 to the Company’s Current Report on Form 8-K filed with the SEC on March 12, 2021).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Amendment No. 1 to the Credit Agreement, dated as of June 14, 2023, among TCO Intermediate Holdings, Inc., Total Community Options, Inc., each subsidiary loan party thereto, and JPMorgan Chase Bank, N.A., as administrative agent and as collateral agent (incorporated by reference to Exhibit 10.3 to the Company’s Annual Report on Form 10-K filed with the SEC on September 12, 2023).</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Amendment No. 2 to the Credit Agreement, dated as of August 8, 2025, by and among Total Community Options, Inc., TCO Intermediate Holdings, Inc., JPMorgan Chase Bank, N.A., as administrative agent, and the other parties thereto (including Exhibit A, which is a conformed copy of the Credit Agreement) (incorporated by reference to Exhibit 10.1 to the Company’s Current Report on Form 8-K filed with the SEC on August 11,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39"/>
        <w:gridCol w:w="211"/>
        <w:gridCol w:w="214"/>
        <w:gridCol w:w="109"/>
        <w:gridCol w:w="109"/>
        <w:gridCol w:w="109"/>
        <w:gridCol w:w="2695"/>
        <w:gridCol w:w="2695"/>
        <w:gridCol w:w="3824"/>
      </w:tblGrid>
      <w:tr>
        <w:trPr/>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Form of Director and Officer Indemnification Agreement between the Company and each of its directors and executive officers (incorporated by reference to Exhibit 10.2 to the Company’s Registration Statement on Form S-1 filed with the SEC on February 8, 2021).</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Employment Agreement, effective as of December 1, 2021, by and between InnovAge Holding Corp. and Patrick Blair (incorporated by reference to Exhibit 10.1 to the Company’s Current Report on Form 8-K filed with the SEC on November 12, 2021).</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Amended Employment Agreement, dated as of October 31, 2024, by and between Total Community Options, Inc. and Patrick Blair (incorporated by reference to Exhibit 10.4 to the Company’s Current Report on Form 8-K filed with the SEC on November 4, 2024).</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Class B Unit Award Agreement, effective August 30, 2023, by and between TCO Group Holdings, L.P. and Patrick Blair (incorporated by reference to Exhibit 10.1 to the Company’s Current Report on Form 8-K filed with the SEC on September 1, 2023).</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Class B Unit Award Agreement, dated as of September 5, 2025, by and between TCO Group Holdings, L.P. and Patrick Blair (incorporated by reference to Exhibit 10.9 to the Company's Annual Report on Form 10-K filed with the SEC on September 9, 2025).</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Employment Agreement, dated May 11, 2026, by and between Total Community Options, Inc. and Jennifer Browne (incorporated by reference to Exhibit 10.1 to the Company's Current Report on Form 8-K filed with the SEC on May 12, 2026).</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Class B Unit Award Agreement, dated May 11, 2026, by and between TCO Group Holdings, L.P. and Jennifer Browne (incorporated by reference to Exhibit 10.2 to the Company's Current Report on Form 8-K filed with the SEC on May 12, 2026).</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Employment Agreement, dated as of July 3, 2023, by and between Total Community Options, Inc. and Benjamin C. Adams (incorporated by reference to Exhibit 10.1 to the Company’s Current Report on Form 8-K filed with the SEC on July 5, 2023).</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Class B Unit Award Agreement, effective as of July 10, 2023, by and between TCO Group Holdings, L.P. and Benjamin C. Adams (incorporated by reference to Exhibit 10.2 to the Company’s Current Report on Form 8-K filed with the SEC on July 5, 2023).</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Class B Unit Award Agreement, dated as of September 5, 2025, by and between TCO Group Holdings, L.P. and Benjamin C. Adams (incorporated by reference to Exhibit 10.14 to the Company's Annual Report on Form 10-K filed with the SEC on September 9, 2025).</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Employment Agreement, dated as of November 30, 2021, by and between Nicole D’Amato and Total Community Options, Inc. (incorporated by reference to Exhibit 10.6 to the Company’s Annual Report on Form 10-K filed with the SEC on September 13, 2022).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Class B Unit Award Agreement, dated as of December 18, 2023, by and between TCO Group Holdings, L.P. and Nicole D’Amato (incorporated by reference to Exhibit 10.1 to the Company’s Current Report on Form 8-K filed with the SEC on December 19, 2023).</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Class B Unit Award Agreement, dated as of September 5, 2025, by and between TCO Group Holdings, L.P. and Nicole D’Amato (incorporated by reference to Exhibit 10.17 to the Company's Annual Report on Form 10-K filed with the SEC on September 9, 2025).</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InnovAge Holding Corp. 2021 Omnibus Incentive Plan (incorporated by reference to Exhibit 10.1 to the Company’s Registration Statement on Form S-8 filed with the SEC on March 5, 2021).</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 xml:space="preserve">Employment Agreement, effective September 30, 2025, by and between Total Community Options, Inc. and Meredith Delk (incorporated by reference to Exhibit 10.2 to the Company’s Quarterly Report on Form 10-Q filed with the SEC on November 4, 2025). </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80"/>
                  <w:sz w:val="20"/>
                  <w:u w:val="single"/>
                </w:rPr>
                <w:t>C</w:t>
              </w:r>
            </w:hyperlink>
            <w:hyperlink r:id="rId32">
              <w:r>
                <w:rPr>
                  <w:rStyle w:val="InternetLink"/>
                  <w:rFonts w:ascii="Times New Roman;serif" w:hAnsi="Times New Roman;serif"/>
                  <w:b w:val="false"/>
                  <w:color w:val="000080"/>
                  <w:sz w:val="20"/>
                  <w:u w:val="single"/>
                </w:rPr>
                <w:t>lass B Unit Award Agreement, dated as of September 5, 2025, by and between TCO Group Holdings, L.P. and Meredith Delk (incorporated by reference to Exhibit 10.6 to the Company</w:t>
              </w:r>
            </w:hyperlink>
            <w:hyperlink r:id="rId33">
              <w:r>
                <w:rPr>
                  <w:rStyle w:val="InternetLink"/>
                  <w:rFonts w:ascii="Times New Roman;serif" w:hAnsi="Times New Roman;serif"/>
                  <w:b w:val="false"/>
                  <w:color w:val="000080"/>
                  <w:sz w:val="20"/>
                  <w:u w:val="single"/>
                </w:rPr>
                <w:t>’</w:t>
              </w:r>
            </w:hyperlink>
            <w:hyperlink r:id="rId34">
              <w:r>
                <w:rPr>
                  <w:rStyle w:val="InternetLink"/>
                  <w:rFonts w:ascii="Times New Roman;serif" w:hAnsi="Times New Roman;serif"/>
                  <w:b w:val="false"/>
                  <w:color w:val="000080"/>
                  <w:sz w:val="20"/>
                  <w:u w:val="single"/>
                </w:rPr>
                <w:t>s Quarterly Report on Form 10-Q filed with the SEC on November 4, 2025).</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1021-paultaheriemploymen.htm">
              <w:r>
                <w:rPr>
                  <w:rStyle w:val="InternetLink"/>
                  <w:rFonts w:ascii="Times New Roman;serif" w:hAnsi="Times New Roman;serif"/>
                  <w:b w:val="false"/>
                  <w:color w:val="0000FF"/>
                  <w:sz w:val="20"/>
                  <w:u w:val="single"/>
                </w:rPr>
                <w:t>Employment Agreement, dated August 17, 2026, by and between Total Community Options, Inc. and Paul Taheri.</w:t>
              </w:r>
            </w:hyperlink>
          </w:p>
        </w:tc>
      </w:tr>
      <w:tr>
        <w:trPr/>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1022-tcogroupholdingslpx.htm">
              <w:r>
                <w:rPr>
                  <w:rStyle w:val="InternetLink"/>
                  <w:rFonts w:ascii="Times New Roman;serif" w:hAnsi="Times New Roman;serif"/>
                  <w:b w:val="false"/>
                  <w:color w:val="0000FF"/>
                  <w:sz w:val="20"/>
                  <w:u w:val="single"/>
                </w:rPr>
                <w:t>Class B Unit Award Agreement, dated as of August 17, 2026, by and between TCO Group Holdings, L.P. and Paul Taheri.</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85"/>
        <w:gridCol w:w="251"/>
        <w:gridCol w:w="253"/>
        <w:gridCol w:w="109"/>
        <w:gridCol w:w="109"/>
        <w:gridCol w:w="109"/>
        <w:gridCol w:w="2721"/>
        <w:gridCol w:w="2636"/>
        <w:gridCol w:w="3732"/>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TCO Group Holdings, L.P. 2020 Equity Incentive Plan (incorporated by reference to Exhibit 10.20 to the Company’s Annual Report on Form 10-K filed with the SEC on September 12, 2023).</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Form of Stock Option Grant Notice and Agreement (incorporated by reference to Exhibit 10.9 to the Company’s Registration Statement on Form S-1/A filed with the SEC on February 24, 2021).</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Form of Restricted Stock Unit Grant Notice and Agreement (incorporated by reference to Exhibit 10.19 to the Company's Annual Report on Form 10-K filed with the SEC on September 10, 2024).</w:t>
              </w:r>
            </w:hyperlink>
            <w:r>
              <w:rPr>
                <w:color w:val="000000"/>
              </w:rPr>
              <w:t xml:space="preserve"> </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Insider Trading Policy (incorporated by reference to Exhibit 19 to the Company's Annual Report on Form 10-K filed with the SEC on September 9, 2025).</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21-subsidiarylistx2026_.htm">
              <w:r>
                <w:rPr>
                  <w:rStyle w:val="InternetLink"/>
                  <w:rFonts w:ascii="Times New Roman;serif" w:hAnsi="Times New Roman;serif"/>
                  <w:b w:val="false"/>
                  <w:color w:val="0000FF"/>
                  <w:sz w:val="20"/>
                  <w:u w:val="single"/>
                </w:rPr>
                <w:t>Subsidiaries of InnovAge Holding Corp.</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23-fy26deloitteconsent.htm">
              <w:r>
                <w:rPr>
                  <w:rStyle w:val="InternetLink"/>
                  <w:rFonts w:ascii="Times New Roman;serif" w:hAnsi="Times New Roman;serif"/>
                  <w:b w:val="false"/>
                  <w:color w:val="0000FF"/>
                  <w:sz w:val="20"/>
                  <w:u w:val="single"/>
                </w:rPr>
                <w:t>Consent of Deloitte &amp; Touche LLP</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60630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60630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60630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60630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20"/>
                  <w:u w:val="single"/>
                </w:rPr>
                <w:t xml:space="preserve">Clawback Policy (incorporated by reference to Exhibit 97 to the Company’s Annual Report on Form 10-K filed with the SEC on September 10, 2024). </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83"/>
        <w:ind w:left="0" w:right="0" w:hanging="720"/>
        <w:jc w:val="both"/>
        <w:rPr>
          <w:color w:val="000000"/>
        </w:rPr>
      </w:pPr>
      <w:r>
        <w:rPr>
          <w:color w:val="000000"/>
        </w:rPr>
        <w:t>†    </w:t>
      </w:r>
      <w:r>
        <w:rPr>
          <w:rFonts w:ascii="Times New Roman;serif" w:hAnsi="Times New Roman;serif"/>
          <w:b w:val="false"/>
          <w:color w:val="000000"/>
          <w:sz w:val="20"/>
        </w:rPr>
        <w:t>Furnished (and not filed) herewith pursuant to Item 601(b)(32)(ii) of the SEC’s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3"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color w:val="000000"/>
          <w:sz w:val="20"/>
        </w:rPr>
        <w:t>.</w:t>
      </w:r>
    </w:p>
    <w:tbl>
      <w:tblPr>
        <w:tblW w:w="5432" w:type="dxa"/>
        <w:jc w:val="left"/>
        <w:tblInd w:w="0" w:type="dxa"/>
        <w:tblLayout w:type="fixed"/>
        <w:tblCellMar>
          <w:top w:w="28" w:type="dxa"/>
          <w:left w:w="28" w:type="dxa"/>
          <w:bottom w:w="28" w:type="dxa"/>
          <w:right w:w="28" w:type="dxa"/>
        </w:tblCellMar>
      </w:tblPr>
      <w:tblGrid>
        <w:gridCol w:w="764"/>
        <w:gridCol w:w="673"/>
        <w:gridCol w:w="677"/>
        <w:gridCol w:w="436"/>
        <w:gridCol w:w="436"/>
        <w:gridCol w:w="436"/>
        <w:gridCol w:w="587"/>
        <w:gridCol w:w="587"/>
        <w:gridCol w:w="83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33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INNOVAGE HOLDING CORP.</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00" w:after="283"/>
        <w:jc w:val="center"/>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and in the capacities indicated as of September 8, 2026.</w:t>
      </w:r>
    </w:p>
    <w:tbl>
      <w:tblPr>
        <w:tblW w:w="9252" w:type="dxa"/>
        <w:jc w:val="left"/>
        <w:tblInd w:w="0" w:type="dxa"/>
        <w:tblLayout w:type="fixed"/>
        <w:tblCellMar>
          <w:top w:w="28" w:type="dxa"/>
          <w:left w:w="28" w:type="dxa"/>
          <w:bottom w:w="28" w:type="dxa"/>
          <w:right w:w="28" w:type="dxa"/>
        </w:tblCellMar>
      </w:tblPr>
      <w:tblGrid>
        <w:gridCol w:w="733"/>
        <w:gridCol w:w="644"/>
        <w:gridCol w:w="648"/>
        <w:gridCol w:w="109"/>
        <w:gridCol w:w="109"/>
        <w:gridCol w:w="109"/>
        <w:gridCol w:w="2015"/>
        <w:gridCol w:w="2015"/>
        <w:gridCol w:w="2870"/>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Ellis Bush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Ellis Bush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Carlson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Carlson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Cavanna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Cavanna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Fontneau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Fontneau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Kennedy,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Edward Kennedy,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Pavithra Mahesh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Pavithra Mahesh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Scully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 of the Board</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Scully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2260"/>
                <wp:effectExtent l="0" t="0" r="0" b="0"/>
                <wp:wrapNone/>
                <wp:docPr id="104" name="Frame10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00" w:after="283"/>
        <w:jc w:val="left"/>
        <w:rPr/>
      </w:pPr>
      <w:hyperlink w:anchor="i8e9d346baee346229380c42074ada2e5_7">
        <w:r>
          <w:rPr>
            <w:rStyle w:val="InternetLink"/>
            <w:rFonts w:ascii="Times New Roman;serif" w:hAnsi="Times New Roman;serif"/>
            <w:b w:val="false"/>
            <w:color w:val="0000EE"/>
            <w:sz w:val="20"/>
            <w:u w:val="single"/>
          </w:rPr>
          <w:t xml:space="preserve">Table </w:t>
        </w:r>
      </w:hyperlink>
      <w:hyperlink w:anchor="i8e9d346baee346229380c42074ada2e5_7">
        <w:r>
          <w:rPr>
            <w:rStyle w:val="InternetLink"/>
            <w:rFonts w:ascii="Times New Roman;serif" w:hAnsi="Times New Roman;serif"/>
            <w:b w:val="false"/>
            <w:color w:val="0000FF"/>
            <w:sz w:val="20"/>
            <w:u w:val="single"/>
          </w:rPr>
          <w:t>of</w:t>
        </w:r>
      </w:hyperlink>
      <w:hyperlink w:anchor="i8e9d346baee346229380c42074ada2e5_7">
        <w:r>
          <w:rPr>
            <w:rStyle w:val="InternetLink"/>
            <w:color w:val="0000EE"/>
            <w:u w:val="single"/>
          </w:rPr>
          <w:t xml:space="preserve"> </w:t>
        </w:r>
      </w:hyperlink>
      <w:hyperlink w:anchor="i8e9d346baee346229380c42074ada2e5_7">
        <w:r>
          <w:rPr>
            <w:rStyle w:val="InternetLink"/>
            <w:rFonts w:ascii="Times New Roman;serif" w:hAnsi="Times New Roman;serif"/>
            <w:b w:val="false"/>
            <w:color w:val="0000EE"/>
            <w:sz w:val="20"/>
            <w:u w:val="single"/>
          </w:rPr>
          <w:t>Contents</w:t>
        </w:r>
      </w:hyperlink>
    </w:p>
    <w:tbl>
      <w:tblPr>
        <w:tblW w:w="2968" w:type="dxa"/>
        <w:jc w:val="left"/>
        <w:tblInd w:w="0" w:type="dxa"/>
        <w:tblLayout w:type="fixed"/>
        <w:tblCellMar>
          <w:top w:w="28" w:type="dxa"/>
          <w:left w:w="28" w:type="dxa"/>
          <w:bottom w:w="28" w:type="dxa"/>
          <w:right w:w="28" w:type="dxa"/>
        </w:tblCellMar>
      </w:tblPr>
      <w:tblGrid>
        <w:gridCol w:w="661"/>
        <w:gridCol w:w="582"/>
        <w:gridCol w:w="587"/>
        <w:gridCol w:w="109"/>
        <w:gridCol w:w="109"/>
        <w:gridCol w:w="109"/>
        <w:gridCol w:w="237"/>
        <w:gridCol w:w="237"/>
        <w:gridCol w:w="33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Teresa Sparks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Teresa Sparks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Marilyn Tavenner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Marilyn Tavenner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Sean Traynor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Sean Traynor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Zoretic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Zoretic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2260"/>
                <wp:effectExtent l="0" t="0" r="0" b="0"/>
                <wp:wrapNone/>
                <wp:docPr id="105" name="Frame10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74" w:after="283"/>
        <w:jc w:val="center"/>
        <w:rPr>
          <w:rFonts w:ascii="Times New Roman;serif" w:hAnsi="Times New Roman;serif"/>
          <w:b/>
          <w:color w:val="000000"/>
          <w:sz w:val="24"/>
          <w:u w:val="single"/>
        </w:rPr>
      </w:pPr>
      <w:r>
        <w:rPr>
          <w:rFonts w:ascii="Times New Roman;serif" w:hAnsi="Times New Roman;serif"/>
          <w:b/>
          <w:color w:val="000000"/>
          <w:sz w:val="24"/>
          <w:u w:val="single"/>
        </w:rPr>
        <w:t>EMPLOYMENT AGREEMENT</w:t>
      </w:r>
    </w:p>
    <w:p>
      <w:pPr>
        <w:pStyle w:val="TextBody"/>
        <w:bidi w:val="0"/>
        <w:spacing w:lineRule="auto" w:line="309" w:before="22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EMPLOYMENT AGREEMENT (this “Agreement”) is made and entered into as of this August 17, 2026, by and between Total Community Options, Inc., d/b/a InnovAge, a Colorado corporation (the “Company”), and Paul Taheri, MD (the “Executive”), and will become effective on the Executive’s employment start date of August 17, 2026 (the “Effective Date”).</w:t>
      </w:r>
    </w:p>
    <w:p>
      <w:pPr>
        <w:pStyle w:val="TextBody"/>
        <w:bidi w:val="0"/>
        <w:spacing w:lineRule="auto" w:line="288" w:before="219" w:after="283"/>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lineRule="auto" w:line="307" w:before="24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desires to offer to the Executive employment on the terms and conditions set forth in this Agreement. In consideration of the foregoing premises and the mutual promises, terms, provisions and conditions set forth in this Agreement, the parties hereby agree:</w:t>
      </w:r>
    </w:p>
    <w:p>
      <w:pPr>
        <w:pStyle w:val="TextBody"/>
        <w:bidi w:val="0"/>
        <w:spacing w:lineRule="auto" w:line="307" w:before="220" w:after="283"/>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r>
        <w:rPr>
          <w:rFonts w:ascii="Times New Roman;serif" w:hAnsi="Times New Roman;serif"/>
          <w:b w:val="false"/>
          <w:color w:val="000000"/>
          <w:sz w:val="24"/>
        </w:rPr>
        <w:t>. The Executive’s employment shall be subject to the terms and conditions set forth in this Agreement.</w:t>
      </w:r>
    </w:p>
    <w:p>
      <w:pPr>
        <w:pStyle w:val="TextBody"/>
        <w:bidi w:val="0"/>
        <w:spacing w:lineRule="auto" w:line="307" w:before="219" w:after="283"/>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This Agreement will continue in effect from the Effective Date until terminated in accordance with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hereof. The term of this Agreement is hereafter referred to as “the term of this Agreement” or “the term hereof”. In the event the Executive does not commence employment on the Effective Date, this Agreement shall terminate ab initio.</w:t>
      </w:r>
    </w:p>
    <w:p>
      <w:pPr>
        <w:pStyle w:val="TextBody"/>
        <w:bidi w:val="0"/>
        <w:spacing w:lineRule="auto" w:line="288" w:before="221" w:after="283"/>
        <w:ind w:left="0" w:right="0" w:hanging="707"/>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Capacities and Performance</w:t>
      </w:r>
      <w:r>
        <w:rPr>
          <w:rFonts w:ascii="Times New Roman;serif" w:hAnsi="Times New Roman;serif"/>
          <w:b w:val="false"/>
          <w:color w:val="000000"/>
          <w:sz w:val="24"/>
        </w:rPr>
        <w:t>.</w:t>
      </w:r>
    </w:p>
    <w:p>
      <w:pPr>
        <w:pStyle w:val="TextBody"/>
        <w:bidi w:val="0"/>
        <w:spacing w:lineRule="auto" w:line="307" w:before="245"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(a)During the term hereof, the Executive shall be employed by the Company on a full-time basis and shall serve the Company as its Chief Medical Officer. In such capacity, the Executive shall report directly to the Chief Executive Officer of the Company (the “Chief Executive Officer”), and the Executive shall have such duties as are consistent with the Executive’s position and as may from time to time be assigned to the Executive by the Chief Executive Officer or the Board of Directors of the Company (the “Board”).</w:t>
      </w:r>
    </w:p>
    <w:p>
      <w:pPr>
        <w:pStyle w:val="TextBody"/>
        <w:bidi w:val="0"/>
        <w:spacing w:lineRule="auto" w:line="307" w:before="221" w:after="283"/>
        <w:ind w:left="0" w:right="0" w:firstLine="2160"/>
        <w:jc w:val="both"/>
        <w:rPr/>
      </w:pPr>
      <w:r>
        <w:rPr>
          <w:rFonts w:ascii="Times New Roman;serif" w:hAnsi="Times New Roman;serif"/>
          <w:b w:val="false"/>
          <w:color w:val="000000"/>
          <w:sz w:val="24"/>
        </w:rPr>
        <w:t xml:space="preserve">(b)During the term hereof, the Executive shall devote substantially all of the Executive’s full business time and the Executive’s best efforts, business judgment, skill and knowledge to the advancement of the business and interests of the Company and its Affiliates (as defined below) and to the discharge of the Executive’s duties and responsibilities hereunder. The Executive shall not engage in any other business activity or serve in any industry, trade, professional, governmental or academic position during the term of this Agreement, except as may be expressly approved in advance by the Chief Executive Officer in writing, which approval shall not be unreasonably withheld; provided, however, that the Executive may without advance consent continue to provide ad hoc consulting services to Welsh Carlson Anderson &amp; Stowe (“WCAS”) and Board service to Severo, participate in charitable activities and passive personal investment activities and manage his personal financial affairs, provided that such activities do not, individually or in the aggregate, interfere with the performance of the Executive’s duties under this Agreement, are not in conflict with the business interests of the Company or any of its Affiliates and do not violate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01040"/>
                <wp:effectExtent l="0" t="0" r="0" b="0"/>
                <wp:wrapNone/>
                <wp:docPr id="106" name="Frame10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221"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(c)During the term hereof, the Executive shall comply with all of the Company’s written policies, practices and codes of conduct applicable to the Executive’s position, as in effect from time to time.</w:t>
      </w:r>
    </w:p>
    <w:p>
      <w:pPr>
        <w:pStyle w:val="TextBody"/>
        <w:bidi w:val="0"/>
        <w:spacing w:lineRule="auto" w:line="307" w:before="221"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(d)The Executive’s principal place of employment will be in Redding Center, Connecticut, in the Executive’s home office (or such other location chosen by the Executive, subject to the Company’s approval, with such approval to not be unreasonably withheld), subject to any required travel to the Company’s offices or such other locations from time to time, which Executive acknowledges is reasonable. </w:t>
      </w:r>
    </w:p>
    <w:p>
      <w:pPr>
        <w:pStyle w:val="TextBody"/>
        <w:bidi w:val="0"/>
        <w:spacing w:lineRule="auto" w:line="300" w:before="219" w:after="283"/>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Compensation and Benefits</w:t>
      </w:r>
      <w:r>
        <w:rPr>
          <w:color w:val="000000"/>
        </w:rPr>
        <w:t xml:space="preserve"> </w:t>
      </w:r>
      <w:r>
        <w:rPr>
          <w:rFonts w:ascii="Times New Roman;serif" w:hAnsi="Times New Roman;serif"/>
          <w:b w:val="false"/>
          <w:color w:val="000000"/>
          <w:sz w:val="24"/>
        </w:rPr>
        <w:t>As compensation for all services performed by the Executive hereunder during the term hereof, and subject to performance of the Executive’s duties and responsibilities to the Company and its Affiliates, pursuant to this Agreement or otherwise, the Company shall pay certain compensation and provide certain benefits to the Executive, as follows:</w:t>
      </w:r>
    </w:p>
    <w:p>
      <w:pPr>
        <w:pStyle w:val="TextBody"/>
        <w:bidi w:val="0"/>
        <w:spacing w:lineRule="auto" w:line="307" w:before="220" w:after="283"/>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term of this Agreement, the Company will pay the Executive an annual base salary commensurate with the Executive’s performance and experience within the compensation philosophy established by the Company; the Executive’s initial annual base salary rate will be $490,000. The Executive will be paid the Executive’s annual base salary in accordance with the normal payroll practices of the Company as in effect from time to time (but no less frequently than monthly); the Executive’s annual base salary, as from time to time adjusted, is hereafter referred to as the “Base Salary”. The Chief Executive Officer, following consultation with the Board, shall review the Base Salary each year for increase, but shall not decrease the Base Salary.</w:t>
      </w:r>
    </w:p>
    <w:p>
      <w:pPr>
        <w:pStyle w:val="TextBody"/>
        <w:bidi w:val="0"/>
        <w:spacing w:lineRule="auto" w:line="302" w:before="220" w:after="283"/>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 Compensation</w:t>
      </w:r>
      <w:r>
        <w:rPr>
          <w:rFonts w:ascii="Times New Roman;serif" w:hAnsi="Times New Roman;serif"/>
          <w:b w:val="false"/>
          <w:color w:val="000000"/>
          <w:sz w:val="24"/>
        </w:rPr>
        <w:t>. For each fiscal year occurring during the term hereof, beginning with the 2027 fiscal year, the Executive shall be eligible, but not entitled, to receive a discretionary annual bonus (the “Annual Bonus”), targeted at sixty percent (60%) of the Executive’s Base Salary (the “Target Bonus”). The actual amount of the Annual Bonus due for a given fiscal year, if any, will be determined by the Chief Executive Officer, in consultation with the Board, acting in good faith and based on the achievement of pre-established performance criteria. The performance criteria shall be based on criteria established by the Board in consultation with the Chief Executive Officer no later than the sixtieth (60</w:t>
      </w:r>
      <w:r>
        <w:rPr>
          <w:rFonts w:ascii="Times New Roman;serif" w:hAnsi="Times New Roman;serif"/>
          <w:b w:val="false"/>
          <w:color w:val="000000"/>
          <w:sz w:val="16"/>
        </w:rPr>
        <w:t>th</w:t>
      </w:r>
      <w:r>
        <w:rPr>
          <w:rFonts w:ascii="Times New Roman;serif" w:hAnsi="Times New Roman;serif"/>
          <w:b w:val="false"/>
          <w:color w:val="000000"/>
          <w:sz w:val="24"/>
        </w:rPr>
        <w:t>) day of the fiscal year. Any Annual Bonus earned for a fiscal year shall be paid within thirty (30) days after the Board has received, reviewed, and approved the applicable fiscal year’s final audited statements, and in any event no later than December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 xml:space="preserve">of the calendar year in which such fiscal year ends. Subject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hereof, in order to receive the Annual Bonus for any fiscal year, the Executive must be continuously employed by the Company both through the last day of the fiscal year to which performance relates and the date of payment. </w:t>
      </w:r>
    </w:p>
    <w:p>
      <w:pPr>
        <w:pStyle w:val="TextBody"/>
        <w:bidi w:val="0"/>
        <w:spacing w:lineRule="auto" w:line="302" w:before="220" w:after="283"/>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Long Term Incentive Plan</w:t>
      </w:r>
      <w:r>
        <w:rPr>
          <w:rFonts w:ascii="Times New Roman;serif" w:hAnsi="Times New Roman;serif"/>
          <w:b w:val="false"/>
          <w:color w:val="000000"/>
          <w:sz w:val="24"/>
        </w:rPr>
        <w:t>. For each fiscal year occurring during the term hereof, beginning with the 2027 fiscal year, the Executive shall be eligible, but not entitled, to receive a discretionary annual award of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xml:space="preserve">) with a target value of approximately $400,000, which will vest in equal one-third (1/3) installments on each of the first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01040"/>
                <wp:effectExtent l="0" t="0" r="0" b="0"/>
                <wp:wrapNone/>
                <wp:docPr id="107" name="Frame10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20" w:after="283"/>
        <w:jc w:val="both"/>
        <w:rPr/>
      </w:pPr>
      <w:r>
        <w:rPr>
          <w:rFonts w:ascii="Times New Roman;serif" w:hAnsi="Times New Roman;serif"/>
          <w:b w:val="false"/>
          <w:color w:val="000000"/>
          <w:sz w:val="24"/>
        </w:rPr>
        <w:t xml:space="preserve">three (3) anniversaries of the date of grant, subject to the Executive’s continued employment with the Company on each applicable vesting date. Each RSU award will be subject to approval by the Committee (as defined in the Plan) and subject to an RSU agreement, substantially in the form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the Plan, and any other restrictions and limitations generally applicable to the equity of the Company or otherwise imposed by law. </w:t>
      </w:r>
    </w:p>
    <w:p>
      <w:pPr>
        <w:pStyle w:val="TextBody"/>
        <w:bidi w:val="0"/>
        <w:spacing w:lineRule="auto" w:line="302" w:before="220" w:after="283"/>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Paid Time Off</w:t>
      </w:r>
      <w:r>
        <w:rPr>
          <w:rFonts w:ascii="Times New Roman;serif" w:hAnsi="Times New Roman;serif"/>
          <w:b w:val="false"/>
          <w:color w:val="000000"/>
          <w:sz w:val="24"/>
        </w:rPr>
        <w:t>. Executive shall be eligible to use paid time off pursuant to the Company’s Flexible Time Away policy. This time may be used at such times and intervals as shall be determined by the Executive, subject to the reasonable business needs of the Company. Executive’s entitlement to paid time off is subject to change, at any time without advance notice, should the Company revise its policy relating to time off entitlements for executives. Paid time off usage and other terms and conditions is otherwise be governed by the policies of the Company, as may be amended, and modified from time to time.</w:t>
      </w:r>
    </w:p>
    <w:p>
      <w:pPr>
        <w:pStyle w:val="TextBody"/>
        <w:bidi w:val="0"/>
        <w:spacing w:lineRule="auto" w:line="302" w:before="244" w:after="283"/>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Employee Benefit Plans</w:t>
      </w:r>
      <w:r>
        <w:rPr>
          <w:rFonts w:ascii="Times New Roman;serif" w:hAnsi="Times New Roman;serif"/>
          <w:b w:val="false"/>
          <w:color w:val="000000"/>
          <w:sz w:val="24"/>
        </w:rPr>
        <w:t>. During the term hereof and subject to any contribution therefore generally required of similarly-situated employees of the Company, the Executive shall be entitled to participate in any and all employee benefit plans from time to time in effect for employees of the Company generally (the “Employee Benefit Plans”), except to the extent any Employee Benefit Plan provides for benefits otherwise provided to the Executive hereunder (e.g., a severance pay plan). Such participation shall be subject to (i) the terms of the applicable Employee Benefit Plan documents, (ii) generally applicable Company policies and (iii) the discretion of the Company or any administrative or other committee provided for under, or contemplated by, such Employee Benefit Plan.</w:t>
      </w:r>
    </w:p>
    <w:p>
      <w:pPr>
        <w:pStyle w:val="TextBody"/>
        <w:bidi w:val="0"/>
        <w:spacing w:lineRule="auto" w:line="302" w:before="220" w:after="283"/>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The Company shall pay or reimburse the Executive for reasonable, customary, and necessary business expenses incurred or paid by the Executive in the performance of the Executive’s duties and responsibilities hereunder, subject to such reasonable substantiation and documentation and to travel and other policies as may be required by the Company from time to time.</w:t>
      </w:r>
    </w:p>
    <w:p>
      <w:pPr>
        <w:pStyle w:val="TextBody"/>
        <w:bidi w:val="0"/>
        <w:spacing w:lineRule="auto" w:line="302" w:before="222" w:after="283"/>
        <w:ind w:left="0" w:right="0" w:firstLine="243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Equity Based Incentive Compensation</w:t>
      </w:r>
      <w:r>
        <w:rPr>
          <w:rFonts w:ascii="Times New Roman;serif" w:hAnsi="Times New Roman;serif"/>
          <w:b w:val="false"/>
          <w:color w:val="000000"/>
          <w:sz w:val="24"/>
        </w:rPr>
        <w:t>. The Executive shall be eligible to participate in the TCO Group Holdings, L.P. Management Incentive Plan (the “</w:t>
      </w:r>
      <w:r>
        <w:rPr>
          <w:rFonts w:ascii="Times New Roman;serif" w:hAnsi="Times New Roman;serif"/>
          <w:b w:val="false"/>
          <w:color w:val="000000"/>
          <w:sz w:val="24"/>
          <w:u w:val="single"/>
        </w:rPr>
        <w:t>MIP</w:t>
      </w:r>
      <w:r>
        <w:rPr>
          <w:color w:val="000000"/>
        </w:rPr>
        <w:t>”</w:t>
      </w:r>
      <w:r>
        <w:rPr>
          <w:rFonts w:ascii="Times New Roman;serif" w:hAnsi="Times New Roman;serif"/>
          <w:b w:val="false"/>
          <w:color w:val="000000"/>
          <w:sz w:val="24"/>
        </w:rPr>
        <w:t>) and, subject to approval by the board of directors of TCO Group Holdings, L.P. (the “Partnership”), shall be awarded 625,000 Class B Units of the Partnership (the “</w:t>
      </w:r>
      <w:r>
        <w:rPr>
          <w:rFonts w:ascii="Times New Roman;serif" w:hAnsi="Times New Roman;serif"/>
          <w:b w:val="false"/>
          <w:color w:val="000000"/>
          <w:sz w:val="24"/>
          <w:u w:val="single"/>
        </w:rPr>
        <w:t>Class B Units</w:t>
      </w:r>
      <w:r>
        <w:rPr>
          <w:color w:val="000000"/>
        </w:rPr>
        <w:t>”</w:t>
      </w:r>
      <w:r>
        <w:rPr>
          <w:rFonts w:ascii="Times New Roman;serif" w:hAnsi="Times New Roman;serif"/>
          <w:b w:val="false"/>
          <w:color w:val="000000"/>
          <w:sz w:val="24"/>
        </w:rPr>
        <w:t xml:space="preserve">), which will be subject to the terms and conditions of the LP Agreement (as defined in the MIP), the MIP and the Class B Unit Award Agreement, substantially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312" w:before="224" w:after="283"/>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of Employment and Severance Benefits</w:t>
      </w:r>
      <w:r>
        <w:rPr>
          <w:rFonts w:ascii="Times New Roman;serif" w:hAnsi="Times New Roman;serif"/>
          <w:b w:val="false"/>
          <w:color w:val="000000"/>
          <w:sz w:val="24"/>
        </w:rPr>
        <w:t>. The Executive’s employment hereunder shall terminate under the following circumstances:</w:t>
      </w:r>
    </w:p>
    <w:p>
      <w:pPr>
        <w:pStyle w:val="TextBody"/>
        <w:bidi w:val="0"/>
        <w:spacing w:lineRule="auto" w:line="302" w:before="220" w:after="283"/>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w:t>
      </w:r>
      <w:r>
        <w:rPr>
          <w:rFonts w:ascii="Times New Roman;serif" w:hAnsi="Times New Roman;serif"/>
          <w:b w:val="false"/>
          <w:color w:val="000000"/>
          <w:sz w:val="24"/>
        </w:rPr>
        <w:t xml:space="preserve">. In the event of the Executive’s death during the term hereof, the date of death shall be the date of termination, and the Company shall pay or provide to the Executive’s designated beneficiary or, if no beneficiary has been designated by the Executive in a notice received by the Company, to the Executive’s estate: (i) any Base Salary earned but not paid through the date of termination, (ii) pay in lieu of any PTO accrued but not used as of the date of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01040"/>
                <wp:effectExtent l="0" t="0" r="0" b="0"/>
                <wp:wrapNone/>
                <wp:docPr id="108" name="Frame10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20" w:after="283"/>
        <w:jc w:val="both"/>
        <w:rPr/>
      </w:pPr>
      <w:r>
        <w:rPr>
          <w:rFonts w:ascii="Times New Roman;serif" w:hAnsi="Times New Roman;serif"/>
          <w:b w:val="false"/>
          <w:color w:val="000000"/>
          <w:sz w:val="24"/>
        </w:rPr>
        <w:t xml:space="preserve">termination, (iii) any business expenses incurred by the Executive but unreimbursed as of the date of 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expenses and required substantiation and documentation are submitted no later than one hundred twenty (120) days following the date of termination, that such expenses are reimbursable under Company policy and that any such expenses subject to </w:t>
      </w:r>
      <w:r>
        <w:rPr>
          <w:rFonts w:ascii="Times New Roman;serif" w:hAnsi="Times New Roman;serif"/>
          <w:b w:val="false"/>
          <w:color w:val="000000"/>
          <w:sz w:val="24"/>
          <w:u w:val="single"/>
        </w:rPr>
        <w:t>Section 5(g)(iv)</w:t>
      </w:r>
      <w:r>
        <w:rPr>
          <w:color w:val="000000"/>
        </w:rPr>
        <w:t xml:space="preserve"> </w:t>
      </w:r>
      <w:r>
        <w:rPr>
          <w:rFonts w:ascii="Times New Roman;serif" w:hAnsi="Times New Roman;serif"/>
          <w:b w:val="false"/>
          <w:color w:val="000000"/>
          <w:sz w:val="24"/>
        </w:rPr>
        <w:t>shall be paid not later than the deadline specified therein, (iv) any Annual Bonus earned but unpaid in respect of the fiscal year completed immediately prior to the date of termination (the “</w:t>
      </w:r>
      <w:r>
        <w:rPr>
          <w:rFonts w:ascii="Times New Roman;serif" w:hAnsi="Times New Roman;serif"/>
          <w:b w:val="false"/>
          <w:color w:val="000000"/>
          <w:sz w:val="24"/>
          <w:u w:val="single"/>
        </w:rPr>
        <w:t>Prior Year Bonus</w:t>
      </w:r>
      <w:r>
        <w:rPr>
          <w:rFonts w:ascii="Times New Roman;serif" w:hAnsi="Times New Roman;serif"/>
          <w:b w:val="false"/>
          <w:color w:val="000000"/>
          <w:sz w:val="24"/>
        </w:rPr>
        <w:t>,” and all of the foregoing, payable subject to the timing limitations described herein, “</w:t>
      </w:r>
      <w:r>
        <w:rPr>
          <w:rFonts w:ascii="Times New Roman;serif" w:hAnsi="Times New Roman;serif"/>
          <w:b w:val="false"/>
          <w:color w:val="000000"/>
          <w:sz w:val="24"/>
          <w:u w:val="single"/>
        </w:rPr>
        <w:t>Final Compensation</w:t>
      </w:r>
      <w:r>
        <w:rPr>
          <w:color w:val="000000"/>
        </w:rPr>
        <w:t>”</w:t>
      </w:r>
      <w:r>
        <w:rPr>
          <w:rFonts w:ascii="Times New Roman;serif" w:hAnsi="Times New Roman;serif"/>
          <w:b w:val="false"/>
          <w:color w:val="000000"/>
          <w:sz w:val="24"/>
        </w:rPr>
        <w:t xml:space="preserve">. In the event of such termination, the Company shall have no further obligation or liability to the Executive under this Agreement, other than for payment of any Final Compensation due to the Executive. Other than business expenses described in </w:t>
      </w:r>
      <w:r>
        <w:rPr>
          <w:rFonts w:ascii="Times New Roman;serif" w:hAnsi="Times New Roman;serif"/>
          <w:b w:val="false"/>
          <w:color w:val="000000"/>
          <w:sz w:val="24"/>
          <w:u w:val="single"/>
        </w:rPr>
        <w:t>Section 5(a)(iii)</w:t>
      </w:r>
      <w:r>
        <w:rPr>
          <w:rFonts w:ascii="Times New Roman;serif" w:hAnsi="Times New Roman;serif"/>
          <w:b w:val="false"/>
          <w:color w:val="000000"/>
          <w:sz w:val="24"/>
        </w:rPr>
        <w:t>, Final Compensation shall be paid to the Executive’s designated beneficiary or estate at the time prescribed by applicable law and in all events within thirty (30) days following the date of death.</w:t>
      </w:r>
    </w:p>
    <w:p>
      <w:pPr>
        <w:pStyle w:val="TextBody"/>
        <w:bidi w:val="0"/>
        <w:spacing w:lineRule="auto" w:line="288" w:before="232" w:after="283"/>
        <w:ind w:left="0" w:right="0" w:hanging="717"/>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Disability</w:t>
      </w:r>
      <w:r>
        <w:rPr>
          <w:rFonts w:ascii="Times New Roman;serif" w:hAnsi="Times New Roman;serif"/>
          <w:b w:val="false"/>
          <w:color w:val="000000"/>
          <w:sz w:val="24"/>
        </w:rPr>
        <w:t>.</w:t>
      </w:r>
    </w:p>
    <w:p>
      <w:pPr>
        <w:pStyle w:val="TextBody"/>
        <w:bidi w:val="0"/>
        <w:spacing w:lineRule="auto" w:line="302" w:before="245" w:after="283"/>
        <w:ind w:left="0" w:right="0" w:firstLine="2900"/>
        <w:jc w:val="both"/>
        <w:rPr/>
      </w:pPr>
      <w:r>
        <w:rPr>
          <w:rFonts w:ascii="Times New Roman;serif" w:hAnsi="Times New Roman;serif"/>
          <w:b w:val="false"/>
          <w:color w:val="000000"/>
          <w:sz w:val="22"/>
        </w:rPr>
        <w:t>(i)</w:t>
      </w:r>
      <w:r>
        <w:rPr>
          <w:rFonts w:ascii="Times New Roman;serif" w:hAnsi="Times New Roman;serif"/>
          <w:b w:val="false"/>
          <w:color w:val="000000"/>
          <w:sz w:val="24"/>
        </w:rPr>
        <w:t>The Company may terminate the Executive’s employment hereunder, upon notice to the Executive, in the event that the Executive becomes disabled during the Executive’s employment hereunder through any illness, injury, accident or condition of either a physical or psychological nature and, as a result, is unable to perform substantially all of the Executive’s duties and responsibilities hereunder (notwithstanding the provision of any reasonable accommodation exclusive of the leave of absence provided hereunder) for one hundred twenty (120) consecutive days, or two hundred (270) non-consecutive days during any period of three hundred and sixty-five (365) consecutive calendar days (“</w:t>
      </w:r>
      <w:r>
        <w:rPr>
          <w:rFonts w:ascii="Times New Roman;serif" w:hAnsi="Times New Roman;serif"/>
          <w:b w:val="false"/>
          <w:color w:val="000000"/>
          <w:sz w:val="24"/>
          <w:u w:val="single"/>
        </w:rPr>
        <w:t>Disability</w:t>
      </w:r>
      <w:r>
        <w:rPr>
          <w:color w:val="000000"/>
        </w:rPr>
        <w:t>”</w:t>
      </w:r>
      <w:r>
        <w:rPr>
          <w:rFonts w:ascii="Times New Roman;serif" w:hAnsi="Times New Roman;serif"/>
          <w:b w:val="false"/>
          <w:color w:val="000000"/>
          <w:sz w:val="24"/>
        </w:rPr>
        <w:t xml:space="preserve">). In the event of such termination, the Company shall have no further obligation or liability to the Executive under this Agreement, other than for payment of any Final Compensation due to the Executive. Any determination of Disability shall be made by a qualified physician as mutually agreed between the Company and the Executive. Other than business expenses described in </w:t>
      </w:r>
      <w:r>
        <w:rPr>
          <w:rFonts w:ascii="Times New Roman;serif" w:hAnsi="Times New Roman;serif"/>
          <w:b w:val="false"/>
          <w:color w:val="000000"/>
          <w:sz w:val="24"/>
          <w:u w:val="single"/>
        </w:rPr>
        <w:t>Section 5(a)(iii),</w:t>
      </w:r>
      <w:r>
        <w:rPr>
          <w:color w:val="000000"/>
        </w:rPr>
        <w:t xml:space="preserve"> </w:t>
      </w:r>
      <w:r>
        <w:rPr>
          <w:rFonts w:ascii="Times New Roman;serif" w:hAnsi="Times New Roman;serif"/>
          <w:b w:val="false"/>
          <w:color w:val="000000"/>
          <w:sz w:val="24"/>
        </w:rPr>
        <w:t>Final Compensation shall be paid to the Executive at the time prescribed by applicable law and in all events within thirty (30) days following the date of termination of employment.</w:t>
      </w:r>
    </w:p>
    <w:p>
      <w:pPr>
        <w:pStyle w:val="TextBody"/>
        <w:bidi w:val="0"/>
        <w:spacing w:lineRule="auto" w:line="307" w:before="222" w:after="283"/>
        <w:ind w:left="0" w:right="0" w:firstLine="2900"/>
        <w:jc w:val="both"/>
        <w:rPr/>
      </w:pPr>
      <w:r>
        <w:rPr>
          <w:rFonts w:ascii="Times New Roman;serif" w:hAnsi="Times New Roman;serif"/>
          <w:b w:val="false"/>
          <w:color w:val="000000"/>
          <w:sz w:val="22"/>
        </w:rPr>
        <w:t>(ii)</w:t>
      </w:r>
      <w:r>
        <w:rPr>
          <w:rFonts w:ascii="Times New Roman;serif" w:hAnsi="Times New Roman;serif"/>
          <w:b w:val="false"/>
          <w:color w:val="000000"/>
          <w:sz w:val="24"/>
        </w:rPr>
        <w:t xml:space="preserve">The Chief Executive Officer may designate another employee to act in the Executive’s place during any period of the Executive’s Disability. Notwithstanding any such designation, the Executive shall continue to receive the Base Salary in accordance with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and to participate in Employee Benefit Plans in accordance with </w:t>
      </w:r>
      <w:r>
        <w:rPr>
          <w:rFonts w:ascii="Times New Roman;serif" w:hAnsi="Times New Roman;serif"/>
          <w:b w:val="false"/>
          <w:color w:val="000000"/>
          <w:sz w:val="24"/>
          <w:u w:val="single"/>
        </w:rPr>
        <w:t>Section 4(d)</w:t>
      </w:r>
      <w:r>
        <w:rPr>
          <w:rFonts w:ascii="Times New Roman;serif" w:hAnsi="Times New Roman;serif"/>
          <w:b w:val="false"/>
          <w:color w:val="000000"/>
          <w:sz w:val="24"/>
        </w:rPr>
        <w:t xml:space="preserve">, to the extent permitted by the then-current terms of the applicable Employee Benefit Plans, until the Executive becomes eligible for disability income benefits under the Company’s disability income plan, if any, or until the termination of the Executive’s employment, whichever shall first occur. If the Executive receives any disability income payments under the Company’s disability income plan, the Base Salary under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shall be reduced by the amount of such disability income, but only to the extent permitted without adverse tax consequences to the Executive under Section 409A. The Executive shall continue to participate in the Employee Benefit Plans in accordance with </w:t>
      </w:r>
      <w:r>
        <w:rPr>
          <w:rFonts w:ascii="Times New Roman;serif" w:hAnsi="Times New Roman;serif"/>
          <w:b w:val="false"/>
          <w:color w:val="000000"/>
          <w:sz w:val="24"/>
          <w:u w:val="single"/>
        </w:rPr>
        <w:t>Section 4(d)</w:t>
      </w:r>
      <w:r>
        <w:rPr>
          <w:color w:val="000000"/>
        </w:rPr>
        <w:t xml:space="preserve"> </w:t>
      </w:r>
      <w:r>
        <w:rPr>
          <w:rFonts w:ascii="Times New Roman;serif" w:hAnsi="Times New Roman;serif"/>
          <w:b w:val="false"/>
          <w:color w:val="000000"/>
          <w:sz w:val="24"/>
        </w:rPr>
        <w:t>and to the extent permitted by and subject to the then-current terms of such Employee Benefit Plans, until the termination of the Executive’s employment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01040"/>
                <wp:effectExtent l="0" t="0" r="0" b="0"/>
                <wp:wrapNone/>
                <wp:docPr id="109" name="Frame10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214" w:after="283"/>
        <w:ind w:left="0" w:right="0" w:firstLine="2900"/>
        <w:jc w:val="both"/>
        <w:rPr/>
      </w:pPr>
      <w:r>
        <w:rPr>
          <w:rFonts w:ascii="Times New Roman;serif" w:hAnsi="Times New Roman;serif"/>
          <w:b w:val="false"/>
          <w:color w:val="000000"/>
          <w:sz w:val="22"/>
        </w:rPr>
        <w:t>(iii)</w:t>
      </w:r>
      <w:r>
        <w:rPr>
          <w:rFonts w:ascii="Times New Roman;serif" w:hAnsi="Times New Roman;serif"/>
          <w:b w:val="false"/>
          <w:color w:val="000000"/>
          <w:sz w:val="24"/>
        </w:rPr>
        <w:t>If any question shall arise as to whether the Executive is disabled through any illness, injury, accident or condition of either a physical or psychological nature so as to be unable to perform substantially all of the Executive’s duties and responsibilities hereunder, the Executive may, and at the reasonable request of the Company shall, submit to a medical examination by a physician mutually agreed to by the Company and the Executive (or the Executive’s duly appointed guardian, if any), and such determination for the purposes of this Agreement shall be conclusive. If such question shall arise and the Executive shall fail to submit to such medical examination, the Company’s determination of the issue shall be binding on the Executive.</w:t>
      </w:r>
    </w:p>
    <w:p>
      <w:pPr>
        <w:pStyle w:val="TextBody"/>
        <w:bidi w:val="0"/>
        <w:spacing w:lineRule="auto" w:line="307" w:before="221" w:after="283"/>
        <w:ind w:left="0" w:right="0" w:firstLine="218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By the Company for Cause</w:t>
      </w:r>
      <w:r>
        <w:rPr>
          <w:rFonts w:ascii="Times New Roman;serif" w:hAnsi="Times New Roman;serif"/>
          <w:b w:val="false"/>
          <w:color w:val="000000"/>
          <w:sz w:val="24"/>
        </w:rPr>
        <w:t>. The Company may terminate the Executive’s employment hereunder for Cause at any time upon delivery of written notice to the Executive. The following, as determined in the Company’s reasonable discretion, shall constitute Cause for termination:</w:t>
      </w:r>
    </w:p>
    <w:p>
      <w:pPr>
        <w:pStyle w:val="TextBody"/>
        <w:bidi w:val="0"/>
        <w:spacing w:lineRule="auto" w:line="309" w:before="220" w:after="283"/>
        <w:ind w:left="0" w:right="0" w:firstLine="2900"/>
        <w:jc w:val="both"/>
        <w:rPr/>
      </w:pPr>
      <w:r>
        <w:rPr>
          <w:rFonts w:ascii="Times New Roman;serif" w:hAnsi="Times New Roman;serif"/>
          <w:b w:val="false"/>
          <w:color w:val="000000"/>
          <w:sz w:val="22"/>
        </w:rPr>
        <w:t>(i)</w:t>
      </w:r>
      <w:r>
        <w:rPr>
          <w:rFonts w:ascii="Times New Roman;serif" w:hAnsi="Times New Roman;serif"/>
          <w:b w:val="false"/>
          <w:color w:val="000000"/>
          <w:sz w:val="24"/>
        </w:rPr>
        <w:t>The Executive’s failure to perform the Executive’s duties and responsibilities to the Company or any of its Affiliates that are consistent with Executive’s title and authorities;</w:t>
      </w:r>
    </w:p>
    <w:p>
      <w:pPr>
        <w:pStyle w:val="TextBody"/>
        <w:bidi w:val="0"/>
        <w:spacing w:lineRule="auto" w:line="307" w:before="219" w:after="283"/>
        <w:ind w:left="0" w:right="0" w:firstLine="2880"/>
        <w:jc w:val="both"/>
        <w:rPr/>
      </w:pPr>
      <w:r>
        <w:rPr>
          <w:rFonts w:ascii="Times New Roman;serif" w:hAnsi="Times New Roman;serif"/>
          <w:b w:val="false"/>
          <w:color w:val="000000"/>
          <w:sz w:val="22"/>
        </w:rPr>
        <w:t>(ii)</w:t>
      </w:r>
      <w:r>
        <w:rPr>
          <w:rFonts w:ascii="Times New Roman;serif" w:hAnsi="Times New Roman;serif"/>
          <w:b w:val="false"/>
          <w:color w:val="000000"/>
          <w:sz w:val="24"/>
        </w:rPr>
        <w:t>The Executive’s material breach of any of the provisions of this Agreement or any other written agreement between the Executive and the Company or any of its Affiliates, resulting in material harm to the Company or any of its Affiliates;</w:t>
      </w:r>
    </w:p>
    <w:p>
      <w:pPr>
        <w:pStyle w:val="TextBody"/>
        <w:bidi w:val="0"/>
        <w:spacing w:lineRule="auto" w:line="312" w:before="221" w:after="283"/>
        <w:ind w:left="0" w:right="0" w:firstLine="2880"/>
        <w:jc w:val="both"/>
        <w:rPr/>
      </w:pPr>
      <w:r>
        <w:rPr>
          <w:rFonts w:ascii="Times New Roman;serif" w:hAnsi="Times New Roman;serif"/>
          <w:b w:val="false"/>
          <w:color w:val="000000"/>
          <w:sz w:val="22"/>
        </w:rPr>
        <w:t>(iii)</w:t>
      </w:r>
      <w:r>
        <w:rPr>
          <w:rFonts w:ascii="Times New Roman;serif" w:hAnsi="Times New Roman;serif"/>
          <w:b w:val="false"/>
          <w:color w:val="000000"/>
          <w:sz w:val="24"/>
        </w:rPr>
        <w:t>The Executive’s material breach of any fiduciary duty that the Executive has to the Company or any of its Affiliates;</w:t>
      </w:r>
    </w:p>
    <w:p>
      <w:pPr>
        <w:pStyle w:val="TextBody"/>
        <w:bidi w:val="0"/>
        <w:spacing w:lineRule="auto" w:line="307" w:before="219" w:after="283"/>
        <w:ind w:left="0" w:right="0" w:firstLine="2880"/>
        <w:jc w:val="both"/>
        <w:rPr/>
      </w:pPr>
      <w:r>
        <w:rPr>
          <w:rFonts w:ascii="Times New Roman;serif" w:hAnsi="Times New Roman;serif"/>
          <w:b w:val="false"/>
          <w:color w:val="000000"/>
          <w:sz w:val="22"/>
        </w:rPr>
        <w:t>(iv)</w:t>
      </w:r>
      <w:r>
        <w:rPr>
          <w:rFonts w:ascii="Times New Roman;serif" w:hAnsi="Times New Roman;serif"/>
          <w:b w:val="false"/>
          <w:color w:val="000000"/>
          <w:sz w:val="24"/>
        </w:rPr>
        <w:t>The Executive’s gross negligence, intentional misconduct or unethical or improper behavior by the Executive resulting in material harm to the business, interests or reputation of the Company or any of its Affiliates;</w:t>
      </w:r>
    </w:p>
    <w:p>
      <w:pPr>
        <w:pStyle w:val="TextBody"/>
        <w:bidi w:val="0"/>
        <w:spacing w:lineRule="auto" w:line="307" w:before="220" w:after="283"/>
        <w:ind w:left="0" w:right="0" w:firstLine="2880"/>
        <w:jc w:val="both"/>
        <w:rPr/>
      </w:pPr>
      <w:r>
        <w:rPr>
          <w:rFonts w:ascii="Times New Roman;serif" w:hAnsi="Times New Roman;serif"/>
          <w:b w:val="false"/>
          <w:color w:val="000000"/>
          <w:sz w:val="22"/>
        </w:rPr>
        <w:t>(v)</w:t>
      </w:r>
      <w:r>
        <w:rPr>
          <w:rFonts w:ascii="Times New Roman;serif" w:hAnsi="Times New Roman;serif"/>
          <w:b w:val="false"/>
          <w:color w:val="000000"/>
          <w:sz w:val="24"/>
        </w:rPr>
        <w:t>The Executive’s intentional or willful failure to comply with applicable PACE, Medicare or Medicaid rules or regulations;</w:t>
      </w:r>
    </w:p>
    <w:p>
      <w:pPr>
        <w:pStyle w:val="TextBody"/>
        <w:bidi w:val="0"/>
        <w:spacing w:lineRule="auto" w:line="307" w:before="74" w:after="283"/>
        <w:ind w:left="0" w:right="0" w:firstLine="2880"/>
        <w:jc w:val="both"/>
        <w:rPr/>
      </w:pPr>
      <w:r>
        <w:rPr>
          <w:rFonts w:ascii="Times New Roman;serif" w:hAnsi="Times New Roman;serif"/>
          <w:b w:val="false"/>
          <w:color w:val="000000"/>
          <w:sz w:val="22"/>
        </w:rPr>
        <w:t>(vi)</w:t>
      </w:r>
      <w:r>
        <w:rPr>
          <w:rFonts w:ascii="Times New Roman;serif" w:hAnsi="Times New Roman;serif"/>
          <w:b w:val="false"/>
          <w:color w:val="000000"/>
          <w:sz w:val="24"/>
        </w:rPr>
        <w:t>The Executive’s failure to comply with the Company’s Code of Conduct or Corporate Compliance Program;</w:t>
      </w:r>
    </w:p>
    <w:p>
      <w:pPr>
        <w:pStyle w:val="TextBody"/>
        <w:bidi w:val="0"/>
        <w:spacing w:lineRule="auto" w:line="288" w:before="219" w:after="283"/>
        <w:ind w:left="0" w:right="0" w:hanging="721"/>
        <w:jc w:val="both"/>
        <w:rPr/>
      </w:pPr>
      <w:r>
        <w:rPr>
          <w:rFonts w:ascii="Times New Roman;serif" w:hAnsi="Times New Roman;serif"/>
          <w:b w:val="false"/>
          <w:color w:val="000000"/>
          <w:sz w:val="22"/>
        </w:rPr>
        <w:t>(vii)</w:t>
      </w:r>
      <w:r>
        <w:rPr>
          <w:rFonts w:ascii="Times New Roman;serif" w:hAnsi="Times New Roman;serif"/>
          <w:b w:val="false"/>
          <w:color w:val="000000"/>
          <w:sz w:val="24"/>
        </w:rPr>
        <w:t>The Executive’s commission of a felony or any other crime</w:t>
      </w:r>
    </w:p>
    <w:p>
      <w:pPr>
        <w:pStyle w:val="TextBody"/>
        <w:bidi w:val="0"/>
        <w:spacing w:lineRule="auto" w:line="288" w:before="26" w:after="283"/>
        <w:jc w:val="left"/>
        <w:rPr>
          <w:rFonts w:ascii="Times New Roman;serif" w:hAnsi="Times New Roman;serif"/>
          <w:b w:val="false"/>
          <w:color w:val="000000"/>
          <w:sz w:val="24"/>
        </w:rPr>
      </w:pPr>
      <w:r>
        <w:rPr>
          <w:rFonts w:ascii="Times New Roman;serif" w:hAnsi="Times New Roman;serif"/>
          <w:b w:val="false"/>
          <w:color w:val="000000"/>
          <w:sz w:val="24"/>
        </w:rPr>
        <w:t>involving moral turpitude; or</w:t>
      </w:r>
    </w:p>
    <w:p>
      <w:pPr>
        <w:pStyle w:val="TextBody"/>
        <w:bidi w:val="0"/>
        <w:spacing w:lineRule="auto" w:line="309" w:before="245" w:after="283"/>
        <w:ind w:left="0" w:right="0" w:firstLine="2880"/>
        <w:jc w:val="both"/>
        <w:rPr/>
      </w:pPr>
      <w:r>
        <w:rPr>
          <w:rFonts w:ascii="Times New Roman;serif" w:hAnsi="Times New Roman;serif"/>
          <w:b w:val="false"/>
          <w:color w:val="000000"/>
          <w:sz w:val="22"/>
        </w:rPr>
        <w:t>(viii)</w:t>
      </w:r>
      <w:r>
        <w:rPr>
          <w:rFonts w:ascii="Times New Roman;serif" w:hAnsi="Times New Roman;serif"/>
          <w:b w:val="false"/>
          <w:color w:val="000000"/>
          <w:sz w:val="24"/>
        </w:rPr>
        <w:t>The Executive’s commission of conduct involving fraud, embezzlement, sexual harassment, material misappropriation of property or other substantial misconduct with respect to the Company or any of its Affiliates.</w:t>
      </w:r>
    </w:p>
    <w:p>
      <w:pPr>
        <w:pStyle w:val="TextBody"/>
        <w:bidi w:val="0"/>
        <w:spacing w:lineRule="auto" w:line="307" w:before="219" w:after="283"/>
        <w:ind w:left="0" w:right="0" w:firstLine="749"/>
        <w:jc w:val="both"/>
        <w:rPr>
          <w:rFonts w:ascii="Times New Roman;serif" w:hAnsi="Times New Roman;serif"/>
          <w:b w:val="false"/>
          <w:color w:val="000000"/>
          <w:sz w:val="24"/>
        </w:rPr>
      </w:pPr>
      <w:r>
        <w:rPr>
          <w:rFonts w:ascii="Times New Roman;serif" w:hAnsi="Times New Roman;serif"/>
          <w:b w:val="false"/>
          <w:color w:val="000000"/>
          <w:sz w:val="24"/>
        </w:rPr>
        <w:t xml:space="preserve">Any termination of the Executive’s employment for bases set forth in clauses (i) - (iii) and (vi) shall not constitute a termination for Cause unless the Company shall have provided written notice to the Executive no later than fifteen (15) calendar days after the Board first obtained actual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01040"/>
                <wp:effectExtent l="0" t="0" r="0" b="0"/>
                <wp:wrapNone/>
                <wp:docPr id="110" name="Frame10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219" w:after="283"/>
        <w:jc w:val="both"/>
        <w:rPr/>
      </w:pPr>
      <w:r>
        <w:rPr>
          <w:rFonts w:ascii="Times New Roman;serif" w:hAnsi="Times New Roman;serif"/>
          <w:b w:val="false"/>
          <w:color w:val="000000"/>
          <w:sz w:val="24"/>
        </w:rPr>
        <w:t xml:space="preserve">knowledge of the Executive’s act or omission constituting Cause, setting forth in reasonable detail such acts or omissions, and the Executive shall have failed to reasonably cure (to the extent capable of cure) such acts or omissions within thirty (30) calendar days following receipt of written notice. In the event of a termination of the Executive’s employment hereunder for Cause, the Company shall have no further obligation or liability to the Executive under this Agreement, other than for any Final Compensation (excluding the Prior Year Bonus) due to the Executive. Other than business expenses described in </w:t>
      </w:r>
      <w:r>
        <w:rPr>
          <w:rFonts w:ascii="Times New Roman;serif" w:hAnsi="Times New Roman;serif"/>
          <w:b w:val="false"/>
          <w:color w:val="000000"/>
          <w:sz w:val="24"/>
          <w:u w:val="single"/>
        </w:rPr>
        <w:t>Section 5(a)(iii),</w:t>
      </w:r>
      <w:r>
        <w:rPr>
          <w:color w:val="000000"/>
        </w:rPr>
        <w:t xml:space="preserve"> </w:t>
      </w:r>
      <w:r>
        <w:rPr>
          <w:rFonts w:ascii="Times New Roman;serif" w:hAnsi="Times New Roman;serif"/>
          <w:b w:val="false"/>
          <w:color w:val="000000"/>
          <w:sz w:val="24"/>
        </w:rPr>
        <w:t>Final Compensation shall be paid to the Executive at the time prescribed by applicable law and in all events within thirty (30) calendar days following the date of termination of employment.</w:t>
      </w:r>
    </w:p>
    <w:p>
      <w:pPr>
        <w:pStyle w:val="TextBody"/>
        <w:bidi w:val="0"/>
        <w:spacing w:lineRule="auto" w:line="302" w:before="220" w:after="283"/>
        <w:ind w:left="0" w:right="0" w:firstLine="2158"/>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By the Company Other Than for Cause</w:t>
      </w:r>
      <w:r>
        <w:rPr>
          <w:rFonts w:ascii="Times New Roman;serif" w:hAnsi="Times New Roman;serif"/>
          <w:b w:val="false"/>
          <w:color w:val="000000"/>
          <w:sz w:val="24"/>
        </w:rPr>
        <w:t>. The Company may terminate the Executive’s employment hereunder other than for Cause at any time upon thirty (30) calendar days’ prior written notice to the Executive. If the Company terminates the Executive’s employment other than for Cause after the Effective Date, then in addition to any Final Compensation due to the Executive, the Company will (i) pay to the Executive severance pay, at the same rate as the Base Salary, for a period of twelve (12) months following the date of termination of the Executive’s employment, (ii) pay to the Executive an amount equal to the Executive’s Target Bonus (clauses (i) and (ii), collectively, the “</w:t>
      </w:r>
      <w:r>
        <w:rPr>
          <w:rFonts w:ascii="Times New Roman;serif" w:hAnsi="Times New Roman;serif"/>
          <w:b w:val="false"/>
          <w:color w:val="000000"/>
          <w:sz w:val="24"/>
          <w:u w:val="single"/>
        </w:rPr>
        <w:t>Severance Payments</w:t>
      </w:r>
      <w:r>
        <w:rPr>
          <w:color w:val="000000"/>
        </w:rPr>
        <w:t>”</w:t>
      </w:r>
      <w:r>
        <w:rPr>
          <w:rFonts w:ascii="Times New Roman;serif" w:hAnsi="Times New Roman;serif"/>
          <w:b w:val="false"/>
          <w:color w:val="000000"/>
          <w:sz w:val="24"/>
        </w:rPr>
        <w:t>) and (iii) continue to pay, on the Executive’s behalf, the premiums required to be paid for the Executive’s continued participation in the Company’s health care benefit plan, including existing spousal or family health care coverage, if selected, for a period of twelve (12) months following termination, unless the Executive becomes employed by another company and eligible for coverage under such company’s group health care plans, and in such instance, future payment for the health insurance premiums will cease (the “</w:t>
      </w:r>
      <w:r>
        <w:rPr>
          <w:rFonts w:ascii="Times New Roman;serif" w:hAnsi="Times New Roman;serif"/>
          <w:b w:val="false"/>
          <w:color w:val="000000"/>
          <w:sz w:val="24"/>
          <w:u w:val="single"/>
        </w:rPr>
        <w:t>Healthcare Payments</w:t>
      </w:r>
      <w:r>
        <w:rPr>
          <w:color w:val="000000"/>
        </w:rPr>
        <w:t xml:space="preserve">” </w:t>
      </w:r>
      <w:r>
        <w:rPr>
          <w:rFonts w:ascii="Times New Roman;serif" w:hAnsi="Times New Roman;serif"/>
          <w:b w:val="false"/>
          <w:color w:val="000000"/>
          <w:sz w:val="24"/>
        </w:rPr>
        <w:t>and, collectively with the Severance Payments, the “</w:t>
      </w:r>
      <w:r>
        <w:rPr>
          <w:rFonts w:ascii="Times New Roman;serif" w:hAnsi="Times New Roman;serif"/>
          <w:b w:val="false"/>
          <w:color w:val="000000"/>
          <w:sz w:val="24"/>
          <w:u w:val="single"/>
        </w:rPr>
        <w:t>Severance Benefits</w:t>
      </w:r>
      <w:r>
        <w:rPr>
          <w:color w:val="000000"/>
        </w:rPr>
        <w:t>”</w:t>
      </w:r>
      <w:r>
        <w:rPr>
          <w:rFonts w:ascii="Times New Roman;serif" w:hAnsi="Times New Roman;serif"/>
          <w:b w:val="false"/>
          <w:color w:val="000000"/>
          <w:sz w:val="24"/>
        </w:rPr>
        <w:t xml:space="preserve">). Other than business expenses described in </w:t>
      </w:r>
      <w:r>
        <w:rPr>
          <w:rFonts w:ascii="Times New Roman;serif" w:hAnsi="Times New Roman;serif"/>
          <w:b w:val="false"/>
          <w:color w:val="000000"/>
          <w:sz w:val="24"/>
          <w:u w:val="single"/>
        </w:rPr>
        <w:t>Section 5(a)(iii),</w:t>
      </w:r>
      <w:r>
        <w:rPr>
          <w:color w:val="000000"/>
        </w:rPr>
        <w:t xml:space="preserve"> </w:t>
      </w:r>
      <w:r>
        <w:rPr>
          <w:rFonts w:ascii="Times New Roman;serif" w:hAnsi="Times New Roman;serif"/>
          <w:b w:val="false"/>
          <w:color w:val="000000"/>
          <w:sz w:val="24"/>
        </w:rPr>
        <w:t xml:space="preserve">Final Compensation shall be paid to the Executive at the time prescribed by applicable law and in all events within thirty (30) days following the date of termination of employment. Any obligation of the Company to provide the Severance Benefits is conditioned, however, on the Executive signing and returning to the Company (without revoking) a timely and effective general release of claims in substantially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“Release of Claims”), all of which (including the lapse of the period for revoking the Release of Claims as specified in the Release of Claims) shall have occurred no later than the sixtieth (60</w:t>
      </w:r>
      <w:r>
        <w:rPr>
          <w:rFonts w:ascii="Times New Roman;serif" w:hAnsi="Times New Roman;serif"/>
          <w:b w:val="false"/>
          <w:color w:val="000000"/>
          <w:sz w:val="16"/>
        </w:rPr>
        <w:t>th</w:t>
      </w:r>
      <w:r>
        <w:rPr>
          <w:rFonts w:ascii="Times New Roman;serif" w:hAnsi="Times New Roman;serif"/>
          <w:b w:val="false"/>
          <w:color w:val="000000"/>
          <w:sz w:val="24"/>
        </w:rPr>
        <w:t xml:space="preserve">) day following the date of termination, and on the Executive’s continued compliance with the obligations of the Executive to the Company and its Affiliates that survive termination of the Executive’s employment, including, without limitation, under </w:t>
      </w:r>
      <w:r>
        <w:rPr>
          <w:rFonts w:ascii="Times New Roman;serif" w:hAnsi="Times New Roman;serif"/>
          <w:b w:val="false"/>
          <w:color w:val="000000"/>
          <w:sz w:val="24"/>
          <w:u w:val="single"/>
        </w:rPr>
        <w:t>Sections</w:t>
      </w:r>
      <w:r>
        <w:rPr>
          <w:color w:val="000000"/>
        </w:rPr>
        <w:t xml:space="preserve"> </w:t>
      </w:r>
      <w:r>
        <w:rPr>
          <w:rFonts w:ascii="Times New Roman;serif" w:hAnsi="Times New Roman;serif"/>
          <w:b w:val="false"/>
          <w:color w:val="000000"/>
          <w:sz w:val="24"/>
          <w:u w:val="single"/>
        </w:rPr>
        <w:t>7,</w:t>
      </w:r>
      <w:r>
        <w:rPr>
          <w:color w:val="000000"/>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 xml:space="preserve">of this Agreement. Subject to </w:t>
      </w:r>
      <w:r>
        <w:rPr>
          <w:rFonts w:ascii="Times New Roman;serif" w:hAnsi="Times New Roman;serif"/>
          <w:b w:val="false"/>
          <w:color w:val="000000"/>
          <w:sz w:val="24"/>
          <w:u w:val="single"/>
        </w:rPr>
        <w:t>Section 5(g)</w:t>
      </w:r>
      <w:r>
        <w:rPr>
          <w:color w:val="000000"/>
        </w:rPr>
        <w:t xml:space="preserve"> </w:t>
      </w:r>
      <w:r>
        <w:rPr>
          <w:rFonts w:ascii="Times New Roman;serif" w:hAnsi="Times New Roman;serif"/>
          <w:b w:val="false"/>
          <w:color w:val="000000"/>
          <w:sz w:val="24"/>
        </w:rPr>
        <w:t xml:space="preserve">below, (A) the Severance Payments to which the Executive is entitled hereunder shall be in the form of salary continuation, payable in accordance with the normal payroll practices of the Company, and (B) the Healthcare Payments shall be paid monthly, and in both cases of (A) and (B), with the first payment, which shall be retroactive to the day immediately following the date on which the Executive’s employment terminated, being due and payable on the Company’s next regular payday for executives that follows the expiration of sixty (60) calendar days from the date on which the Executive’s employment terminates. Notwithstanding the foregoing, in the event the Healthcare Payments would, in the determination of the Board or its delegate, subject the Executive, the Company or any of its Affiliates to any tax or penalty under the Patient Protection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01040"/>
                <wp:effectExtent l="0" t="0" r="0" b="0"/>
                <wp:wrapNone/>
                <wp:docPr id="111" name="Frame11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20" w:after="283"/>
        <w:jc w:val="both"/>
        <w:rPr/>
      </w:pPr>
      <w:r>
        <w:rPr>
          <w:rFonts w:ascii="Times New Roman;serif" w:hAnsi="Times New Roman;serif"/>
          <w:b w:val="false"/>
          <w:color w:val="000000"/>
          <w:sz w:val="24"/>
        </w:rPr>
        <w:t>and Affordable Care Act (as amended from time to time, the “</w:t>
      </w:r>
      <w:r>
        <w:rPr>
          <w:rFonts w:ascii="Times New Roman;serif" w:hAnsi="Times New Roman;serif"/>
          <w:b w:val="false"/>
          <w:color w:val="000000"/>
          <w:sz w:val="24"/>
          <w:u w:val="single"/>
        </w:rPr>
        <w:t>ACA</w:t>
      </w:r>
      <w:r>
        <w:rPr>
          <w:color w:val="000000"/>
        </w:rPr>
        <w:t>”</w:t>
      </w:r>
      <w:r>
        <w:rPr>
          <w:rFonts w:ascii="Times New Roman;serif" w:hAnsi="Times New Roman;serif"/>
          <w:b w:val="false"/>
          <w:color w:val="000000"/>
          <w:sz w:val="24"/>
        </w:rPr>
        <w:t>) or Section 105(h) of the Internal Revenue Code of 1986, as amended (“</w:t>
      </w:r>
      <w:r>
        <w:rPr>
          <w:rFonts w:ascii="Times New Roman;serif" w:hAnsi="Times New Roman;serif"/>
          <w:b w:val="false"/>
          <w:color w:val="000000"/>
          <w:sz w:val="24"/>
          <w:u w:val="single"/>
        </w:rPr>
        <w:t>Section 105(h)</w:t>
      </w:r>
      <w:r>
        <w:rPr>
          <w:color w:val="000000"/>
        </w:rPr>
        <w:t>”</w:t>
      </w:r>
      <w:r>
        <w:rPr>
          <w:rFonts w:ascii="Times New Roman;serif" w:hAnsi="Times New Roman;serif"/>
          <w:b w:val="false"/>
          <w:color w:val="000000"/>
          <w:sz w:val="24"/>
        </w:rPr>
        <w:t>), or applicable regulations or guidance issued under the ACA or Section 105(h), the Healthcare Payments shall be treated as taxable payments and be subject to imputed income tax treatment to the extent necessary to eliminate any such adverse consequences under the ACA or Section 105(h).</w:t>
      </w:r>
    </w:p>
    <w:p>
      <w:pPr>
        <w:pStyle w:val="TextBody"/>
        <w:bidi w:val="0"/>
        <w:spacing w:lineRule="auto" w:line="307" w:before="223" w:after="283"/>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By the Executive for Good Reason</w:t>
      </w:r>
      <w:r>
        <w:rPr>
          <w:rFonts w:ascii="Times New Roman;serif" w:hAnsi="Times New Roman;serif"/>
          <w:b w:val="false"/>
          <w:color w:val="000000"/>
          <w:sz w:val="24"/>
        </w:rPr>
        <w:t>. The Executive may terminate the Executive’s employment hereunder for Good Reason by providing (1) written notice to the Company, specifying in reasonable detail the condition giving rise to the Good Reason, no later than the thirtieth (30</w:t>
      </w:r>
      <w:r>
        <w:rPr>
          <w:rFonts w:ascii="Times New Roman;serif" w:hAnsi="Times New Roman;serif"/>
          <w:b w:val="false"/>
          <w:color w:val="000000"/>
          <w:sz w:val="16"/>
        </w:rPr>
        <w:t>th</w:t>
      </w:r>
      <w:r>
        <w:rPr>
          <w:rFonts w:ascii="Times New Roman;serif" w:hAnsi="Times New Roman;serif"/>
          <w:b w:val="false"/>
          <w:color w:val="000000"/>
          <w:sz w:val="24"/>
        </w:rPr>
        <w:t>) calendar day following the first occurrence of that condition, and (2) the Company a period of thirty (30) calendar days in which to remedy the condition in all material respects. The Executive’s termination of employment for Good Reason will be effective on the thirty-first (31</w:t>
      </w:r>
      <w:r>
        <w:rPr>
          <w:rFonts w:ascii="Times New Roman;serif" w:hAnsi="Times New Roman;serif"/>
          <w:b w:val="false"/>
          <w:color w:val="000000"/>
          <w:sz w:val="16"/>
        </w:rPr>
        <w:t>st</w:t>
      </w:r>
      <w:r>
        <w:rPr>
          <w:rFonts w:ascii="Times New Roman;serif" w:hAnsi="Times New Roman;serif"/>
          <w:b w:val="false"/>
          <w:color w:val="000000"/>
          <w:sz w:val="24"/>
        </w:rPr>
        <w:t>) calendar day following the expiration of the Company’s period to remedy, if the Company has failed to remedy the condition in all material respects. The following, if occurring without the Executive’s written consent, shall constitute “Good Reason” for termination by the Executive:</w:t>
      </w:r>
    </w:p>
    <w:p>
      <w:pPr>
        <w:pStyle w:val="TextBody"/>
        <w:bidi w:val="0"/>
        <w:spacing w:lineRule="auto" w:line="307" w:before="223" w:after="283"/>
        <w:ind w:left="0" w:right="0" w:firstLine="2970"/>
        <w:jc w:val="both"/>
        <w:rPr/>
      </w:pPr>
      <w:r>
        <w:rPr>
          <w:rFonts w:ascii="Times New Roman;serif" w:hAnsi="Times New Roman;serif"/>
          <w:b w:val="false"/>
          <w:color w:val="000000"/>
          <w:sz w:val="22"/>
        </w:rPr>
        <w:t>(i)</w:t>
      </w:r>
      <w:r>
        <w:rPr>
          <w:rFonts w:ascii="Times New Roman;serif" w:hAnsi="Times New Roman;serif"/>
          <w:b w:val="false"/>
          <w:color w:val="000000"/>
          <w:sz w:val="24"/>
        </w:rPr>
        <w:t>a material reduction in the Executive’s Base Salary (unless such reduction affects all similarly situated employees of the Company on a proportionate basis);</w:t>
      </w:r>
    </w:p>
    <w:p>
      <w:pPr>
        <w:pStyle w:val="TextBody"/>
        <w:bidi w:val="0"/>
        <w:spacing w:lineRule="auto" w:line="307" w:before="223" w:after="283"/>
        <w:ind w:left="0" w:right="0" w:firstLine="2970"/>
        <w:jc w:val="both"/>
        <w:rPr/>
      </w:pPr>
      <w:r>
        <w:rPr>
          <w:rFonts w:ascii="Times New Roman;serif" w:hAnsi="Times New Roman;serif"/>
          <w:b w:val="false"/>
          <w:color w:val="000000"/>
          <w:sz w:val="22"/>
        </w:rPr>
        <w:t>(ii)</w:t>
      </w:r>
      <w:r>
        <w:rPr>
          <w:rFonts w:ascii="Times New Roman;serif" w:hAnsi="Times New Roman;serif"/>
          <w:b w:val="false"/>
          <w:color w:val="000000"/>
          <w:sz w:val="24"/>
        </w:rPr>
        <w:t>a requirement that the Executive relocate more than fifty (50) miles from Redding Center, Connecticut (the “Executive's Principal Place of Employment”); provided, that, a relocation shall not include: (A) the Executive’s travel for business in the course of performing the Executive’s duties for the Company or any of its Affiliates, (B) the Executive working remotely or (C) the Company or any of its Affiliates requiring the Executive to report to an office within the Executive’s Principal Place of Employment (instead of working remotely);</w:t>
      </w:r>
    </w:p>
    <w:p>
      <w:pPr>
        <w:pStyle w:val="TextBody"/>
        <w:bidi w:val="0"/>
        <w:spacing w:lineRule="auto" w:line="307" w:before="223" w:after="283"/>
        <w:ind w:left="0" w:right="0" w:firstLine="2970"/>
        <w:jc w:val="both"/>
        <w:rPr/>
      </w:pPr>
      <w:r>
        <w:rPr>
          <w:rFonts w:ascii="Times New Roman;serif" w:hAnsi="Times New Roman;serif"/>
          <w:b w:val="false"/>
          <w:color w:val="000000"/>
          <w:sz w:val="22"/>
        </w:rPr>
        <w:t>(iii)</w:t>
      </w:r>
      <w:r>
        <w:rPr>
          <w:rFonts w:ascii="Times New Roman;serif" w:hAnsi="Times New Roman;serif"/>
          <w:b w:val="false"/>
          <w:color w:val="000000"/>
          <w:sz w:val="24"/>
        </w:rPr>
        <w:t>a material diminution in the nature or scope of the Executive’s title, reporting line, duties, authority and/or responsibilities; or</w:t>
      </w:r>
    </w:p>
    <w:p>
      <w:pPr>
        <w:pStyle w:val="TextBody"/>
        <w:bidi w:val="0"/>
        <w:spacing w:lineRule="auto" w:line="307" w:before="223" w:after="283"/>
        <w:ind w:left="0" w:right="0" w:firstLine="2970"/>
        <w:jc w:val="both"/>
        <w:rPr/>
      </w:pPr>
      <w:r>
        <w:rPr>
          <w:rFonts w:ascii="Times New Roman;serif" w:hAnsi="Times New Roman;serif"/>
          <w:b w:val="false"/>
          <w:color w:val="000000"/>
          <w:sz w:val="22"/>
        </w:rPr>
        <w:t>(iv)</w:t>
      </w:r>
      <w:r>
        <w:rPr>
          <w:rFonts w:ascii="Times New Roman;serif" w:hAnsi="Times New Roman;serif"/>
          <w:b w:val="false"/>
          <w:color w:val="000000"/>
          <w:sz w:val="24"/>
        </w:rPr>
        <w:t>a material breach by the Company of (A) any of the terms of this Agreement or (B) any other material written agreement between the Company and the Executive.</w:t>
      </w:r>
    </w:p>
    <w:p>
      <w:pPr>
        <w:pStyle w:val="TextBody"/>
        <w:bidi w:val="0"/>
        <w:spacing w:lineRule="auto" w:line="307" w:before="218" w:after="283"/>
        <w:ind w:left="0" w:right="0" w:firstLine="720"/>
        <w:jc w:val="both"/>
        <w:rPr/>
      </w:pPr>
      <w:r>
        <w:rPr>
          <w:rFonts w:ascii="Times New Roman;serif" w:hAnsi="Times New Roman;serif"/>
          <w:b w:val="false"/>
          <w:color w:val="000000"/>
          <w:sz w:val="24"/>
        </w:rPr>
        <w:t xml:space="preserve">In the event of termination of the Executive’s employment in accordance with this </w:t>
      </w:r>
      <w:r>
        <w:rPr>
          <w:rFonts w:ascii="Times New Roman;serif" w:hAnsi="Times New Roman;serif"/>
          <w:b w:val="false"/>
          <w:color w:val="000000"/>
          <w:sz w:val="24"/>
          <w:u w:val="single"/>
        </w:rPr>
        <w:t>Section 5(e)</w:t>
      </w:r>
      <w:r>
        <w:rPr>
          <w:rFonts w:ascii="Times New Roman;serif" w:hAnsi="Times New Roman;serif"/>
          <w:b w:val="false"/>
          <w:color w:val="000000"/>
          <w:sz w:val="24"/>
        </w:rPr>
        <w:t xml:space="preserve">, the Executive will be entitled to all amounts the Executive would have been entitled to receive had the Executive’s employment been terminated by the Company other than for Cause pursuant to </w:t>
      </w:r>
      <w:r>
        <w:rPr>
          <w:rFonts w:ascii="Times New Roman;serif" w:hAnsi="Times New Roman;serif"/>
          <w:b w:val="false"/>
          <w:color w:val="000000"/>
          <w:sz w:val="24"/>
          <w:u w:val="single"/>
        </w:rPr>
        <w:t>Section 5(d)</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Executive (A) signs and returns (without revoking) a timely and effective Release of Claims as set forth in </w:t>
      </w:r>
      <w:r>
        <w:rPr>
          <w:rFonts w:ascii="Times New Roman;serif" w:hAnsi="Times New Roman;serif"/>
          <w:b w:val="false"/>
          <w:color w:val="000000"/>
          <w:sz w:val="24"/>
          <w:u w:val="single"/>
        </w:rPr>
        <w:t>Section 5(d)</w:t>
      </w:r>
      <w:r>
        <w:rPr>
          <w:rFonts w:ascii="Times New Roman;serif" w:hAnsi="Times New Roman;serif"/>
          <w:b w:val="false"/>
          <w:color w:val="000000"/>
          <w:sz w:val="24"/>
        </w:rPr>
        <w:t xml:space="preserve">, and (B) provides timely notice as described above in this </w:t>
      </w:r>
      <w:r>
        <w:rPr>
          <w:rFonts w:ascii="Times New Roman;serif" w:hAnsi="Times New Roman;serif"/>
          <w:b w:val="false"/>
          <w:color w:val="000000"/>
          <w:sz w:val="24"/>
          <w:u w:val="single"/>
        </w:rPr>
        <w:t>Section 5(e)</w:t>
      </w:r>
      <w:r>
        <w:rPr>
          <w:rFonts w:ascii="Times New Roman;serif" w:hAnsi="Times New Roman;serif"/>
          <w:b w:val="false"/>
          <w:color w:val="000000"/>
          <w:sz w:val="24"/>
        </w:rPr>
        <w:t>.</w:t>
      </w:r>
    </w:p>
    <w:p>
      <w:pPr>
        <w:pStyle w:val="TextBody"/>
        <w:bidi w:val="0"/>
        <w:spacing w:lineRule="auto" w:line="307" w:before="246" w:after="283"/>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By the Executive without Good Reason</w:t>
      </w:r>
      <w:r>
        <w:rPr>
          <w:rFonts w:ascii="Times New Roman;serif" w:hAnsi="Times New Roman;serif"/>
          <w:b w:val="false"/>
          <w:color w:val="000000"/>
          <w:sz w:val="24"/>
        </w:rPr>
        <w:t xml:space="preserve">. The Executive may terminate the Executive’s employment hereunder without Good Reason at any time upon sixty (60) calendar days’ prior written notice to the Company. In the event of termination of the Executive’s employment in accordance with this </w:t>
      </w:r>
      <w:r>
        <w:rPr>
          <w:rFonts w:ascii="Times New Roman;serif" w:hAnsi="Times New Roman;serif"/>
          <w:b w:val="false"/>
          <w:color w:val="000000"/>
          <w:sz w:val="24"/>
          <w:u w:val="single"/>
        </w:rPr>
        <w:t>Section 5(f),</w:t>
      </w:r>
      <w:r>
        <w:rPr>
          <w:color w:val="000000"/>
        </w:rPr>
        <w:t xml:space="preserve"> </w:t>
      </w:r>
      <w:r>
        <w:rPr>
          <w:rFonts w:ascii="Times New Roman;serif" w:hAnsi="Times New Roman;serif"/>
          <w:b w:val="false"/>
          <w:color w:val="000000"/>
          <w:sz w:val="24"/>
        </w:rPr>
        <w:t xml:space="preserve">the Chief Executive Officer may elect to waive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1040"/>
                <wp:effectExtent l="0" t="0" r="0" b="0"/>
                <wp:wrapNone/>
                <wp:docPr id="112" name="Frame11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246" w:after="283"/>
        <w:jc w:val="both"/>
        <w:rPr/>
      </w:pPr>
      <w:r>
        <w:rPr>
          <w:rFonts w:ascii="Times New Roman;serif" w:hAnsi="Times New Roman;serif"/>
          <w:b w:val="false"/>
          <w:color w:val="000000"/>
          <w:sz w:val="24"/>
        </w:rPr>
        <w:t xml:space="preserve">the period of notice, or any portion thereof, and, if the Chief Executive Officer so elects, the Company will pay the Executive the Base Salary for the period so waived. The Company shall also pay the Executive any Final Compensation due to the Executive (other than business expenses described in </w:t>
      </w:r>
      <w:r>
        <w:rPr>
          <w:rFonts w:ascii="Times New Roman;serif" w:hAnsi="Times New Roman;serif"/>
          <w:b w:val="false"/>
          <w:color w:val="000000"/>
          <w:sz w:val="24"/>
          <w:u w:val="single"/>
        </w:rPr>
        <w:t>Section 5(a)(iii))</w:t>
      </w:r>
      <w:r>
        <w:rPr>
          <w:color w:val="000000"/>
        </w:rPr>
        <w:t xml:space="preserve"> </w:t>
      </w:r>
      <w:r>
        <w:rPr>
          <w:rFonts w:ascii="Times New Roman;serif" w:hAnsi="Times New Roman;serif"/>
          <w:b w:val="false"/>
          <w:color w:val="000000"/>
          <w:sz w:val="24"/>
        </w:rPr>
        <w:t>at the time prescribed by applicable law and in all events within thirty (30) days following the date of the termination of employment.</w:t>
      </w:r>
    </w:p>
    <w:p>
      <w:pPr>
        <w:pStyle w:val="TextBody"/>
        <w:bidi w:val="0"/>
        <w:spacing w:lineRule="auto" w:line="288" w:before="220" w:after="283"/>
        <w:ind w:left="0" w:right="0" w:hanging="719"/>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Timing of Payments and Section 409A</w:t>
      </w:r>
      <w:r>
        <w:rPr>
          <w:rFonts w:ascii="Times New Roman;serif" w:hAnsi="Times New Roman;serif"/>
          <w:b w:val="false"/>
          <w:color w:val="000000"/>
          <w:sz w:val="24"/>
        </w:rPr>
        <w:t>.</w:t>
      </w:r>
    </w:p>
    <w:p>
      <w:pPr>
        <w:pStyle w:val="TextBody"/>
        <w:bidi w:val="0"/>
        <w:spacing w:lineRule="auto" w:line="302" w:before="245" w:after="283"/>
        <w:ind w:left="0" w:right="0" w:firstLine="2880"/>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Notwithstanding anything to the contrary in this Agreement, if, at the time of the Executive’s termination of employment, the Executive is a “specified employee,” as defined below, any and all amounts payable under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on account of such separation from service that constitute deferred compensation, and would (but for this provision) be payable within six (6) months following the date of termination, shall instead be paid on the next business day following the expiration of such six (6)-month period or, if earlier, upon the Executive’s death; except (A) with respect to any amounts that do not constitute a deferral of compensation within the meaning of Treasury Regulation Section 1.409A-l(b) (including, without limitation, by reason of the safe harbor set forth in Section 1.409A-l(b)(9)(iii), as determined by the Company in its reasonable good faith discretion); (B) benefits that qualify as excepted welfare benefits pursuant to Treasury Regulation Section 1.409A-l(a)(5); and (C) other amounts or benefits that are not subject to the requirements of Section 409A of the Internal Revenue Code of 1986, as amended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w:t>
      </w:r>
    </w:p>
    <w:p>
      <w:pPr>
        <w:pStyle w:val="TextBody"/>
        <w:bidi w:val="0"/>
        <w:spacing w:lineRule="auto" w:line="302" w:before="225" w:after="283"/>
        <w:ind w:left="0" w:right="0" w:firstLine="2880"/>
        <w:jc w:val="both"/>
        <w:rPr/>
      </w:pPr>
      <w:r>
        <w:rPr>
          <w:rFonts w:ascii="Times New Roman;serif" w:hAnsi="Times New Roman;serif"/>
          <w:b w:val="false"/>
          <w:color w:val="000000"/>
          <w:sz w:val="22"/>
        </w:rPr>
        <w:t>(ii)</w:t>
      </w:r>
      <w:r>
        <w:rPr>
          <w:rFonts w:ascii="Times New Roman;serif" w:hAnsi="Times New Roman;serif"/>
          <w:b w:val="false"/>
          <w:color w:val="000000"/>
          <w:sz w:val="24"/>
        </w:rPr>
        <w:t>This Agreement is intended to either comply with, or be exempt from, Section 409A, and this Agreement shall be construed and administered in accordance with such intent.</w:t>
      </w:r>
    </w:p>
    <w:p>
      <w:pPr>
        <w:pStyle w:val="TextBody"/>
        <w:bidi w:val="0"/>
        <w:spacing w:lineRule="auto" w:line="307" w:before="221" w:after="283"/>
        <w:ind w:left="0" w:right="0" w:firstLine="2880"/>
        <w:jc w:val="both"/>
        <w:rPr/>
      </w:pPr>
      <w:r>
        <w:rPr>
          <w:rFonts w:ascii="Times New Roman;serif" w:hAnsi="Times New Roman;serif"/>
          <w:b w:val="false"/>
          <w:color w:val="000000"/>
          <w:sz w:val="22"/>
        </w:rPr>
        <w:t>(iii)</w:t>
      </w:r>
      <w:r>
        <w:rPr>
          <w:rFonts w:ascii="Times New Roman;serif" w:hAnsi="Times New Roman;serif"/>
          <w:b w:val="false"/>
          <w:color w:val="000000"/>
          <w:sz w:val="24"/>
        </w:rPr>
        <w:t>For purposes of this Agreement and solely to the extent that Section 409A applies to compensation or a benefit, all references to “termination of employment” and correlative phrases shall be construed to require a “separation from service” (as defined in Section 1.409A-l(h) of the Treasury Regulations, after giving effect to the presumptions contained therein), and the term “specified employee” means an individual determined by the Company to be a specified employee under Treasury Regulation Section 1.409A-l(i).</w:t>
      </w:r>
    </w:p>
    <w:p>
      <w:pPr>
        <w:pStyle w:val="TextBody"/>
        <w:bidi w:val="0"/>
        <w:spacing w:lineRule="auto" w:line="309" w:before="221" w:after="283"/>
        <w:ind w:left="0" w:right="0" w:firstLine="2880"/>
        <w:jc w:val="both"/>
        <w:rPr/>
      </w:pPr>
      <w:r>
        <w:rPr>
          <w:rFonts w:ascii="Times New Roman;serif" w:hAnsi="Times New Roman;serif"/>
          <w:b w:val="false"/>
          <w:color w:val="000000"/>
          <w:sz w:val="22"/>
        </w:rPr>
        <w:t>(iv)</w:t>
      </w:r>
      <w:r>
        <w:rPr>
          <w:rFonts w:ascii="Times New Roman;serif" w:hAnsi="Times New Roman;serif"/>
          <w:b w:val="false"/>
          <w:color w:val="000000"/>
          <w:sz w:val="24"/>
        </w:rPr>
        <w:t>Each payment made under this Agreement shall be treated as a separate payment, and the right to a series of installment payments under this Agreement is to be treated as a right to a series of separate payments.</w:t>
      </w:r>
    </w:p>
    <w:p>
      <w:pPr>
        <w:pStyle w:val="TextBody"/>
        <w:bidi w:val="0"/>
        <w:spacing w:lineRule="auto" w:line="307" w:before="220" w:after="283"/>
        <w:ind w:left="0" w:right="0" w:firstLine="2880"/>
        <w:jc w:val="both"/>
        <w:rPr/>
      </w:pPr>
      <w:r>
        <w:rPr>
          <w:rFonts w:ascii="Times New Roman;serif" w:hAnsi="Times New Roman;serif"/>
          <w:b w:val="false"/>
          <w:color w:val="000000"/>
          <w:sz w:val="22"/>
        </w:rPr>
        <w:t>(v)</w:t>
      </w:r>
      <w:r>
        <w:rPr>
          <w:rFonts w:ascii="Times New Roman;serif" w:hAnsi="Times New Roman;serif"/>
          <w:b w:val="false"/>
          <w:color w:val="000000"/>
          <w:sz w:val="24"/>
        </w:rPr>
        <w:t>Any payment of, or reimbursement for, expenses that would constitute nonqualified deferred compensation subject to Section 409A shall be subject to the following additional rules: (A) no reimbursement or payment of any such expense shall affect the Executive’s right to reimbursement or payment of any such expense in any other calendar year; (B) reimbursement or payment of the expense shall be made, if at all, promptly, but not later than the end of the calendar year following the calendar year in which the expense was incurred; and (C) the right to reimbursement or payment shall not be subject to liquidation or exchange for any other benefit.</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01040"/>
                <wp:effectExtent l="0" t="0" r="0" b="0"/>
                <wp:wrapNone/>
                <wp:docPr id="113" name="Frame11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26" w:after="283"/>
        <w:jc w:val="left"/>
        <w:rPr/>
      </w:pPr>
      <w:r>
        <w:rPr/>
      </w:r>
    </w:p>
    <w:p>
      <w:pPr>
        <w:pStyle w:val="TextBody"/>
        <w:bidi w:val="0"/>
        <w:spacing w:lineRule="auto" w:line="307" w:before="0" w:after="0"/>
        <w:ind w:left="0" w:right="0" w:firstLine="2880"/>
        <w:jc w:val="both"/>
        <w:rPr/>
      </w:pPr>
      <w:r>
        <w:rPr>
          <w:rFonts w:ascii="Times New Roman;serif" w:hAnsi="Times New Roman;serif"/>
          <w:b w:val="false"/>
          <w:color w:val="000000"/>
          <w:sz w:val="22"/>
        </w:rPr>
        <w:t>(vi)</w:t>
      </w:r>
      <w:r>
        <w:rPr>
          <w:rFonts w:ascii="Times New Roman;serif" w:hAnsi="Times New Roman;serif"/>
          <w:b w:val="false"/>
          <w:color w:val="000000"/>
          <w:sz w:val="24"/>
        </w:rPr>
        <w:t>In the event of any change in the payroll schedule of the Company, each installment or payment to be made under this Agreement shall be made (according to such new payroll schedule) within thirty (30) days of the payroll date that would apply pursuant to the payroll schedule in effect on the Effective Date to the extent necessary to avoid a violation of applicable requirements under Section 409A.</w:t>
      </w:r>
    </w:p>
    <w:p>
      <w:pPr>
        <w:pStyle w:val="TextBody"/>
        <w:bidi w:val="0"/>
        <w:spacing w:before="0" w:after="0"/>
        <w:jc w:val="left"/>
        <w:rPr/>
      </w:pPr>
      <w:r>
        <w:rPr/>
      </w:r>
    </w:p>
    <w:p>
      <w:pPr>
        <w:pStyle w:val="TextBody"/>
        <w:bidi w:val="0"/>
        <w:spacing w:lineRule="auto" w:line="307" w:before="0" w:after="0"/>
        <w:ind w:left="0" w:right="0" w:firstLine="2880"/>
        <w:jc w:val="both"/>
        <w:rPr/>
      </w:pPr>
      <w:r>
        <w:rPr>
          <w:rFonts w:ascii="Times New Roman;serif" w:hAnsi="Times New Roman;serif"/>
          <w:b w:val="false"/>
          <w:color w:val="000000"/>
          <w:sz w:val="22"/>
        </w:rPr>
        <w:t>(vii)</w:t>
      </w:r>
      <w:r>
        <w:rPr>
          <w:rFonts w:ascii="Times New Roman;serif" w:hAnsi="Times New Roman;serif"/>
          <w:b w:val="false"/>
          <w:color w:val="000000"/>
          <w:sz w:val="24"/>
        </w:rPr>
        <w:t>In the event the Company or the Executive determines that any compensation or benefit payable hereunder may violate applicable requirements of Section 409A, the Company and the Executive shall cooperate in good faith to amend this Agreement or take any other actions as are necessary or appropriate for such compensation or benefit to either (A) be exempt from the requirements of Section 409A or (B) comply with the applicable requirements of Section 409A; provided, that, no such amendment will be made to the extent it would result in an increased cost to the Company.</w:t>
      </w:r>
    </w:p>
    <w:p>
      <w:pPr>
        <w:pStyle w:val="TextBody"/>
        <w:bidi w:val="0"/>
        <w:spacing w:before="25" w:after="283"/>
        <w:jc w:val="left"/>
        <w:rPr/>
      </w:pPr>
      <w:r>
        <w:rPr/>
      </w:r>
    </w:p>
    <w:p>
      <w:pPr>
        <w:pStyle w:val="TextBody"/>
        <w:bidi w:val="0"/>
        <w:spacing w:lineRule="auto" w:line="307" w:before="0" w:after="0"/>
        <w:ind w:left="0" w:right="0" w:firstLine="2880"/>
        <w:jc w:val="both"/>
        <w:rPr/>
      </w:pPr>
      <w:r>
        <w:rPr>
          <w:rFonts w:ascii="Times New Roman;serif" w:hAnsi="Times New Roman;serif"/>
          <w:b w:val="false"/>
          <w:color w:val="000000"/>
          <w:sz w:val="22"/>
        </w:rPr>
        <w:t>(viii)</w:t>
      </w:r>
      <w:r>
        <w:rPr>
          <w:rFonts w:ascii="Times New Roman;serif" w:hAnsi="Times New Roman;serif"/>
          <w:b w:val="false"/>
          <w:color w:val="000000"/>
          <w:sz w:val="24"/>
        </w:rPr>
        <w:t>In no event shall the Company have any liability relating to the failure or alleged failure of any payment or benefit under this Agreement to comply with, or be exempt from, the requirements of Section 409A.</w:t>
      </w:r>
    </w:p>
    <w:p>
      <w:pPr>
        <w:pStyle w:val="TextBody"/>
        <w:bidi w:val="0"/>
        <w:spacing w:lineRule="auto" w:line="307" w:before="220" w:after="283"/>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Exclusive Right to Severance</w:t>
      </w:r>
      <w:r>
        <w:rPr>
          <w:rFonts w:ascii="Times New Roman;serif" w:hAnsi="Times New Roman;serif"/>
          <w:b w:val="false"/>
          <w:color w:val="000000"/>
          <w:sz w:val="24"/>
        </w:rPr>
        <w:t>. The Executive agrees that the Severance Benefits to be provided to the Executive in accordance with the terms and conditions set forth in this Agreement are intended to be exclusive. The Executive hereby knowingly and voluntarily waives any right the Executive might otherwise have to participate in or receive payments or benefits under any other plan, program or policy of the Company providing for severance or termination pay or other termination benefits (other than any equity incentive awards and any benefits payable pursuant to a long-term disability or other similar insurance program, which shall be governed by the terms and provisions of the applicable plan, award agreement or program).</w:t>
      </w:r>
    </w:p>
    <w:p>
      <w:pPr>
        <w:pStyle w:val="TextBody"/>
        <w:bidi w:val="0"/>
        <w:spacing w:lineRule="auto" w:line="307" w:before="217" w:after="283"/>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shall apply to any termination of the Executive’s employment under this Agreement, whether pursuant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or otherwise.</w:t>
      </w:r>
    </w:p>
    <w:p>
      <w:pPr>
        <w:pStyle w:val="TextBody"/>
        <w:bidi w:val="0"/>
        <w:spacing w:lineRule="auto" w:line="307" w:before="220" w:after="283"/>
        <w:ind w:left="0" w:right="0" w:firstLine="2160"/>
        <w:jc w:val="both"/>
        <w:rPr/>
      </w:pPr>
      <w:r>
        <w:rPr>
          <w:rFonts w:ascii="Times New Roman;serif" w:hAnsi="Times New Roman;serif"/>
          <w:b w:val="false"/>
          <w:color w:val="000000"/>
          <w:sz w:val="24"/>
        </w:rPr>
        <w:t xml:space="preserve">(a)Provision by the Company of Final Compensation and Severance Benefits, if any, that are due to the Executive, in each case, under the applicable termination provisions of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shall constitute the entire obligation of the Company to the Executive under this Agreement.</w:t>
      </w:r>
    </w:p>
    <w:p>
      <w:pPr>
        <w:pStyle w:val="TextBody"/>
        <w:bidi w:val="0"/>
        <w:spacing w:lineRule="auto" w:line="307" w:before="220" w:after="283"/>
        <w:ind w:left="0" w:right="0" w:firstLine="2160"/>
        <w:jc w:val="both"/>
        <w:rPr/>
      </w:pPr>
      <w:r>
        <w:rPr>
          <w:rFonts w:ascii="Times New Roman;serif" w:hAnsi="Times New Roman;serif"/>
          <w:b w:val="false"/>
          <w:color w:val="000000"/>
          <w:sz w:val="24"/>
        </w:rPr>
        <w:t xml:space="preserve">(b)Except for any right of the Executive to continue group health plan participation in accordance with applicable law, the Executive’s participation in all Employee Benefit Plans shall terminate pursuant to the terms of the applicable Employee Benefit Plan documents based on the date of termination of the Executive’s employment, without regard to any Base Salary for notice waived pursuant to </w:t>
      </w:r>
      <w:r>
        <w:rPr>
          <w:rFonts w:ascii="Times New Roman;serif" w:hAnsi="Times New Roman;serif"/>
          <w:b w:val="false"/>
          <w:color w:val="000000"/>
          <w:sz w:val="24"/>
          <w:u w:val="single"/>
        </w:rPr>
        <w:t>Section 5(f)</w:t>
      </w:r>
      <w:r>
        <w:rPr>
          <w:color w:val="000000"/>
        </w:rPr>
        <w:t xml:space="preserve"> </w:t>
      </w:r>
      <w:r>
        <w:rPr>
          <w:rFonts w:ascii="Times New Roman;serif" w:hAnsi="Times New Roman;serif"/>
          <w:b w:val="false"/>
          <w:color w:val="000000"/>
          <w:sz w:val="24"/>
        </w:rPr>
        <w:t>hereof or to any Severance Benefits or other payment made to or on behalf of the Executive following such termination date.</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01040"/>
                <wp:effectExtent l="0" t="0" r="0" b="0"/>
                <wp:wrapNone/>
                <wp:docPr id="114" name="Frame11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19" w:after="283"/>
        <w:ind w:left="0" w:right="0" w:firstLine="2160"/>
        <w:jc w:val="both"/>
        <w:rPr/>
      </w:pPr>
      <w:r>
        <w:rPr>
          <w:rFonts w:ascii="Times New Roman;serif" w:hAnsi="Times New Roman;serif"/>
          <w:b w:val="false"/>
          <w:color w:val="000000"/>
          <w:sz w:val="24"/>
        </w:rPr>
        <w:t xml:space="preserve">(c)Provisions of this Agreement shall survive any termination of the Executive’s employment if so provided herein or if necessary or desirable fully to accomplish the purposes of other surviving provisions, including, without limitation, the obligations of the Executive under </w:t>
      </w:r>
      <w:r>
        <w:rPr>
          <w:rFonts w:ascii="Times New Roman;serif" w:hAnsi="Times New Roman;serif"/>
          <w:b w:val="false"/>
          <w:color w:val="000000"/>
          <w:sz w:val="24"/>
          <w:u w:val="single"/>
        </w:rPr>
        <w:t>Sections</w:t>
      </w:r>
      <w:r>
        <w:rPr>
          <w:color w:val="000000"/>
        </w:rPr>
        <w:t xml:space="preserve"> </w:t>
      </w:r>
      <w:r>
        <w:rPr>
          <w:rFonts w:ascii="Times New Roman;serif" w:hAnsi="Times New Roman;serif"/>
          <w:b w:val="false"/>
          <w:color w:val="000000"/>
          <w:sz w:val="24"/>
          <w:u w:val="single"/>
        </w:rPr>
        <w:t>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 xml:space="preserve">hereof. The obligation of the Company to provide Severance Benefits hereunder, and the Executive’s right to retain such payments, is expressly conditioned on the Executive’s continued full performance in accordance with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hereof.</w:t>
      </w:r>
    </w:p>
    <w:p>
      <w:pPr>
        <w:pStyle w:val="TextBody"/>
        <w:bidi w:val="0"/>
        <w:spacing w:lineRule="auto" w:line="288" w:before="224" w:after="283"/>
        <w:ind w:left="0" w:right="0" w:hanging="714"/>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02" w:before="74" w:after="283"/>
        <w:ind w:left="0" w:right="0" w:firstLine="2160"/>
        <w:jc w:val="both"/>
        <w:rPr/>
      </w:pPr>
      <w:r>
        <w:rPr>
          <w:rFonts w:ascii="Times New Roman;serif" w:hAnsi="Times New Roman;serif"/>
          <w:b w:val="false"/>
          <w:color w:val="000000"/>
          <w:sz w:val="24"/>
        </w:rPr>
        <w:t xml:space="preserve">(a)The Executive acknowledges that the Company and its Affiliates continually develop Confidential Information, that the Executive will develop Confidential Information for the Company or its Affiliates and that the Executive will learn of Confidential Information during the course of the Executive’s employment. The Executive agrees that all Confidential Information which the Executive creates or to which the Executive has access as a result of the Executive’s employment or other associations with the Company or any of its Affiliates since the Effective Date is and shall remain the sole and exclusive property of the Company or its Affiliate, as applicable. The Executive shall comply with the policies and procedures of the Company and its Affiliates for protecting Confidential Information and shall never disclose to any Person (except as required by applicable law or for the proper performance of the Executive’s duties and responsibilities to the Company and its Affiliates), or use for the Executive’s own benefit or gain or the benefit or gain of any other Person, any Confidential Information obtained by the Executive incident to the Executive’s employment or any other association with the Company or any of its Affiliates. The Executive understands that this restriction shall continue to apply after the Executive’s employment terminates, regardless of the reason for such termination. Further, the Executive agrees to furnish prompt notice to the Company, to the extent permitted by applicable law, of any required disclosure of Confidential Information sought pursuant to subpoena, court order or any other legal process or requirement, and agrees to provide the Company a reasonable opportunity to seek protection of the Confidential Information prior to any such disclosure. The confidentiality obligation under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not apply to information that has become generally known through no wrongful act on the part of the Executive or any other Person having an obligation of confidentiality to the Company or any of its Affiliates. For the avoidance of doubt, the Executive acknowledges that nothing contained herein limits, restricts or in any other way affects the Executive’s communicating with any governmental agency or entity, or communicating with any official or staff person of a governmental agency or entity, concerning matters relevant to the governmental agency or entity. Notwithstanding anything to the contrary in the foregoing, the Executive may retain the Executive’s personnel and compensation information, contacts list and computer calendar following the termination of the Executive’s employment, subject to the confidentiality obligations hereunder. Moreover, nothing herein restricts the Executive from providing information to the Executive’s tax or financial advisor or legal counsel or disclosing information if reasonably appropriate pursuant to any legal process between the Executive and the Company or any of its Affiliates.</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01040"/>
                <wp:effectExtent l="0" t="0" r="0" b="0"/>
                <wp:wrapNone/>
                <wp:docPr id="115" name="Frame11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38" w:after="283"/>
        <w:ind w:left="0" w:right="0" w:firstLine="2160"/>
        <w:jc w:val="both"/>
        <w:rPr/>
      </w:pPr>
      <w:r>
        <w:rPr>
          <w:rFonts w:ascii="Times New Roman;serif" w:hAnsi="Times New Roman;serif"/>
          <w:b w:val="false"/>
          <w:color w:val="000000"/>
          <w:sz w:val="24"/>
        </w:rPr>
        <w:t>(b)All documents, records, tapes and other media of every kind and description relating to the business, present or otherwise, of the Company or any of its Affiliates and any copies or derivatives (including, without limitation, electronic), in whole or in part, thereof (the “</w:t>
      </w:r>
      <w:r>
        <w:rPr>
          <w:rFonts w:ascii="Times New Roman;serif" w:hAnsi="Times New Roman;serif"/>
          <w:b w:val="false"/>
          <w:color w:val="000000"/>
          <w:sz w:val="24"/>
          <w:u w:val="single"/>
        </w:rPr>
        <w:t>Documents</w:t>
      </w:r>
      <w:r>
        <w:rPr>
          <w:color w:val="000000"/>
        </w:rPr>
        <w:t>”</w:t>
      </w:r>
      <w:r>
        <w:rPr>
          <w:rFonts w:ascii="Times New Roman;serif" w:hAnsi="Times New Roman;serif"/>
          <w:b w:val="false"/>
          <w:color w:val="000000"/>
          <w:sz w:val="24"/>
        </w:rPr>
        <w:t>), whether or not prepared by the Executive, shall be the sole and exclusive property of the Company and its Affiliates. Except as necessary for the proper performance of the Executive’s regular duties for the Company or as expressly authorized in writing in advance by the Company or its expressly authorized designee, the Executive will not copy any Documents or remove any Documents or copies or derivatives thereof from the premises of the Company. The Executive shall safeguard all Documents and shall surrender to the Company, at the time the Executive’s employment terminates, or at such earlier time or times as the Company or its designee may specify, all Documents and other property of the Company or any of its Affiliates and all documents, records and files of the customers and other Persons with whom the Company or any of its Affiliates does business (collectively, “</w:t>
      </w:r>
      <w:r>
        <w:rPr>
          <w:rFonts w:ascii="Times New Roman;serif" w:hAnsi="Times New Roman;serif"/>
          <w:b w:val="false"/>
          <w:color w:val="000000"/>
          <w:sz w:val="24"/>
          <w:u w:val="single"/>
        </w:rPr>
        <w:t>Third Party Documents</w:t>
      </w:r>
      <w:r>
        <w:rPr>
          <w:color w:val="000000"/>
        </w:rPr>
        <w:t xml:space="preserve">” </w:t>
      </w:r>
      <w:r>
        <w:rPr>
          <w:rFonts w:ascii="Times New Roman;serif" w:hAnsi="Times New Roman;serif"/>
          <w:b w:val="false"/>
          <w:color w:val="000000"/>
          <w:sz w:val="24"/>
        </w:rPr>
        <w:t>and each individually, a “</w:t>
      </w:r>
      <w:r>
        <w:rPr>
          <w:rFonts w:ascii="Times New Roman;serif" w:hAnsi="Times New Roman;serif"/>
          <w:b w:val="false"/>
          <w:color w:val="000000"/>
          <w:sz w:val="24"/>
          <w:u w:val="single"/>
        </w:rPr>
        <w:t>Third Party</w:t>
      </w:r>
      <w:r>
        <w:rPr>
          <w:color w:val="000000"/>
        </w:rPr>
        <w:t xml:space="preserve"> </w:t>
      </w:r>
      <w:r>
        <w:rPr>
          <w:rFonts w:ascii="Times New Roman;serif" w:hAnsi="Times New Roman;serif"/>
          <w:b w:val="false"/>
          <w:color w:val="000000"/>
          <w:sz w:val="24"/>
          <w:u w:val="single"/>
        </w:rPr>
        <w:t>Document</w:t>
      </w:r>
      <w:r>
        <w:rPr>
          <w:color w:val="000000"/>
        </w:rPr>
        <w:t>”</w:t>
      </w:r>
      <w:r>
        <w:rPr>
          <w:rFonts w:ascii="Times New Roman;serif" w:hAnsi="Times New Roman;serif"/>
          <w:b w:val="false"/>
          <w:color w:val="000000"/>
          <w:sz w:val="24"/>
        </w:rPr>
        <w:t xml:space="preserve">) then in the Executive’s possession or control and not accessible by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that if a Document or Third-Party Document is on electronic media, the Executive may, in lieu of surrendering the Document or Third-Party Document, provide a copy to the Company on electronic media and delete and overwrite all other electronic media copies thereof. The Executive also agrees that, upon request of any duly authorized officer of the Company, the Executive shall disclose all passwords and passcodes necessary or desirable to enable the Company or any of its Affiliates or the Persons with whom the Company or any of its Affiliates do business to obtain access to the Documents and Third-Party Documents.</w:t>
      </w:r>
    </w:p>
    <w:p>
      <w:pPr>
        <w:pStyle w:val="TextBody"/>
        <w:bidi w:val="0"/>
        <w:spacing w:lineRule="auto" w:line="302" w:before="238"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lineRule="auto" w:line="307" w:before="225" w:after="283"/>
        <w:ind w:left="0" w:right="0" w:firstLine="1460"/>
        <w:jc w:val="both"/>
        <w:rPr/>
      </w:pPr>
      <w:r>
        <w:rPr>
          <w:rFonts w:ascii="Times New Roman;serif" w:hAnsi="Times New Roman;serif"/>
          <w:b w:val="false"/>
          <w:color w:val="000000"/>
          <w:sz w:val="24"/>
        </w:rPr>
        <w:t>8.</w:t>
      </w:r>
      <w:r>
        <w:rPr/>
        <w:drawing>
          <wp:inline distT="0" distB="0" distL="0" distR="0">
            <wp:extent cx="28575" cy="14605"/>
            <wp:effectExtent l="0" t="0" r="0" b="0"/>
            <wp:docPr id="1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 descr=""/>
                    <pic:cNvPicPr>
                      <a:picLocks noChangeAspect="1" noChangeArrowheads="1"/>
                    </pic:cNvPicPr>
                  </pic:nvPicPr>
                  <pic:blipFill>
                    <a:blip r:embed="rId40"/>
                    <a:stretch>
                      <a:fillRect/>
                    </a:stretch>
                  </pic:blipFill>
                  <pic:spPr bwMode="auto">
                    <a:xfrm>
                      <a:off x="0" y="0"/>
                      <a:ext cx="28575" cy="14605"/>
                    </a:xfrm>
                    <a:prstGeom prst="rect">
                      <a:avLst/>
                    </a:prstGeom>
                  </pic:spPr>
                </pic:pic>
              </a:graphicData>
            </a:graphic>
          </wp:inline>
        </w:drawing>
      </w:r>
      <w:r>
        <w:rPr>
          <w:rFonts w:ascii="Times New Roman;serif" w:hAnsi="Times New Roman;serif"/>
          <w:b w:val="false"/>
          <w:color w:val="000000"/>
          <w:sz w:val="24"/>
          <w:u w:val="single"/>
        </w:rPr>
        <w:t>Assignment of Rights to Intellectual Property</w:t>
      </w:r>
      <w:r>
        <w:rPr>
          <w:rFonts w:ascii="Times New Roman;serif" w:hAnsi="Times New Roman;serif"/>
          <w:b w:val="false"/>
          <w:color w:val="000000"/>
          <w:sz w:val="24"/>
        </w:rPr>
        <w:t xml:space="preserve">.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01040"/>
                <wp:effectExtent l="0" t="0" r="0" b="0"/>
                <wp:wrapNone/>
                <wp:docPr id="117" name="Frame11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225" w:after="283"/>
        <w:jc w:val="both"/>
        <w:rPr>
          <w:rFonts w:ascii="Times New Roman;serif" w:hAnsi="Times New Roman;serif"/>
          <w:b w:val="false"/>
          <w:color w:val="000000"/>
          <w:sz w:val="24"/>
        </w:rPr>
      </w:pPr>
      <w:r>
        <w:rPr>
          <w:rFonts w:ascii="Times New Roman;serif" w:hAnsi="Times New Roman;serif"/>
          <w:b w:val="false"/>
          <w:color w:val="000000"/>
          <w:sz w:val="24"/>
        </w:rPr>
        <w:t>patents, copyrights or other proprietary rights to the Intellectual Property. The Executive will not charge the Company for time spent in complying with these obligations. All copyrightable works that the Executive creates during the Executive’s employment with the Company shall be considered “work made for hire” and shall, upon creation, be owned exclusively by the Company.</w:t>
      </w:r>
    </w:p>
    <w:p>
      <w:pPr>
        <w:pStyle w:val="TextBody"/>
        <w:bidi w:val="0"/>
        <w:spacing w:lineRule="auto" w:line="307" w:before="221" w:after="283"/>
        <w:ind w:left="0" w:right="0" w:firstLine="146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Restricted Activities</w:t>
      </w:r>
      <w:r>
        <w:rPr>
          <w:rFonts w:ascii="Times New Roman;serif" w:hAnsi="Times New Roman;serif"/>
          <w:b w:val="false"/>
          <w:color w:val="000000"/>
          <w:sz w:val="24"/>
        </w:rPr>
        <w:t>. The Executive acknowledges and agrees that (1) he is an executive of the Company with continual access to the Company’s “Trade Secrets,” defined as the whole or any portion or phase of any scientific or technical information, design, process, procedure, formula, improvement, confidential business or financial information, listing of names, addresses, or telephone numbers, or other information relating to the Company which is secret and of value, (2) the Executive’s services are of special, unique and extraordinary value to the Company, and the Executive’s performance of such services to a competing business may result in irreparable harm to the Company, (3) in the event of the Executive’s employment by a competitor, the Executive would inevitably use or disclose Company Trade Secrets, (4) the Executive will receive specialized training from the Company, and (5) the following restrictions on the Executive’s activities during and after employment with the Company are necessary to protect the Company’s Trade Secrets and other legitimate protectable business interests of the Company and its Affiliates:</w:t>
      </w:r>
    </w:p>
    <w:p>
      <w:pPr>
        <w:pStyle w:val="TextBody"/>
        <w:bidi w:val="0"/>
        <w:spacing w:lineRule="auto" w:line="302" w:before="221" w:after="283"/>
        <w:ind w:left="0" w:right="0" w:firstLine="218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r>
        <w:rPr>
          <w:rFonts w:ascii="Times New Roman;serif" w:hAnsi="Times New Roman;serif"/>
          <w:b w:val="false"/>
          <w:color w:val="000000"/>
          <w:sz w:val="24"/>
        </w:rPr>
        <w:t>. While the Executive is employed by the Company and during the one (l)-year period immediately following termination of the Executive’s employment with the Company for any reason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the Executive shall not, directly or indirectly, whether as owner, partner, investor, consultant, agent, employee, independent contractor, co-venturer or otherwise, whether with or without compensation, compete or assist another Person in competing with the Business (as defined below), or any portion of the Business, in the United States of America (the “</w:t>
      </w:r>
      <w:r>
        <w:rPr>
          <w:rFonts w:ascii="Times New Roman;serif" w:hAnsi="Times New Roman;serif"/>
          <w:b w:val="false"/>
          <w:color w:val="000000"/>
          <w:sz w:val="24"/>
          <w:u w:val="single"/>
        </w:rPr>
        <w:t>Restricted Area</w:t>
      </w:r>
      <w:r>
        <w:rPr>
          <w:color w:val="000000"/>
        </w:rPr>
        <w:t>”</w:t>
      </w:r>
      <w:r>
        <w:rPr>
          <w:rFonts w:ascii="Times New Roman;serif" w:hAnsi="Times New Roman;serif"/>
          <w:b w:val="false"/>
          <w:color w:val="000000"/>
          <w:sz w:val="24"/>
        </w:rPr>
        <w:t xml:space="preserve">) or undertake any planning for any business competitive with all or a portion of the Business in the Restricted Area. Specifically, but without limiting the foregoing, the Executive agrees not to work for or provide services to, in any capacity, whether as an employee, independent contractor, consultant, agent, co-venturer, or otherwise, whether with or without compensation, any Person that is engaged in all or any portion of the Business, as conducted or in active planning to be conducted during the Executive’s employment with the Company or, with respect to the portion of the Restricted Period that follows the termination of the Executive’s employment, at the time the Executive’s employment terminates, in the Restricted Area. Notwithstanding the foregoing, nothing in this Agreement shall (A) prevent the Executive from providing services to a consulting firm that provides services to any business that competes with the Business, (B) preclude the Executive from owning up to two percent (2%) of the publicly traded securities of any business or (C) prevent the Executive from providing services to an entity that contains a business that competes with the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Executive is not responsible for (and does not engage or participate in) the day-to-day management, oversight or supervision of such business, and </w:t>
      </w:r>
      <w:r>
        <w:rPr>
          <w:rFonts w:ascii="Times New Roman;serif" w:hAnsi="Times New Roman;serif"/>
          <w:b w:val="false"/>
          <w:color w:val="000000"/>
          <w:sz w:val="24"/>
          <w:u w:val="single"/>
        </w:rPr>
        <w:t>provided, further</w:t>
      </w:r>
      <w:r>
        <w:rPr>
          <w:rFonts w:ascii="Times New Roman;serif" w:hAnsi="Times New Roman;serif"/>
          <w:b w:val="false"/>
          <w:color w:val="000000"/>
          <w:sz w:val="24"/>
        </w:rPr>
        <w:t>, that the Executive does not have direct supervision over the individual or individuals who are so responsible for such day-to-day management, oversight or supervision.</w:t>
      </w:r>
    </w:p>
    <w:p>
      <w:pPr>
        <w:pStyle w:val="TextBody"/>
        <w:bidi w:val="0"/>
        <w:spacing w:lineRule="auto" w:line="288" w:before="223" w:after="283"/>
        <w:ind w:left="0" w:right="0" w:hanging="702"/>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Non-Solicitation</w:t>
      </w:r>
      <w:r>
        <w:rPr>
          <w:rFonts w:ascii="Times New Roman;serif" w:hAnsi="Times New Roman;serif"/>
          <w:b w:val="false"/>
          <w:color w:val="000000"/>
          <w:sz w:val="24"/>
        </w:rPr>
        <w: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01040"/>
                <wp:effectExtent l="0" t="0" r="0" b="0"/>
                <wp:wrapNone/>
                <wp:docPr id="118" name="Frame11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1" w:after="283"/>
        <w:ind w:left="0" w:right="0" w:firstLine="2900"/>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During the Restricted Period, the Executive will not, and will not assist any other Person to directly or indirectly, (A) solicit or encourage any customer of the Company or any of its Affiliates to terminate or diminish its relationship with the Company or its applicable Affiliate; or (B) seek to persuade any such customer or prospective customer of the Company or any of its Affiliates to conduct any business or activity which such customer or prospective customer conducts or could conduct with the Company or any of its Affiliates with anyone else; provided, however, that these restrictions shall apply (I) only with respect to any Person who is or has been a customer of the Company or any of its Affiliates at any time within the immediately preceding two (2)-year period prior to the date of Executive’s termination of employment or whose business has been solicited on behalf of the Company or any of its Affiliates by any of their officers, employees or agents within such two (2)-year period, other than by form letter, blanket mailing or published advertisement, and (II) only if the Executive has performed work for such Person during the Executive’s employment with the Company or one of its Affiliates or been introduced to, or otherwise had contact with, such Person as a result of the Executive’s employment or other associations with the Company or one of its Affiliates or has had access to Confidential Information which would assist in the Executive’s solicitation of such Person. Notwithstanding anything in this </w:t>
      </w:r>
      <w:r>
        <w:rPr>
          <w:rFonts w:ascii="Times New Roman;serif" w:hAnsi="Times New Roman;serif"/>
          <w:b w:val="false"/>
          <w:color w:val="000000"/>
          <w:sz w:val="24"/>
          <w:u w:val="single"/>
        </w:rPr>
        <w:t>Section 9(b)</w:t>
      </w:r>
      <w:r>
        <w:rPr>
          <w:color w:val="000000"/>
        </w:rPr>
        <w:t xml:space="preserve"> </w:t>
      </w:r>
      <w:r>
        <w:rPr>
          <w:rFonts w:ascii="Times New Roman;serif" w:hAnsi="Times New Roman;serif"/>
          <w:b w:val="false"/>
          <w:color w:val="000000"/>
          <w:sz w:val="24"/>
        </w:rPr>
        <w:t xml:space="preserve">to the contrary, the Executive may solicit customers and prospective customers for purposes of providing or selling products or services that do not compete with the Business. For purposes of this </w:t>
      </w:r>
      <w:r>
        <w:rPr>
          <w:rFonts w:ascii="Times New Roman;serif" w:hAnsi="Times New Roman;serif"/>
          <w:b w:val="false"/>
          <w:color w:val="000000"/>
          <w:sz w:val="24"/>
          <w:u w:val="single"/>
        </w:rPr>
        <w:t>Section 9(b)(i)</w:t>
      </w:r>
      <w:r>
        <w:rPr>
          <w:rFonts w:ascii="Times New Roman;serif" w:hAnsi="Times New Roman;serif"/>
          <w:b w:val="false"/>
          <w:color w:val="000000"/>
          <w:sz w:val="24"/>
        </w:rPr>
        <w:t>, the term “customer” shall include without limitation any Company customer, client, supplier, vendor, partner, reseller, service provider, broker, agent or any other material business relation of the Company.</w:t>
      </w:r>
    </w:p>
    <w:p>
      <w:pPr>
        <w:pStyle w:val="TextBody"/>
        <w:bidi w:val="0"/>
        <w:spacing w:lineRule="auto" w:line="302" w:before="227" w:after="283"/>
        <w:ind w:left="0" w:right="0" w:firstLine="2900"/>
        <w:jc w:val="both"/>
        <w:rPr/>
      </w:pPr>
      <w:r>
        <w:rPr>
          <w:rFonts w:ascii="Times New Roman;serif" w:hAnsi="Times New Roman;serif"/>
          <w:b w:val="false"/>
          <w:color w:val="000000"/>
          <w:sz w:val="22"/>
        </w:rPr>
        <w:t>(ii)</w:t>
      </w:r>
      <w:r>
        <w:rPr>
          <w:rFonts w:ascii="Times New Roman;serif" w:hAnsi="Times New Roman;serif"/>
          <w:b w:val="false"/>
          <w:color w:val="000000"/>
          <w:sz w:val="24"/>
        </w:rPr>
        <w:t>During the Restricted Period, the Executive will not, and will not assist any other Person to, (A) hire or solicit for hiring any employee of the Company or any of its Affiliates or seek to persuade any employee of the Company or any of its Affiliates to discontinue employment or (B) solicit or encourage any independent contractor providing services to the Company or any of its Affiliates to terminate or diminish such independent contractor’s relationship with them. For the purposes of this Agreement, an “employee” or an “independent contractor” of the Company or any of its Affiliates is any Person who was such at any time within the preceding two (2) years.</w:t>
      </w:r>
    </w:p>
    <w:p>
      <w:pPr>
        <w:pStyle w:val="TextBody"/>
        <w:bidi w:val="0"/>
        <w:spacing w:lineRule="auto" w:line="302" w:before="223" w:after="283"/>
        <w:ind w:left="0" w:right="0" w:firstLine="290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The Executive agrees that he will never disparage or criticize the Company, its Affiliates, their business, their management or their products or services, and that the Executive will not otherwise do or say anything that could disrupt the good morale of employees of the Company or any of its Affiliates or harm the interests or reputation of the Company or any of its Affiliates. For the avoidance of doubt, the foregoing shall not prevent the Executive from performing the Executive’s duties during the term hereof, as it relates to performance evaluations and the like. The Company agrees that (i) it will direct its senior executives and directors to not publicly disparage or criticize the Executive or otherwise do or say anything that could harm the reputation of the Executive, and (ii) it will not publish</w:t>
      </w:r>
      <w:r>
        <w:rPr>
          <w:color w:val="FF0101"/>
        </w:rPr>
        <w:t xml:space="preserve"> </w:t>
      </w:r>
      <w:r>
        <w:rPr>
          <w:rFonts w:ascii="Times New Roman;serif" w:hAnsi="Times New Roman;serif"/>
          <w:b w:val="false"/>
          <w:color w:val="000000"/>
          <w:sz w:val="24"/>
        </w:rPr>
        <w:t>press releases or other public filings that disparage or criticize the Executive unless the Executive is terminated for Cause or the Company is required to comply with applicable law and applicable exchange listing rules.</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01040"/>
                <wp:effectExtent l="0" t="0" r="0" b="0"/>
                <wp:wrapNone/>
                <wp:docPr id="119" name="Frame11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23" w:after="283"/>
        <w:ind w:left="0" w:right="0" w:firstLine="1468"/>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Whistleblower Protection</w:t>
      </w:r>
      <w:r>
        <w:rPr>
          <w:rFonts w:ascii="Times New Roman;serif" w:hAnsi="Times New Roman;serif"/>
          <w:b w:val="false"/>
          <w:color w:val="000000"/>
          <w:sz w:val="24"/>
        </w:rPr>
        <w:t>. Notwithstanding anything to the contrary contained herein, no provision of this Agreement will be interpreted so as to impede the Executive (or any other individual)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the Congress, and any agency Inspector General, (iii) seeking or receiving any monetary damages, awards or other relief (including, without limitation, accepting any Securities and Exchange Commission awards) in connection with protected whistleblower activity, or (iv) making other disclosures under the whistleblower provisions of federal law or regulation. In addition, nothing in this Agreement or any other agreement or Company policy prohibits or restricts the Executive from initiating communications with, or responding to any inquiry from, any administrative, governmental, regulatory or supervisory authority regarding any good faith concerns about possible violations of law or regulation. The Executive does not need the prior authorization of the Company to make any such reports or disclosures and the Executive will not be required to notify the Company that such reports or disclosures have been made.</w:t>
      </w:r>
    </w:p>
    <w:p>
      <w:pPr>
        <w:pStyle w:val="TextBody"/>
        <w:bidi w:val="0"/>
        <w:spacing w:lineRule="auto" w:line="302" w:before="219" w:after="283"/>
        <w:ind w:left="0" w:right="0" w:firstLine="148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Enforcement of Covenants</w:t>
      </w:r>
      <w:r>
        <w:rPr>
          <w:rFonts w:ascii="Times New Roman;serif" w:hAnsi="Times New Roman;serif"/>
          <w:b w:val="false"/>
          <w:color w:val="000000"/>
          <w:sz w:val="24"/>
        </w:rPr>
        <w:t xml:space="preserve">. The Executive acknowledges that the Executive has carefully read and considered all the terms and conditions of this Agreement, including the restraints imposed upon the Executive pursuant to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hereof. The Executive agrees without reservation that the Executive has received valuable consideration for each of the restraints contained herein, and that</w:t>
      </w:r>
      <w:r>
        <w:rPr>
          <w:color w:val="000000"/>
          <w:u w:val="single"/>
        </w:rPr>
        <w:t xml:space="preserve"> </w:t>
      </w:r>
      <w:r>
        <w:rPr>
          <w:rFonts w:ascii="Times New Roman;serif" w:hAnsi="Times New Roman;serif"/>
          <w:b w:val="false"/>
          <w:color w:val="000000"/>
          <w:sz w:val="24"/>
        </w:rPr>
        <w:t xml:space="preserve">each of the restraints contained herein is necessary for the reasonable and proper protection of the goodwill, Confidential Information and other legitimate interests of the Company and its Affiliates; that each of these restraints is reasonable in respect to subject matter, length of time and geographic area; and that these restraints, individually or in the aggregate, will not prevent the Executive from obtaining other suitable employment during the period in which the Executive is bound by them. The Executive further acknowledges that, were the Executive to breach any of the covenants contained in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 xml:space="preserve">hereof, the damage to the Company and its Affiliates would be irreparable. The Executive therefore agrees that the Company, in addition and not in the alternative to any other remedies available to it, shall be entitled to preliminary and permanent injunctive relief against any breach or threatened breach by the Executive of any of said covenants, without having to post bond. The parties further agree that, in the event that any provision of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 xml:space="preserve">hereof shall be determined by any court of competent jurisdiction to be unenforceable, such provision shall be deemed to be modified to permit its enforcement to the maximum extent permitted by law. The Executive agrees that the Restricted Period shall be tolled, and shall not run, during any period of time in which the Executive is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 xml:space="preserve">hereof. Each of the Company’s Affiliates shall have the right to enforce all of the Executive’s obligations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01040"/>
                <wp:effectExtent l="0" t="0" r="0" b="0"/>
                <wp:wrapNone/>
                <wp:docPr id="120" name="Frame11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19" w:after="283"/>
        <w:jc w:val="both"/>
        <w:rPr/>
      </w:pPr>
      <w:r>
        <w:rPr>
          <w:rFonts w:ascii="Times New Roman;serif" w:hAnsi="Times New Roman;serif"/>
          <w:b w:val="false"/>
          <w:color w:val="000000"/>
          <w:sz w:val="24"/>
        </w:rPr>
        <w:t xml:space="preserve">to that Affiliate under this Agreement, including, without limitation, pursuant to </w:t>
      </w:r>
      <w:r>
        <w:rPr>
          <w:rFonts w:ascii="Times New Roman;serif" w:hAnsi="Times New Roman;serif"/>
          <w:b w:val="false"/>
          <w:color w:val="000000"/>
          <w:sz w:val="24"/>
          <w:u w:val="single"/>
        </w:rPr>
        <w:t>Sections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hereof.</w:t>
      </w:r>
    </w:p>
    <w:p>
      <w:pPr>
        <w:pStyle w:val="TextBody"/>
        <w:bidi w:val="0"/>
        <w:spacing w:lineRule="auto" w:line="302" w:before="219" w:after="283"/>
        <w:ind w:left="0" w:right="0" w:firstLine="148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Conflicting Agreements</w:t>
      </w:r>
      <w:r>
        <w:rPr>
          <w:rFonts w:ascii="Times New Roman;serif" w:hAnsi="Times New Roman;serif"/>
          <w:b w:val="false"/>
          <w:color w:val="000000"/>
          <w:sz w:val="24"/>
        </w:rPr>
        <w:t>. The Executive hereby represents and warrants that the execution of this Agreement and the performance of the Executive’s obligations hereunder will not breach or be in conflict with any other agreement to which the Executive is a party or is bound, and that the Executive is not now subject to any covenants against competition or similar restrictive covenants or any other obligations to any Person or to any court order, judgment or decree that would affect the performance of the Executive’s obligations hereunder. The Executive will not disclose to or use on behalf of the Company any proprietary information of a third party without such party’s consent.</w:t>
      </w:r>
    </w:p>
    <w:p>
      <w:pPr>
        <w:pStyle w:val="TextBody"/>
        <w:bidi w:val="0"/>
        <w:spacing w:lineRule="auto" w:line="312" w:before="245" w:after="283"/>
        <w:ind w:left="0" w:right="0" w:firstLine="148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words or phrases shall have the meanings provided in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and as provided elsewhere herein:</w:t>
      </w:r>
    </w:p>
    <w:p>
      <w:pPr>
        <w:pStyle w:val="TextBody"/>
        <w:bidi w:val="0"/>
        <w:spacing w:lineRule="auto" w:line="307" w:before="220" w:after="283"/>
        <w:ind w:left="0" w:right="0" w:firstLine="218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person or entity directly or indirectly controlling or controlled by the Company, where control may be by either management authority or equity interest.</w:t>
      </w:r>
    </w:p>
    <w:p>
      <w:pPr>
        <w:pStyle w:val="TextBody"/>
        <w:bidi w:val="0"/>
        <w:spacing w:lineRule="auto" w:line="312" w:before="219" w:after="283"/>
        <w:ind w:left="0" w:right="0" w:firstLine="218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means the business of delivery of services to the frail and elderly population through the operation of PACE Programs.</w:t>
      </w:r>
    </w:p>
    <w:p>
      <w:pPr>
        <w:pStyle w:val="TextBody"/>
        <w:bidi w:val="0"/>
        <w:spacing w:lineRule="auto" w:line="307" w:before="221" w:after="283"/>
        <w:ind w:left="0" w:right="0" w:firstLine="218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any and all information of the Company and its Affiliates that is not generally available to the public, and any and all information, which, if disclosed by the Company or any of its Affiliates, would assist in competition against any of them. Confidential Information includes, without limitation, such information relating to (i) the development, research, testing, manufacturing, marketing and financial activities of the Company and its Affiliates, (ii) the Services, (iii) the costs, sources of supply, financial performance and strategic plans of the Company and its Affiliates, (iv) the identity and special needs of the patients of the Company and its Affiliates and (v) the people and organizations with whom the Company and its Affiliates have business relationships and the nature and substance of those relationships. Confidential Information also includes information that the Company or any of its Affiliates has received, or may receive hereafter, belonging to others or that was received by the Company or any of its Affiliates with any understanding, express or implied, that it would not be disclosed.</w:t>
      </w:r>
    </w:p>
    <w:p>
      <w:pPr>
        <w:pStyle w:val="TextBody"/>
        <w:bidi w:val="0"/>
        <w:spacing w:lineRule="auto" w:line="302" w:before="220" w:after="283"/>
        <w:ind w:left="0" w:right="0" w:firstLine="218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and during the period of six (6) months immediately following termination of the Executive’s employment that relate either to the Services or to any prospective activity of the Company or any of its Affiliates or that result from any work performed by the Executive for the Company or any of its Affiliates or that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01040"/>
                <wp:effectExtent l="0" t="0" r="0" b="0"/>
                <wp:wrapNone/>
                <wp:docPr id="121" name="Frame11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2" w:before="220" w:after="283"/>
        <w:jc w:val="both"/>
        <w:rPr>
          <w:rFonts w:ascii="Times New Roman;serif" w:hAnsi="Times New Roman;serif"/>
          <w:b w:val="false"/>
          <w:color w:val="000000"/>
          <w:sz w:val="24"/>
        </w:rPr>
      </w:pPr>
      <w:r>
        <w:rPr>
          <w:rFonts w:ascii="Times New Roman;serif" w:hAnsi="Times New Roman;serif"/>
          <w:b w:val="false"/>
          <w:color w:val="000000"/>
          <w:sz w:val="24"/>
        </w:rPr>
        <w:t>make use of Confidential Information or any of the equipment or facilities of the Company or any of its Affiliates.</w:t>
      </w:r>
    </w:p>
    <w:p>
      <w:pPr>
        <w:pStyle w:val="TextBody"/>
        <w:bidi w:val="0"/>
        <w:spacing w:lineRule="auto" w:line="307" w:before="224" w:after="283"/>
        <w:ind w:left="0" w:right="0" w:firstLine="218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 natural person, a corporation, a limited liability company, an association, a partnership, an estate, a trust and any other entity or organization, other than the Company or any of its Affiliates.</w:t>
      </w:r>
    </w:p>
    <w:p>
      <w:pPr>
        <w:pStyle w:val="TextBody"/>
        <w:bidi w:val="0"/>
        <w:spacing w:lineRule="auto" w:line="307" w:before="220" w:after="283"/>
        <w:ind w:left="0" w:right="0" w:firstLine="218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Services</w:t>
      </w:r>
      <w:r>
        <w:rPr>
          <w:color w:val="000000"/>
        </w:rPr>
        <w:t xml:space="preserve">” </w:t>
      </w:r>
      <w:r>
        <w:rPr>
          <w:rFonts w:ascii="Times New Roman;serif" w:hAnsi="Times New Roman;serif"/>
          <w:b w:val="false"/>
          <w:color w:val="000000"/>
          <w:sz w:val="24"/>
        </w:rPr>
        <w:t>means all services planned, researched, developed, tested, sold, licensed, leased or otherwise distributed or put into use by the Company or any of its Affiliates, together with all products provided or otherwise planned by the Company or any of its Affiliates, during the Executive’s employment.</w:t>
      </w:r>
    </w:p>
    <w:p>
      <w:pPr>
        <w:pStyle w:val="TextBody"/>
        <w:bidi w:val="0"/>
        <w:spacing w:before="0" w:after="0"/>
        <w:ind w:left="0" w:right="0" w:hanging="241"/>
        <w:jc w:val="left"/>
        <w:rPr/>
      </w:pPr>
      <w:r>
        <w:rPr/>
      </w:r>
    </w:p>
    <w:p>
      <w:pPr>
        <w:pStyle w:val="TextBody"/>
        <w:bidi w:val="0"/>
        <w:spacing w:lineRule="auto" w:line="302" w:before="74" w:after="283"/>
        <w:ind w:left="0" w:right="0" w:firstLine="148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On or around the Effective Date, the Company and the Executive will enter into an Indemnification Agreement in the form attached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309" w:before="226" w:after="283"/>
        <w:ind w:left="0" w:right="0" w:firstLine="148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made by the Company under this Agreement shall be reduced by any tax or other amounts required to be withheld by the Company under applicable law.</w:t>
      </w:r>
    </w:p>
    <w:p>
      <w:pPr>
        <w:pStyle w:val="TextBody"/>
        <w:bidi w:val="0"/>
        <w:spacing w:lineRule="auto" w:line="302" w:before="219" w:after="283"/>
        <w:ind w:left="0" w:right="0" w:firstLine="148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Neither the Company nor the Executive may make any assignment of this Agreement or any interest herein, by operation of law or otherwise, without the prior written consent of the other;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the Company may assign its rights and obligations under this Agreement without the consent of the Executive to one of its Affiliates or in the event that the Company shall hereafter effect a reorganization with, consolidate with or merge into an Affiliate or any Person or transfer all or substantially all of its properties, stock or assets to an Affiliate or any Person. This Agreement shall inure to the benefit of and be binding upon the Company and the Executive, and their respective successors, executors, administrators, heirs and permitted assigns.</w:t>
      </w:r>
    </w:p>
    <w:p>
      <w:pPr>
        <w:pStyle w:val="TextBody"/>
        <w:bidi w:val="0"/>
        <w:spacing w:lineRule="auto" w:line="307" w:before="223" w:after="283"/>
        <w:ind w:left="0" w:right="0" w:firstLine="146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307" w:before="220" w:after="283"/>
        <w:ind w:left="0" w:right="0" w:firstLine="146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Waiver</w:t>
      </w:r>
      <w:r>
        <w:rPr>
          <w:rFonts w:ascii="Times New Roman;serif" w:hAnsi="Times New Roman;serif"/>
          <w:b w:val="false"/>
          <w:color w:val="000000"/>
          <w:sz w:val="24"/>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pStyle w:val="TextBody"/>
        <w:bidi w:val="0"/>
        <w:spacing w:lineRule="auto" w:line="307" w:before="220" w:after="283"/>
        <w:ind w:left="0" w:right="0" w:firstLine="146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and all notices, requests, demands and other communications provided for by this Agreement shall be in writing and shall be effective when delivered in person, consigned to a reputable national courier service or deposited in the United States mail,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01040"/>
                <wp:effectExtent l="0" t="0" r="0" b="0"/>
                <wp:wrapNone/>
                <wp:docPr id="122" name="Frame12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07" w:before="220" w:after="283"/>
        <w:jc w:val="both"/>
        <w:rPr>
          <w:rFonts w:ascii="Times New Roman;serif" w:hAnsi="Times New Roman;serif"/>
          <w:b w:val="false"/>
          <w:color w:val="000000"/>
          <w:sz w:val="24"/>
        </w:rPr>
      </w:pPr>
      <w:r>
        <w:rPr>
          <w:rFonts w:ascii="Times New Roman;serif" w:hAnsi="Times New Roman;serif"/>
          <w:b w:val="false"/>
          <w:color w:val="000000"/>
          <w:sz w:val="24"/>
        </w:rPr>
        <w:t>postage prepaid, registered or certified, and addressed to the Executive at the Executive’s last known address on the books of the Company or, in the case of the Company, at its principal place of business, attention of the Chief Executive Officer, or to such other address as either party may specify by notice to the other actually received.</w:t>
      </w:r>
    </w:p>
    <w:p>
      <w:pPr>
        <w:pStyle w:val="TextBody"/>
        <w:bidi w:val="0"/>
        <w:spacing w:before="0" w:after="0"/>
        <w:jc w:val="left"/>
        <w:rPr/>
      </w:pPr>
      <w:r>
        <w:rPr/>
      </w:r>
    </w:p>
    <w:p>
      <w:pPr>
        <w:pStyle w:val="TextBody"/>
        <w:bidi w:val="0"/>
        <w:spacing w:lineRule="auto" w:line="307" w:before="74" w:after="283"/>
        <w:ind w:left="0" w:right="0" w:firstLine="146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between the parties and supersedes and terminates all prior communications, agreements and understandings, written or oral, with respect to the terms and conditions of the Executive’s employment with the Company.</w:t>
      </w:r>
    </w:p>
    <w:p>
      <w:pPr>
        <w:pStyle w:val="TextBody"/>
        <w:bidi w:val="0"/>
        <w:spacing w:lineRule="auto" w:line="302" w:before="220" w:after="283"/>
        <w:ind w:left="0" w:right="0" w:firstLine="146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be amended or modified only by a written instrument signed by the Executive and by an expressly authorized representative of the Company.</w:t>
      </w:r>
    </w:p>
    <w:p>
      <w:pPr>
        <w:pStyle w:val="TextBody"/>
        <w:bidi w:val="0"/>
        <w:spacing w:lineRule="auto" w:line="307" w:before="224" w:after="283"/>
        <w:ind w:left="0" w:right="0" w:firstLine="146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and captions in this Agreement are for convenience only and in no way define or describe the scope or content of any provision of this Agreement.</w:t>
      </w:r>
    </w:p>
    <w:p>
      <w:pPr>
        <w:pStyle w:val="TextBody"/>
        <w:bidi w:val="0"/>
        <w:spacing w:lineRule="auto" w:line="309" w:before="220" w:after="283"/>
        <w:ind w:left="0" w:right="0" w:firstLine="146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(2) or more counterparts, each of which shall be an original and all of which together shall constitute one and the same instrument.</w:t>
      </w:r>
    </w:p>
    <w:p>
      <w:pPr>
        <w:pStyle w:val="TextBody"/>
        <w:bidi w:val="0"/>
        <w:spacing w:lineRule="auto" w:line="307" w:before="218" w:after="283"/>
        <w:ind w:left="0" w:right="0" w:firstLine="146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is a Connecticut contract and shall be construed and enforced under and be governed in all respects by the laws of the State of Connecticut, without regard to any conflict of laws principles that would result in the application of the laws of any other jurisdiction.</w:t>
      </w:r>
    </w:p>
    <w:p>
      <w:pPr>
        <w:pStyle w:val="TextBody"/>
        <w:bidi w:val="0"/>
        <w:spacing w:lineRule="auto" w:line="288" w:before="220" w:after="283"/>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01040"/>
                <wp:effectExtent l="0" t="0" r="0" b="0"/>
                <wp:wrapNone/>
                <wp:docPr id="123" name="Frame12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220" w:after="283"/>
        <w:ind w:left="0" w:right="0" w:firstLine="720"/>
        <w:jc w:val="both"/>
        <w:rPr/>
      </w:pPr>
      <w:r>
        <w:rPr/>
      </w:r>
    </w:p>
    <w:p>
      <w:pPr>
        <w:pStyle w:val="TextBody"/>
        <w:bidi w:val="0"/>
        <w:spacing w:lineRule="auto" w:line="288" w:before="22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has been executed as a sealed instrument by the Company, by its duly authorized representative, and by the Executive, as of 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15" w:after="283"/>
        <w:jc w:val="left"/>
        <w:rPr>
          <w:rFonts w:ascii="Times New Roman;serif" w:hAnsi="Times New Roman;serif"/>
          <w:b w:val="false"/>
          <w:color w:val="000000"/>
          <w:sz w:val="24"/>
        </w:rPr>
      </w:pPr>
      <w:r>
        <w:rPr>
          <w:rFonts w:ascii="Times New Roman;serif" w:hAnsi="Times New Roman;serif"/>
          <w:b w:val="false"/>
          <w:color w:val="000000"/>
          <w:sz w:val="24"/>
        </w:rPr>
        <w:t>THE EXECUTIVE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44" w:after="283"/>
        <w:jc w:val="left"/>
        <w:rPr>
          <w:color w:val="000000"/>
        </w:rPr>
      </w:pPr>
      <w:r>
        <w:rPr>
          <w:color w:val="000000"/>
        </w:rPr>
        <w:t>    </w:t>
      </w:r>
      <w:r>
        <w:rPr>
          <w:rFonts w:ascii="Times New Roman;serif" w:hAnsi="Times New Roman;serif"/>
          <w:b w:val="false"/>
          <w:color w:val="000000"/>
          <w:sz w:val="24"/>
        </w:rPr>
        <w:t>/s/ Paul Taheri    /s/ Patrick Blair</w:t>
      </w:r>
    </w:p>
    <w:p>
      <w:pPr>
        <w:pStyle w:val="TextBody"/>
        <w:bidi w:val="0"/>
        <w:spacing w:before="0" w:after="0"/>
        <w:jc w:val="left"/>
        <w:rPr/>
      </w:pPr>
      <w:r>
        <w:rPr/>
        <w:drawing>
          <wp:inline distT="0" distB="0" distL="0" distR="0">
            <wp:extent cx="2352675" cy="14605"/>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41"/>
                    <a:stretch>
                      <a:fillRect/>
                    </a:stretch>
                  </pic:blipFill>
                  <pic:spPr bwMode="auto">
                    <a:xfrm>
                      <a:off x="0" y="0"/>
                      <a:ext cx="2352675" cy="14605"/>
                    </a:xfrm>
                    <a:prstGeom prst="rect">
                      <a:avLst/>
                    </a:prstGeom>
                  </pic:spPr>
                </pic:pic>
              </a:graphicData>
            </a:graphic>
          </wp:inline>
        </w:drawing>
      </w:r>
    </w:p>
    <w:p>
      <w:pPr>
        <w:pStyle w:val="TextBody"/>
        <w:bidi w:val="0"/>
        <w:spacing w:before="0" w:after="0"/>
        <w:jc w:val="left"/>
        <w:rPr/>
      </w:pPr>
      <w:r>
        <w:rPr/>
        <w:drawing>
          <wp:inline distT="0" distB="0" distL="0" distR="0">
            <wp:extent cx="2390775" cy="1460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42"/>
                    <a:stretch>
                      <a:fillRect/>
                    </a:stretch>
                  </pic:blipFill>
                  <pic:spPr bwMode="auto">
                    <a:xfrm>
                      <a:off x="0" y="0"/>
                      <a:ext cx="2390775" cy="14605"/>
                    </a:xfrm>
                    <a:prstGeom prst="rect">
                      <a:avLst/>
                    </a:prstGeom>
                  </pic:spPr>
                </pic:pic>
              </a:graphicData>
            </a:graphic>
          </wp:inline>
        </w:drawing>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Paul Taheri, MD </w:t>
      </w:r>
    </w:p>
    <w:p>
      <w:pPr>
        <w:pStyle w:val="TextBody"/>
        <w:bidi w:val="0"/>
        <w:spacing w:before="0" w:after="0"/>
        <w:jc w:val="left"/>
        <w:rPr/>
      </w:pPr>
      <w:r>
        <w:rPr/>
      </w:r>
    </w:p>
    <w:p>
      <w:pPr>
        <w:pStyle w:val="TextBody"/>
        <w:bidi w:val="0"/>
        <w:spacing w:lineRule="atLeast" w:line="253" w:before="0" w:after="0"/>
        <w:jc w:val="left"/>
        <w:rPr>
          <w:rFonts w:ascii="Times New Roman;serif" w:hAnsi="Times New Roman;serif"/>
          <w:b w:val="false"/>
          <w:color w:val="000000"/>
          <w:sz w:val="24"/>
        </w:rPr>
      </w:pPr>
      <w:r>
        <w:rPr>
          <w:rFonts w:ascii="Times New Roman;serif" w:hAnsi="Times New Roman;serif"/>
          <w:b w:val="false"/>
          <w:color w:val="000000"/>
          <w:sz w:val="24"/>
        </w:rPr>
        <w:t>By:    Patrick Blair</w:t>
      </w:r>
    </w:p>
    <w:p>
      <w:pPr>
        <w:pStyle w:val="TextBody"/>
        <w:bidi w:val="0"/>
        <w:spacing w:lineRule="auto" w:line="288" w:before="12"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01040"/>
                <wp:effectExtent l="0" t="0" r="0" b="0"/>
                <wp:wrapNone/>
                <wp:docPr id="126" name="Frame12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542" w:before="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lineRule="auto" w:line="542" w:before="80" w:after="283"/>
        <w:jc w:val="center"/>
        <w:rPr>
          <w:rFonts w:ascii="Times New Roman;serif" w:hAnsi="Times New Roman;serif"/>
          <w:b w:val="false"/>
          <w:color w:val="000000"/>
          <w:sz w:val="22"/>
        </w:rPr>
      </w:pPr>
      <w:r>
        <w:rPr>
          <w:rFonts w:ascii="Times New Roman;serif" w:hAnsi="Times New Roman;serif"/>
          <w:b w:val="false"/>
          <w:color w:val="000000"/>
          <w:sz w:val="22"/>
        </w:rPr>
        <w:t>Form RSU Agreement</w:t>
      </w:r>
    </w:p>
    <w:p>
      <w:pPr>
        <w:pStyle w:val="TextBody"/>
        <w:bidi w:val="0"/>
        <w:spacing w:lineRule="auto" w:line="288" w:before="0" w:after="240"/>
        <w:jc w:val="both"/>
        <w:rPr/>
      </w:pPr>
      <w:r>
        <w:rPr>
          <w:rFonts w:ascii="Times New Roman;serif" w:hAnsi="Times New Roman;serif"/>
          <w:b w:val="false"/>
          <w:color w:val="000000"/>
          <w:sz w:val="22"/>
        </w:rPr>
        <w:t>InnovAge Holding Corp.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pursuant to its 2021 Omnibus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hereby grants to Participant an Award of Restricted Stock Units for the number of shares of Stock set forth below (the “</w:t>
      </w:r>
      <w:r>
        <w:rPr>
          <w:rFonts w:ascii="Times New Roman;serif" w:hAnsi="Times New Roman;serif"/>
          <w:b/>
          <w:i/>
          <w:color w:val="000000"/>
          <w:sz w:val="22"/>
        </w:rPr>
        <w:t>Award</w:t>
      </w:r>
      <w:r>
        <w:rPr>
          <w:color w:val="000000"/>
        </w:rPr>
        <w:t>”</w:t>
      </w:r>
      <w:r>
        <w:rPr>
          <w:rFonts w:ascii="Times New Roman;serif" w:hAnsi="Times New Roman;serif"/>
          <w:b w:val="false"/>
          <w:color w:val="000000"/>
          <w:sz w:val="22"/>
        </w:rPr>
        <w:t>). The Award is subject to all of the terms and conditions as set forth in this Restricted Stock Unit Notice (this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xml:space="preserve">) and in the RSU Agreement (attached hereto as Attachment I) and the Plan, both of which are incorporated herein in their entirety. Capitalized terms not otherwise defined herein but defined in the Plan or the RSU Agreement will have the same meaning as in the Plan or the RSU Agreement. </w:t>
      </w:r>
      <w:r>
        <w:rPr>
          <w:rFonts w:ascii="Times New Roman;serif" w:hAnsi="Times New Roman;serif"/>
          <w:b w:val="false"/>
          <w:color w:val="000000"/>
          <w:sz w:val="22"/>
          <w:shd w:fill="FFFFFF" w:val="clear"/>
        </w:rPr>
        <w:t>If there is any conflict between the terms in this Grant Notice and the Plan, the terms of the Plan will control.</w:t>
      </w:r>
    </w:p>
    <w:tbl>
      <w:tblPr>
        <w:tblW w:w="4437" w:type="dxa"/>
        <w:jc w:val="left"/>
        <w:tblInd w:w="0" w:type="dxa"/>
        <w:tblLayout w:type="fixed"/>
        <w:tblCellMar>
          <w:top w:w="28" w:type="dxa"/>
          <w:left w:w="28" w:type="dxa"/>
          <w:bottom w:w="28" w:type="dxa"/>
          <w:right w:w="28" w:type="dxa"/>
        </w:tblCellMar>
      </w:tblPr>
      <w:tblGrid>
        <w:gridCol w:w="1471"/>
        <w:gridCol w:w="1294"/>
        <w:gridCol w:w="1300"/>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7F7F7F"/>
              <w:left w:val="single" w:sz="4" w:space="0" w:color="7F7F7F"/>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Participant:</w:t>
            </w:r>
          </w:p>
        </w:tc>
        <w:tc>
          <w:tcPr>
            <w:tcW w:w="372" w:type="dxa"/>
            <w:gridSpan w:val="3"/>
            <w:tcBorders>
              <w:top w:val="single" w:sz="4" w:space="0" w:color="7F7F7F"/>
              <w:left w:val="single" w:sz="4" w:space="0" w:color="7F7F7F"/>
              <w:right w:val="single" w:sz="4" w:space="0" w:color="7F7F7F"/>
            </w:tcBorders>
            <w:tcMar>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7F7F7F"/>
              <w:left w:val="single" w:sz="4" w:space="0" w:color="7F7F7F"/>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72" w:type="dxa"/>
            <w:gridSpan w:val="3"/>
            <w:tcBorders>
              <w:top w:val="single" w:sz="4" w:space="0" w:color="7F7F7F"/>
              <w:left w:val="single" w:sz="4" w:space="0" w:color="7F7F7F"/>
              <w:right w:val="single" w:sz="4" w:space="0" w:color="7F7F7F"/>
            </w:tcBorders>
            <w:tcMar>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shd w:fill="C0C0C0" w:val="clear"/>
              </w:rPr>
            </w:pPr>
            <w:r>
              <w:rPr>
                <w:rFonts w:ascii="Times New Roman;serif" w:hAnsi="Times New Roman;serif"/>
                <w:b w:val="false"/>
                <w:color w:val="000000"/>
                <w:sz w:val="20"/>
                <w:shd w:fill="C0C0C0" w:val="clear"/>
              </w:rPr>
              <w:t>Vesting Commencement Date:</w:t>
            </w:r>
          </w:p>
        </w:tc>
        <w:tc>
          <w:tcPr>
            <w:tcW w:w="372" w:type="dxa"/>
            <w:gridSpan w:val="3"/>
            <w:tcBorders>
              <w:top w:val="single" w:sz="4" w:space="0" w:color="7F7F7F"/>
              <w:left w:val="single" w:sz="4" w:space="0" w:color="7F7F7F"/>
              <w:right w:val="single" w:sz="4" w:space="0" w:color="7F7F7F"/>
            </w:tcBorders>
            <w:tcMar>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7F7F7F"/>
              <w:left w:val="single" w:sz="4" w:space="0" w:color="7F7F7F"/>
              <w:bottom w:val="single" w:sz="4" w:space="0" w:color="7F7F7F"/>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of Stock Subject to the Award:</w:t>
            </w:r>
          </w:p>
        </w:tc>
        <w:tc>
          <w:tcPr>
            <w:tcW w:w="372" w:type="dxa"/>
            <w:gridSpan w:val="3"/>
            <w:tcBorders>
              <w:top w:val="single" w:sz="4" w:space="0" w:color="7F7F7F"/>
              <w:left w:val="single" w:sz="4" w:space="0" w:color="7F7F7F"/>
              <w:bottom w:val="single" w:sz="4" w:space="0" w:color="7F7F7F"/>
              <w:right w:val="single" w:sz="4" w:space="0" w:color="7F7F7F"/>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822"/>
        <w:jc w:val="both"/>
        <w:rPr/>
      </w:pPr>
      <w:r>
        <w:rPr>
          <w:rFonts w:ascii="Times New Roman;serif" w:hAnsi="Times New Roman;serif"/>
          <w:b/>
          <w:color w:val="000000"/>
          <w:sz w:val="22"/>
        </w:rPr>
        <w:t>Vesting Schedule:</w:t>
      </w:r>
      <w:r>
        <w:rPr>
          <w:color w:val="000000"/>
        </w:rPr>
        <w:t>    </w:t>
      </w:r>
      <w:r>
        <w:rPr>
          <w:rFonts w:ascii="Times New Roman;serif" w:hAnsi="Times New Roman;serif"/>
          <w:b w:val="false"/>
          <w:color w:val="000000"/>
          <w:sz w:val="22"/>
        </w:rPr>
        <w:t>[Time or performance vesting criteria to be inserted].</w:t>
      </w:r>
    </w:p>
    <w:p>
      <w:pPr>
        <w:pStyle w:val="TextBody"/>
        <w:bidi w:val="0"/>
        <w:spacing w:before="0" w:after="240"/>
        <w:ind w:left="0" w:right="0" w:hanging="2817"/>
        <w:jc w:val="both"/>
        <w:rPr/>
      </w:pPr>
      <w:r>
        <w:rPr/>
      </w:r>
    </w:p>
    <w:p>
      <w:pPr>
        <w:pStyle w:val="TextBody"/>
        <w:bidi w:val="0"/>
        <w:spacing w:lineRule="auto" w:line="288" w:before="0" w:after="240"/>
        <w:ind w:left="0" w:right="0" w:hanging="2817"/>
        <w:jc w:val="both"/>
        <w:rPr/>
      </w:pPr>
      <w:r>
        <w:rPr>
          <w:rFonts w:ascii="Times New Roman;serif" w:hAnsi="Times New Roman;serif"/>
          <w:b/>
          <w:color w:val="000000"/>
          <w:sz w:val="22"/>
        </w:rPr>
        <w:t>Issuance Schedule:</w:t>
      </w:r>
      <w:r>
        <w:rPr>
          <w:color w:val="000000"/>
        </w:rPr>
        <w:t>    </w:t>
      </w:r>
      <w:r>
        <w:rPr>
          <w:rFonts w:ascii="Times New Roman;serif" w:hAnsi="Times New Roman;serif"/>
          <w:b w:val="false"/>
          <w:color w:val="000000"/>
          <w:sz w:val="22"/>
        </w:rPr>
        <w:t>Subject to any adjustment as provided in Section 10(a) of the Plan, one share of Stock will be issued for each Restricted Stock Unit that vests, with the time of issuance set forth in Section 6 of the RSU Agreement.</w:t>
      </w:r>
    </w:p>
    <w:p>
      <w:pPr>
        <w:pStyle w:val="TextBody"/>
        <w:bidi w:val="0"/>
        <w:spacing w:lineRule="auto" w:line="288" w:before="0" w:after="240"/>
        <w:jc w:val="both"/>
        <w:rPr/>
      </w:pPr>
      <w:r>
        <w:rPr>
          <w:rFonts w:ascii="Times New Roman;serif" w:hAnsi="Times New Roman;serif"/>
          <w:b/>
          <w:color w:val="000000"/>
          <w:sz w:val="22"/>
        </w:rPr>
        <w:t>Additional Terms/Acknowledgements:</w:t>
      </w:r>
      <w:r>
        <w:rPr>
          <w:color w:val="000000"/>
        </w:rPr>
        <w:t xml:space="preserve"> </w:t>
      </w:r>
      <w:r>
        <w:rPr>
          <w:rFonts w:ascii="Times New Roman;serif" w:hAnsi="Times New Roman;serif"/>
          <w:b w:val="false"/>
          <w:color w:val="000000"/>
          <w:sz w:val="22"/>
          <w:shd w:fill="FFFFFF" w:val="clear"/>
        </w:rPr>
        <w:t>Participant acknowledges receipt of, and understands and agrees to, this Grant Notice, the RSU Agreement and the Plan. Participant acknowledges and agrees that this Grant Notice and the RSU Agreement may not be modified, amended or revised except as provided in the Plan. Participant further acknowledges that, as of the Date of Grant, this Grant Notice, the RSU Agreement and the Plan set forth the entire agreement and understanding between Participant and the Company regarding the acquisition of Stock pursuant to the Award specified above and supersede all prior oral and written agreements, promises and/or representations on that subject, with the exception of (i) Awards previously granted and delivered to the Participant, and (ii)  any compensation recovery policy that is adopted by the Company or is otherwise required by applicable law. By accepting this Award, Participant consents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0"/>
        <w:ind w:left="0" w:right="0" w:hanging="2817"/>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5780"/>
                <wp:effectExtent l="0" t="0" r="0" b="0"/>
                <wp:wrapNone/>
                <wp:docPr id="127" name="Frame12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868" w:type="dxa"/>
        <w:jc w:val="left"/>
        <w:tblInd w:w="0" w:type="dxa"/>
        <w:tblLayout w:type="fixed"/>
        <w:tblCellMar>
          <w:top w:w="28" w:type="dxa"/>
          <w:left w:w="28" w:type="dxa"/>
          <w:bottom w:w="28" w:type="dxa"/>
          <w:right w:w="28" w:type="dxa"/>
        </w:tblCellMar>
      </w:tblPr>
      <w:tblGrid>
        <w:gridCol w:w="922"/>
        <w:gridCol w:w="811"/>
        <w:gridCol w:w="816"/>
        <w:gridCol w:w="386"/>
        <w:gridCol w:w="386"/>
        <w:gridCol w:w="547"/>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InnovAge Holding Corp.</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By:</w:t>
            </w:r>
            <w:r>
              <w:rPr>
                <w:color w:val="000000"/>
                <w:u w:val="single"/>
              </w:rPr>
              <w:t>    </w:t>
            </w:r>
          </w:p>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Signature</w:t>
            </w:r>
          </w:p>
          <w:p>
            <w:pPr>
              <w:pStyle w:val="TableContents"/>
              <w:bidi w:val="0"/>
              <w:spacing w:before="0" w:after="120"/>
              <w:jc w:val="left"/>
              <w:rPr/>
            </w:pPr>
            <w:r>
              <w:rPr/>
            </w:r>
          </w:p>
          <w:p>
            <w:pPr>
              <w:pStyle w:val="TableContents"/>
              <w:bidi w:val="0"/>
              <w:spacing w:lineRule="auto" w:line="288" w:before="0" w:after="120"/>
              <w:jc w:val="left"/>
              <w:rPr/>
            </w:pPr>
            <w:r>
              <w:rPr>
                <w:rFonts w:ascii="Times New Roman;serif" w:hAnsi="Times New Roman;serif"/>
                <w:b w:val="false"/>
                <w:color w:val="000000"/>
                <w:sz w:val="22"/>
              </w:rPr>
              <w:t>Title:</w:t>
            </w:r>
            <w:r>
              <w:rPr>
                <w:color w:val="000000"/>
                <w:u w:val="single"/>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Date:</w:t>
            </w:r>
            <w:r>
              <w:rPr>
                <w:color w:val="000000"/>
                <w:u w:val="single"/>
              </w:rPr>
              <w:t>    </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Participant:</w:t>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Signature</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Date:</w:t>
            </w:r>
            <w:r>
              <w:rPr>
                <w:color w:val="000000"/>
                <w:u w:val="single"/>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5780"/>
                <wp:effectExtent l="0" t="0" r="0" b="0"/>
                <wp:wrapNone/>
                <wp:docPr id="128" name="Frame12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542" w:before="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B</w:t>
      </w:r>
    </w:p>
    <w:p>
      <w:pPr>
        <w:pStyle w:val="TextBody"/>
        <w:bidi w:val="0"/>
        <w:spacing w:lineRule="auto" w:line="542" w:before="80" w:after="283"/>
        <w:jc w:val="center"/>
        <w:rPr>
          <w:rFonts w:ascii="Times New Roman;serif" w:hAnsi="Times New Roman;serif"/>
          <w:b w:val="false"/>
          <w:color w:val="000000"/>
          <w:sz w:val="22"/>
        </w:rPr>
      </w:pPr>
      <w:r>
        <w:rPr>
          <w:rFonts w:ascii="Times New Roman;serif" w:hAnsi="Times New Roman;serif"/>
          <w:b w:val="false"/>
          <w:color w:val="000000"/>
          <w:sz w:val="22"/>
        </w:rPr>
        <w:t>Release of Claims</w:t>
      </w:r>
    </w:p>
    <w:p>
      <w:pPr>
        <w:pStyle w:val="TextBody"/>
        <w:bidi w:val="0"/>
        <w:spacing w:lineRule="auto" w:line="288" w:before="0" w:after="0"/>
        <w:ind w:left="0" w:right="0" w:firstLine="720"/>
        <w:jc w:val="both"/>
        <w:rPr/>
      </w:pPr>
      <w:r>
        <w:rPr>
          <w:rFonts w:ascii="Times New Roman;serif" w:hAnsi="Times New Roman;serif"/>
          <w:b w:val="false"/>
          <w:color w:val="000000"/>
          <w:sz w:val="22"/>
        </w:rPr>
        <w:t>Reference is hereby made to that certain Employment Agreement, effective as of August 17, 2026, by and between Total Community Options, Inc., a Colorado corporation (and any successor entity thereto,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Paul Taheri, MD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(such agreement,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Capitalized terms used but not otherwise defined herein shall have the meaning set forth in the Employment Agreement.</w:t>
      </w:r>
    </w:p>
    <w:p>
      <w:pPr>
        <w:pStyle w:val="TextBody"/>
        <w:bidi w:val="0"/>
        <w:spacing w:lineRule="auto" w:line="288" w:before="239" w:after="283"/>
        <w:ind w:left="0" w:right="0" w:firstLine="720"/>
        <w:jc w:val="both"/>
        <w:rPr/>
      </w:pPr>
      <w:r>
        <w:rPr>
          <w:rFonts w:ascii="Times New Roman;serif" w:hAnsi="Times New Roman;serif"/>
          <w:b w:val="false"/>
          <w:color w:val="000000"/>
          <w:sz w:val="22"/>
        </w:rPr>
        <w:t>This release of claims (this “</w:t>
      </w:r>
      <w:r>
        <w:rPr>
          <w:rFonts w:ascii="Times New Roman;serif" w:hAnsi="Times New Roman;serif"/>
          <w:b w:val="false"/>
          <w:color w:val="000000"/>
          <w:sz w:val="22"/>
          <w:u w:val="single"/>
        </w:rPr>
        <w:t>General Release</w:t>
      </w:r>
      <w:r>
        <w:rPr>
          <w:color w:val="000000"/>
        </w:rPr>
        <w:t>”</w:t>
      </w:r>
      <w:r>
        <w:rPr>
          <w:rFonts w:ascii="Times New Roman;serif" w:hAnsi="Times New Roman;serif"/>
          <w:b w:val="false"/>
          <w:color w:val="000000"/>
          <w:sz w:val="22"/>
        </w:rPr>
        <w:t>) is entered into by Executive in exchange for good and valuable consideration, and Executive, intended to be legally bound, agrees as follows:</w:t>
      </w:r>
    </w:p>
    <w:p>
      <w:pPr>
        <w:pStyle w:val="TextBody"/>
        <w:bidi w:val="0"/>
        <w:spacing w:lineRule="auto" w:line="288" w:before="240" w:after="283"/>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 of Employment</w:t>
      </w:r>
      <w:r>
        <w:rPr>
          <w:rFonts w:ascii="Times New Roman;serif" w:hAnsi="Times New Roman;serif"/>
          <w:b w:val="false"/>
          <w:color w:val="000000"/>
          <w:sz w:val="22"/>
        </w:rPr>
        <w:t>. Executive’s employment or service with the Company and its Affiliates terminated as of [DATE], and Executive hereby resigns from any position as an officer, member of the board of managers or directors (as applicable) or fiduciary of the Company or any of its Affiliates (or reaffirms any such resignation that may have already occurred) and agrees to execute any additional documentation as may be necessary to effectuate such resignations.</w:t>
      </w:r>
    </w:p>
    <w:p>
      <w:pPr>
        <w:pStyle w:val="TextBody"/>
        <w:bidi w:val="0"/>
        <w:spacing w:lineRule="auto" w:line="288" w:before="251" w:after="283"/>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Acknowledgment of Payments and Benefits</w:t>
      </w:r>
      <w:r>
        <w:rPr>
          <w:rFonts w:ascii="Times New Roman;serif" w:hAnsi="Times New Roman;serif"/>
          <w:b w:val="false"/>
          <w:color w:val="000000"/>
          <w:sz w:val="22"/>
        </w:rPr>
        <w:t>. Executive understands that any payments paid and benefits provided under Section 5[(d)][(e)] of the Employment Agreement represent, in part, consideration for signing this General Release and are not salary, wages or benefits to which Executive was already entitled. Executive understands and agrees that Executive will not receive the payments specified in Section 5[(d)][(e)] of the Employment Agreement unless Executive timely executes, and does not revoke, this General Release within the time period permitted hereafter. Such payments and benefits will not be considered compensation for purposes of any employee benefit plan, program, policy or arrangement maintained or hereafter established by the Company or its Affiliates. In signing this General Release, Executive also acknowledges and represents that, except as set forth in this General Release, Executive is not entitled to receive any additional compensation, bonuses, equity compensation, payment in lieu of any paid time off, equity awards, severance payments or other payments or benefits of any kind from the Company or any of the other Released Parties (as defined below), including, without limitation, any payments of any kind under the Employment Agreement.</w:t>
      </w:r>
    </w:p>
    <w:p>
      <w:pPr>
        <w:pStyle w:val="TextBody"/>
        <w:bidi w:val="0"/>
        <w:spacing w:before="1" w:after="283"/>
        <w:jc w:val="left"/>
        <w:rPr/>
      </w:pPr>
      <w:r>
        <w:rPr/>
      </w:r>
    </w:p>
    <w:p>
      <w:pPr>
        <w:pStyle w:val="TextBody"/>
        <w:bidi w:val="0"/>
        <w:spacing w:lineRule="auto" w:line="288" w:before="1" w:after="283"/>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Release</w:t>
      </w:r>
      <w:r>
        <w:rPr>
          <w:rFonts w:ascii="Times New Roman;serif" w:hAnsi="Times New Roman;serif"/>
          <w:b w:val="false"/>
          <w:color w:val="000000"/>
          <w:sz w:val="22"/>
        </w:rPr>
        <w:t>. Executive, on behalf of Executive and Executive’s heirs beneficiaries, administrators, executors, trustees and assigns, shall, and hereby does, forever and irrevocably release and discharge the Company and its subsidiaries and Affiliates, and each of their respective past, present and future shareholders, directors, officers, employee benefit plans, administrators, trustees, agents, representatives, employees, consultants, parents, subsidiaries, divisions, insurers, attorneys, predecessors, purchasers, successors and assigns, and all those connected with any of them, in their official and individual capacities (each, a “</w:t>
      </w:r>
      <w:r>
        <w:rPr>
          <w:rFonts w:ascii="Times New Roman;serif" w:hAnsi="Times New Roman;serif"/>
          <w:b w:val="false"/>
          <w:color w:val="000000"/>
          <w:sz w:val="22"/>
          <w:u w:val="single"/>
        </w:rPr>
        <w:t>Released 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and whether known or unknown, suspected, unsuspected or claimed (collectively,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which Executive or any of Executive’s beneficiaries, administrators, executors, trustees and assigns may have (a) from the beginning of time through the date upon which Executive executes this General Release; (b) arising out of, or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5780"/>
                <wp:effectExtent l="0" t="0" r="0" b="0"/>
                <wp:wrapNone/>
                <wp:docPr id="129" name="Frame12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relating to, any agreement and/or any awards, policies, plans, programs, procedures or practices of any of the Released Parties that may apply to Executive or in which Executive may participate or may have participated, including, but not limited to, any rights under bonus plans or programs of any of the Released Parties and/or any other short-term or long-term equity-based or cash-based incentive plans or programs of any of the Released Parties; (c) arising out of, or relating to, Executive’s termination of employment with any of the Released Parties; and/or (d) arising out of, or relating to, Executive’s employment with any Released Party or Executive’s status as an employee, member, officer or director of any of the Released Parties, including, without limitation, any Claims or violations (i) arising under any federal, state or local civil or human rights law, including, but not limited to, the Age Discrimination in Employment Act as amended by the Older Workers Benefit Protection Act; Title VII of the Civil Rights Act of 1964; the Civil Rights Act of 1866; 42 U.S.C. § 1981; the Civil Rights Act of 1991, the Americans With Disabilities Act; the Family and Medical Leave Act; the Employee Retirement Income Security Act of 1974; the Equal Pay Act of 1963; the Genetic Information Nondiscrimination Act of 2008; the Worker Adjustment and Retraining Notification Act; Connecticut Fair Employment Practices Act, Conn. Gen. Stat. § 46a-51 et seq.; Connecticut Statutory Provision Regarding Retaliation/Discrimination for Filing a Workers' Compensation Claim, Conn. Gen. Stat. § 31-290a; Connecticut Family and Medical Leave Act, Conn. Gen. Stat. § 31-51kk et seq.; Connecticut Whistleblower Law, Conn. Gen. Stat. § 31-51m; Connecticut Free Speech Law, Conn. Gen. Stat. § 31-51q; Connecticut Wage Hour and Wage Payment Laws, as amended; Connecticut OSHA, as amended; Connecticut Equal Pay Law, Conn. Gen. Stat. § 31-58(e) et seq.; §§ 31-75 and 31-76; Connecticut Drug Testing Law, Conn. Gen. Stat. § 31-51t et seq.; Connecticut AIDS Testing and Confidentiality Law, Conn. Gen. Stat. § 19a-581 et seq.; Connecticut Age Discrimination and Employee Benefits Law, Conn. Gen. Stat. § 38a-543; Connecticut Reproductive Hazards Law, Conn. Gen. Stat. § 31-40g et seq.; Connecticut Smoking Outside the Workplace Law, Conn. Gen. Stat. § 31-40s; Connecticut Electronic Monitoring of Employees, Conn. Gen. Stat. § 31-48b and d; Connecticut Statutory Provision Regarding Protection of Social Security Numbers and Personal Information, Conn. Gen. Stat. § 42-470 et seq.; Connecticut Statutory Provision Regarding Retaliation and/or Discrimination for Making a Claim under the Connecticut Wage and Hour Laws, Conn. Gen. Stat. § 31-69b; Connecticut Law Concerning Consumer Privacy and Identity Theft, Conn. Gen. Stat. § 42-470 et seq.; Connecticut Law Preventing the Use of Credit Scores by Certain Employers in Hiring Decisions, (originally P.A. 11-223); Connecticut Paid Sick Leave law (originally P.A. 11-52); Connecticut Law Preventing the Use of Credit Scores, C.G.S. § 31-51tt; Connecticut Paid Sick Leave Law, C.G.S. § 31-57r et seq.; Connecticut Law regarding Palliative Use of Marijuana, C.G.S. § 21a-408 et seq.; Connecticut Pay Equity and Fairness Law, C.G.S. § 31-40z; and Connecticut Law Concerning Protection for Witnesses and Crime Victims, C.G.S. § 54-85b, as all such laws have been amended from time to time and including all of their respective implementing regulations, and/or any other federal, state, foreign or local labor law, wage and hour law, worker safety law or employee relations or fair employment practices law, or public policy, contract or tort, or under common law; (ii) for wrongful discharge, breach of contract, infliction of emotional distress or defamation; or (iii) for costs, fees or other expenses, including attorneys’ fees, incurred in these matters.</w:t>
      </w:r>
    </w:p>
    <w:p>
      <w:pPr>
        <w:pStyle w:val="TextBody"/>
        <w:bidi w:val="0"/>
        <w:spacing w:before="2" w:after="283"/>
        <w:jc w:val="left"/>
        <w:rPr/>
      </w:pPr>
      <w:r>
        <w:rPr/>
      </w:r>
    </w:p>
    <w:p>
      <w:pPr>
        <w:pStyle w:val="TextBody"/>
        <w:bidi w:val="0"/>
        <w:spacing w:lineRule="auto" w:line="288"/>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Limitations</w:t>
      </w:r>
      <w:r>
        <w:rPr>
          <w:rFonts w:ascii="Times New Roman;serif" w:hAnsi="Times New Roman;serif"/>
          <w:b w:val="false"/>
          <w:color w:val="000000"/>
          <w:sz w:val="22"/>
        </w:rPr>
        <w:t xml:space="preserve">. Nothing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 xml:space="preserve">of this General Release shall release or impair (a) any Claim or right that may arise after the date Executive executes this General Release; (b) any vested benefits under the Company’s benefit plans; (c) any Claim or right Executive may have for indemnification under the Employment Agreement or the Company’s D&amp;O policy, by-laws, certificate of incorporation or other governing documents; or (d) any Claim which by law cannot be waived.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5780"/>
                <wp:effectExtent l="0" t="0" r="0" b="0"/>
                <wp:wrapNone/>
                <wp:docPr id="130" name="Frame12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Nothing in this General Release is intended to prohibit or restrict Executive’s right to file a charge with or participate in a charge by the Equal Employment Opportunity Commission, or any other local, state or federal administrative body or government agency; provided, that, to the extent permitted by applicable law, Executive hereby waives the right to recover any monetary damages or other relief against any Released Parties; provided, however, that nothing in this General Release shall prohibit Executive from receiving any monetary award to which Employee becomes entitled pursuant to Section 922 of the Dodd-Frank Wall Street Reform and Consumer Protection Act.</w:t>
      </w:r>
    </w:p>
    <w:p>
      <w:pPr>
        <w:pStyle w:val="TextBody"/>
        <w:bidi w:val="0"/>
        <w:spacing w:lineRule="auto" w:line="288" w:before="253" w:after="283"/>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Later Discovered Claims</w:t>
      </w:r>
      <w:r>
        <w:rPr>
          <w:rFonts w:ascii="Times New Roman;serif" w:hAnsi="Times New Roman;serif"/>
          <w:b w:val="false"/>
          <w:color w:val="000000"/>
          <w:sz w:val="22"/>
        </w:rPr>
        <w:t>. Executive understands that Executive may later discover Claims or facts that may be different from, or in addition to, those which Executive now knows or believes to exist with regards to the subject matter of this General Release and which, if known at the time of executing this General Release, may have materially affected this General Release or Executive’s decision to enter into it. Executive hereby waives any right or Claim that might arise as a result of such different or additional Claims or facts.</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 Assignment</w:t>
      </w:r>
      <w:r>
        <w:rPr>
          <w:rFonts w:ascii="Times New Roman;serif" w:hAnsi="Times New Roman;serif"/>
          <w:b w:val="false"/>
          <w:color w:val="000000"/>
          <w:sz w:val="22"/>
        </w:rPr>
        <w:t>. Executive represents that Executive has made no assignment or transfer of any right or Claim covered by this General Release, and that Executive further agrees that Executive is not aware of any such right or Claim covered by this General Release.</w:t>
      </w:r>
    </w:p>
    <w:p>
      <w:pPr>
        <w:pStyle w:val="TextBody"/>
        <w:bidi w:val="0"/>
        <w:spacing w:lineRule="auto" w:line="288" w:before="252" w:after="24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 Impact on Whistleblowing Rights</w:t>
      </w:r>
      <w:r>
        <w:rPr>
          <w:rFonts w:ascii="Times New Roman;serif" w:hAnsi="Times New Roman;serif"/>
          <w:b w:val="false"/>
          <w:color w:val="000000"/>
          <w:sz w:val="22"/>
        </w:rPr>
        <w:t>. Executive understands that nothing contained in this General Release shall be construed to limit, restrict or in any other way affect Executive’s right to communicate with any governmental agency or entity, including, but not limited to, the Department of Justice, the Securities and Exchange Commission, the Congress and any agency Inspector General, or make other disclosures under the whistleblower provisions of federal law or regulation.</w:t>
      </w:r>
    </w:p>
    <w:p>
      <w:pPr>
        <w:pStyle w:val="TextBody"/>
        <w:bidi w:val="0"/>
        <w:spacing w:lineRule="auto" w:line="288" w:before="79" w:after="283"/>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Third Party Beneficiary</w:t>
      </w:r>
      <w:r>
        <w:rPr>
          <w:rFonts w:ascii="Times New Roman;serif" w:hAnsi="Times New Roman;serif"/>
          <w:b w:val="false"/>
          <w:color w:val="000000"/>
          <w:sz w:val="22"/>
        </w:rPr>
        <w:t>. The Released Parties are intended to be third-party beneficiaries of this General Release, and this General Release may be enforced by each of them in accordance with the terms hereof in respect of the rights granted to such Released Parties hereunder.</w:t>
      </w:r>
    </w:p>
    <w:p>
      <w:pPr>
        <w:pStyle w:val="TextBody"/>
        <w:bidi w:val="0"/>
        <w:spacing w:before="0" w:after="0"/>
        <w:jc w:val="left"/>
        <w:rPr/>
      </w:pPr>
      <w:r>
        <w:rPr/>
      </w:r>
    </w:p>
    <w:p>
      <w:pPr>
        <w:pStyle w:val="TextBody"/>
        <w:bidi w:val="0"/>
        <w:spacing w:lineRule="auto" w:line="288" w:before="1" w:after="283"/>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Executive agrees that neither this General Release, nor the furnishing of the consideration for this General Release, shall be deemed or construed at any time to be an admission by the Company, any Released Party or Executive of any improper or unlawful conduct. Rather, this General Release expresses the intention of the parties to resolve all issues and other Claims related to or arising out of the Executive’s employment by and termination of employment with the Company.</w:t>
      </w:r>
    </w:p>
    <w:p>
      <w:pPr>
        <w:pStyle w:val="TextBody"/>
        <w:bidi w:val="0"/>
        <w:spacing w:lineRule="auto" w:line="288" w:before="252" w:after="283"/>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Subsequent Breach</w:t>
      </w:r>
      <w:r>
        <w:rPr>
          <w:rFonts w:ascii="Times New Roman;serif" w:hAnsi="Times New Roman;serif"/>
          <w:b w:val="false"/>
          <w:color w:val="000000"/>
          <w:sz w:val="22"/>
        </w:rPr>
        <w:t>. Notwithstanding anything in this General Release to the contrary, this General Release shall not relinquish, diminish or in any way affect any rights or Claims arising out of any breach by Employer of the Employment Agreement after the date hereof, which are not subject to this General Release.</w:t>
      </w:r>
    </w:p>
    <w:p>
      <w:pPr>
        <w:pStyle w:val="TextBody"/>
        <w:bidi w:val="0"/>
        <w:spacing w:before="0" w:after="0"/>
        <w:jc w:val="left"/>
        <w:rPr/>
      </w:pPr>
      <w:r>
        <w:rPr/>
      </w:r>
    </w:p>
    <w:p>
      <w:pPr>
        <w:pStyle w:val="TextBody"/>
        <w:bidi w:val="0"/>
        <w:spacing w:lineRule="auto" w:line="288"/>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5780"/>
                <wp:effectExtent l="0" t="0" r="0" b="0"/>
                <wp:wrapNone/>
                <wp:docPr id="131" name="Frame12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be reformed, construed and enforced in such jurisdiction as if such invalid, illegal or unenforceable provision had never been contained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Executive acknowledges that Executive will continue to be bound by Executive’s obligations under the Employment Agreement that survive the termination of Executive’s employment by the terms thereof or by necessary implication, including, without limitation, the restrictive covenant obligations set forth in Sections 7, 8 and 9 of the of the Employment Agreement (all of the foregoing obligations, the “</w:t>
      </w:r>
      <w:r>
        <w:rPr>
          <w:rFonts w:ascii="Times New Roman;serif" w:hAnsi="Times New Roman;serif"/>
          <w:b w:val="false"/>
          <w:color w:val="000000"/>
          <w:sz w:val="22"/>
          <w:u w:val="single"/>
        </w:rPr>
        <w:t>Continuing Obligations</w:t>
      </w:r>
      <w:r>
        <w:rPr>
          <w:color w:val="000000"/>
        </w:rPr>
        <w:t>”</w:t>
      </w:r>
      <w:r>
        <w:rPr>
          <w:rFonts w:ascii="Times New Roman;serif" w:hAnsi="Times New Roman;serif"/>
          <w:b w:val="false"/>
          <w:color w:val="000000"/>
          <w:sz w:val="22"/>
        </w:rPr>
        <w:t>). Executive further acknowledges that the obligation of the Company to make payments to Executive or on Executive’s behalf under Section 5[(d)][(e)] of the Employment Agreement, and Executive’s right to retain the same, are expressly conditioned upon Executive’s continued full performance of Executive’s obligations hereunder and with respect to the Continuing Obligations.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Confidentiality; Non-Disparagement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General Release, Executive agrees that Executive will never disparage or criticize the Company, its Affiliates, their business, their management or their products or services, and that Executive will not otherwise do or say anything that could disrupt the good morale of employees of the Company or any of its Affiliates or harm the interests or reputation of the Company or any of its Affiliates. The Company has directed the senior officers and directors of the Company and its Affiliates not to make or cause to be made any statements that disparage or criticize Executive or Executive’s reputation.</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No Cooperation with Non-Governmental Third Parties</w:t>
      </w:r>
      <w:r>
        <w:rPr>
          <w:rFonts w:ascii="Times New Roman;serif" w:hAnsi="Times New Roman;serif"/>
          <w:b w:val="false"/>
          <w:color w:val="000000"/>
          <w:sz w:val="22"/>
        </w:rPr>
        <w:t>. Executive agrees that, to the maximum extent permitted by law, Executive shall not knowingly encourage, counsel or assist any non- governmental attorneys or their clients in the presentation or prosecution of any disputes, differences, grievances, claims, charges or complaints by any non-governmental third party against any of the Released Parties.</w:t>
      </w:r>
    </w:p>
    <w:p>
      <w:pPr>
        <w:pStyle w:val="TextBody"/>
        <w:bidi w:val="0"/>
        <w:spacing w:lineRule="auto" w:line="288" w:before="252" w:after="283"/>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Consultation; Voluntary Agreement</w:t>
      </w:r>
      <w:r>
        <w:rPr>
          <w:rFonts w:ascii="Times New Roman;serif" w:hAnsi="Times New Roman;serif"/>
          <w:b w:val="false"/>
          <w:color w:val="000000"/>
          <w:sz w:val="22"/>
        </w:rPr>
        <w:t>. Executive acknowledges that the Company has advised Executive of Executive’s right to consult with an attorney prior to executing this General Release. Executive has carefully read and fully understands all of the provisions of this General Release. Executive is entering into this General Release knowingly, freely and voluntarily, in exchange for good and valuable consideration to which Executive would not be entitled in the absence of executing and not revoking this General Release.</w:t>
      </w:r>
    </w:p>
    <w:p>
      <w:pPr>
        <w:pStyle w:val="TextBody"/>
        <w:bidi w:val="0"/>
        <w:spacing w:lineRule="auto" w:line="288" w:before="251" w:after="283"/>
        <w:ind w:left="0" w:right="0" w:hanging="377"/>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Consideration and Revocation Period</w:t>
      </w:r>
      <w:r>
        <w:rPr>
          <w:rFonts w:ascii="Times New Roman;serif" w:hAnsi="Times New Roman;serif"/>
          <w:b w:val="false"/>
          <w:color w:val="000000"/>
          <w:sz w:val="22"/>
        </w:rPr>
        <w:t xml:space="preserve">. Executive acknowledges that this this General Release constitutes a voluntary waiver of any and all rights and claims he may have against the Released Parties under the Age Discrimination in Employment Act. Executive understands that he has had the opportunity to ask questions about this General Release and he has not been asked to waive any rights that arise after the execution of this General Release. The benefits Referenced in this General Release exceed anything of value to which the Executive would be entitled in the absence of this General Release. Executive acknowledges that he has [twenty-one (21)][forty-five (45)] calendar days to consider this General Release (the “Consideration Period”). Executive agrees that changes to this General Release, whether material or immaterial, will not restart the Consideration Period. Executive understands that Executive may, at Executive’s own election, execute this General Release before the expiration of the Consideration Period; provided, however, that Executive may not execute this General Release prior to Executive’s final day of employment with the Company. Executive has seven (7) calendar days after the date on which Executive executes this General Release to revoke Executive’s consent to the General Release. Such revocation must be in writing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5780"/>
                <wp:effectExtent l="0" t="0" r="0" b="0"/>
                <wp:wrapNone/>
                <wp:docPr id="132" name="Frame12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51" w:after="283"/>
        <w:jc w:val="both"/>
        <w:rPr/>
      </w:pPr>
      <w:r>
        <w:rPr>
          <w:rFonts w:ascii="Times New Roman;serif" w:hAnsi="Times New Roman;serif"/>
          <w:b w:val="false"/>
          <w:color w:val="000000"/>
          <w:sz w:val="22"/>
        </w:rPr>
        <w:t xml:space="preserve">and must be made to Dustin Lee at </w:t>
      </w:r>
      <w:r>
        <w:rPr>
          <w:rFonts w:ascii="Times New Roman;serif" w:hAnsi="Times New Roman;serif"/>
          <w:b w:val="false"/>
          <w:color w:val="0000FF"/>
          <w:sz w:val="22"/>
          <w:u w:val="single"/>
        </w:rPr>
        <w:t>***@innovage.com</w:t>
      </w:r>
      <w:r>
        <w:rPr>
          <w:color w:val="000000"/>
        </w:rPr>
        <w:t xml:space="preserve"> </w:t>
      </w:r>
      <w:r>
        <w:rPr>
          <w:rFonts w:ascii="Times New Roman;serif" w:hAnsi="Times New Roman;serif"/>
          <w:b w:val="false"/>
          <w:color w:val="000000"/>
          <w:sz w:val="22"/>
        </w:rPr>
        <w:t>or the current Chief People Officer via email. Notice of such revocation must be received within the seven (7) calendar days referenced above. In the event of such revocation by Executive, this General Release will be null and void, and Executive will have no entitlement to the payments and benefits set forth in 5[(d)][(e)] of the Employment Agreement. Provided that Executive does not revoke Executive’s execution of this General Release within such seven (7) day period, this General Release shall become effective on the eighth (8th) calendar day after the date on which Executive initially executes it.</w:t>
      </w:r>
    </w:p>
    <w:p>
      <w:pPr>
        <w:pStyle w:val="TextBody"/>
        <w:bidi w:val="0"/>
        <w:spacing w:lineRule="auto" w:line="288" w:before="250" w:after="283"/>
        <w:ind w:left="0" w:right="0" w:hanging="3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Survival; Incorporation by Reference</w:t>
      </w:r>
      <w:r>
        <w:rPr>
          <w:rFonts w:ascii="Times New Roman;serif" w:hAnsi="Times New Roman;serif"/>
          <w:b w:val="false"/>
          <w:color w:val="000000"/>
          <w:sz w:val="22"/>
        </w:rPr>
        <w:t>. Executive acknowledges that Sections 7 through 24 of the Employment Agreement shall survive Executive’s execution of this General Release. Section 24 of the Employment Agreement is incorporated herein by reference.</w:t>
      </w:r>
    </w:p>
    <w:p>
      <w:pPr>
        <w:pStyle w:val="TextBody"/>
        <w:bidi w:val="0"/>
        <w:spacing w:lineRule="auto" w:line="288" w:before="241" w:after="283"/>
        <w:jc w:val="both"/>
        <w:rPr>
          <w:rFonts w:ascii="Times New Roman;serif" w:hAnsi="Times New Roman;serif"/>
          <w:b w:val="false"/>
          <w:color w:val="000000"/>
          <w:sz w:val="22"/>
        </w:rPr>
      </w:pPr>
      <w:r>
        <w:rPr>
          <w:rFonts w:ascii="Times New Roman;serif" w:hAnsi="Times New Roman;serif"/>
          <w:b w:val="false"/>
          <w:color w:val="000000"/>
          <w:sz w:val="22"/>
        </w:rPr>
        <w:t>BY SIGNING THIS GENERAL RELEASE, EXECUTIVE REPRESENTS AND AGREES THAT:</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1.EXECUTIVE HAS READ IT CAREFULLY;</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2.EXECUTIVE UNDERSTANDS ALL OF ITS TERMS AND KNOWS THAT EXECUTIVE IS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3.EXECUTIVE VOLUNTARILY CONSENTS TO EVERYTHING IN IT;</w:t>
      </w:r>
    </w:p>
    <w:p>
      <w:pPr>
        <w:pStyle w:val="TextBody"/>
        <w:bidi w:val="0"/>
        <w:spacing w:before="0" w:after="0"/>
        <w:jc w:val="left"/>
        <w:rPr/>
      </w:pPr>
      <w:r>
        <w:rPr/>
      </w:r>
    </w:p>
    <w:p>
      <w:pPr>
        <w:pStyle w:val="TextBody"/>
        <w:bidi w:val="0"/>
        <w:spacing w:lineRule="auto" w:line="288" w:before="7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4.EXECUTIVE HAS BEEN ADVISED TO CONSULT WITH AN ATTORNEY BEFORE EXECUTING IT AND EXECUTIVE HAS DONE SO, OR, AFTER CAREFUL READING AND CONSIDERATION, EXECUTIVE HAS CHOSEN NOT TO DO SO OF EXECUTIVE’S OWN VOLITION;</w:t>
      </w:r>
    </w:p>
    <w:p>
      <w:pPr>
        <w:pStyle w:val="TextBody"/>
        <w:bidi w:val="0"/>
        <w:spacing w:lineRule="auto" w:line="288" w:before="25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5.EXECUTIVE ACKNOWLEDGES THAT EXECUTIVE MAY NOT SIGN THIS GENERAL RELEASE BEFORE THE DATE EXECUTIVE’S EMPLOYMENT WITH THE COMPANY TERMINATES;</w:t>
      </w:r>
    </w:p>
    <w:p>
      <w:pPr>
        <w:pStyle w:val="TextBody"/>
        <w:bidi w:val="0"/>
        <w:spacing w:before="0" w:after="0"/>
        <w:jc w:val="both"/>
        <w:rPr/>
      </w:pPr>
      <w:r>
        <w:rPr/>
      </w:r>
    </w:p>
    <w:p>
      <w:pPr>
        <w:pStyle w:val="TextBody"/>
        <w:bidi w:val="0"/>
        <w:spacing w:lineRule="auto" w:line="288" w:before="73"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6.EXECUTIVE HAS BEEN GIVEN ALL TIME PERIODS REQUIRED BY LAW TO CONSIDER THIS GENERAL RELEASE (INCLUDING, BUT NOT LIMITED TO, THE TIME PERIODS REQUIRED UNDER THE AGE DISCRIMINATION AND EMPLOYMENT ACT, AS AMENDED) SINCE THE DATE OF EXECUTIVE’S RECEIPT OF THIS GENERAL RELEASE SUBSTANTIALLY IN ITS FINAL FORM ON [DATE] TO CONSIDER ITS TERMS AND TO CONSULT WITH AN ATTORNEY, IF EXECUTIVE WISHED TO DO SO, OR TO CONSULT WITH ANY OF THE OTHER PERSONS DESCRIBED IN SECTION 3 OF THIS GENERAL RELEASE;</w:t>
      </w:r>
    </w:p>
    <w:p>
      <w:pPr>
        <w:pStyle w:val="TextBody"/>
        <w:bidi w:val="0"/>
        <w:spacing w:lineRule="auto" w:line="288" w:before="25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7.EXECUTIVE HAS SIGNED THIS GENERAL RELEASE KNOWINGLY AND VOLUNTARILY, WITH A FULL UNDERSTANDING OF ITS TERMS AND WITH THE ADVICE OF ANY COUNSEL RETAINED TO ADVISE EXECUTIVE WITH RESPECT TO IT;</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5780"/>
                <wp:effectExtent l="0" t="0" r="0" b="0"/>
                <wp:wrapNone/>
                <wp:docPr id="133" name="Frame12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5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8.EXECUTIVE HAS NOT RELIED ON ANY PROMISES OR REPRESENTATIVES, EXPRESS OR IMPLIED, THAT ARE NOT SET FORTH EXPRESSLY IN THIS GENERAL RELEASE;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9.EXECUTIVE AGREES THAT THE PROVISIONS OF THIS GENERAL RELEASE MAY NOT BE AMENDED, WAIVED, CHANGED OR MODIFIED, EXCEPT BY AN INSTRUMENT IN WRITING SIGNED BY AN AUTHORIZED REPRESENTATIVE OF THE COMPANY AND EXECUTIVE.</w:t>
      </w:r>
    </w:p>
    <w:p>
      <w:pPr>
        <w:pStyle w:val="TextBody"/>
        <w:bidi w:val="0"/>
        <w:spacing w:before="20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DATE: </w:t>
      </w:r>
      <w:r>
        <w:rPr>
          <w:color w:val="000000"/>
          <w:u w:val="single"/>
        </w:rPr>
        <w:t>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Paul Taheri, MD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5780"/>
                <wp:effectExtent l="0" t="0" r="0" b="0"/>
                <wp:wrapNone/>
                <wp:docPr id="134" name="Frame13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5780"/>
                <wp:effectExtent l="0" t="0" r="0" b="0"/>
                <wp:wrapNone/>
                <wp:docPr id="135" name="Frame13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542" w:before="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 Indemnification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INDEMNIFICATION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THIS INDEMNIFICATION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and entered into as of August 17, 2026 between InnovAge Holding Corp.,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Paul Taheri, MD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highly competent persons have become more reluctant to serve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WHEREAS,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corporation or business enterprise itself. The Bylaws of the Company (as amended or restated, the “</w:t>
      </w:r>
      <w:r>
        <w:rPr>
          <w:rFonts w:ascii="Times New Roman;serif" w:hAnsi="Times New Roman;serif"/>
          <w:b w:val="false"/>
          <w:color w:val="000000"/>
          <w:sz w:val="22"/>
          <w:u w:val="single"/>
        </w:rPr>
        <w:t>Bylaws</w:t>
      </w:r>
      <w:r>
        <w:rPr>
          <w:color w:val="000000"/>
        </w:rPr>
        <w:t>”</w:t>
      </w:r>
      <w:r>
        <w:rPr>
          <w:rFonts w:ascii="Times New Roman;serif" w:hAnsi="Times New Roman;serif"/>
          <w:b w:val="false"/>
          <w:color w:val="000000"/>
          <w:sz w:val="22"/>
        </w:rPr>
        <w:t>) require indemnification of the officers and directors of the Company. Indemnitee may also be entitled to indemnification pursuant to the General Corporation Law of the State of Delaware (“</w:t>
      </w:r>
      <w:r>
        <w:rPr>
          <w:rFonts w:ascii="Times New Roman;serif" w:hAnsi="Times New Roman;serif"/>
          <w:b w:val="false"/>
          <w:color w:val="000000"/>
          <w:sz w:val="22"/>
          <w:u w:val="single"/>
        </w:rPr>
        <w:t>DGCL</w:t>
      </w:r>
      <w:r>
        <w:rPr>
          <w:color w:val="000000"/>
        </w:rPr>
        <w:t>”</w:t>
      </w:r>
      <w:r>
        <w:rPr>
          <w:rFonts w:ascii="Times New Roman;serif" w:hAnsi="Times New Roman;serif"/>
          <w:b w:val="false"/>
          <w:color w:val="000000"/>
          <w:sz w:val="22"/>
        </w:rPr>
        <w:t>). The Bylaws and the DGCL expressly provide that the indemnification provisions set forth therein are not exclusive, and thereby contemplate that contracts may be entered into between the Company and members of the Board, officers of the Company and other persons with respect to indemnification;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uncertainties relating to such insurance and to indemnification have increased the difficulty of attracting and retaining such persons;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this Agreement is a supplement to and in furtherance of the Bylaws and any resolutions adopted pursuant thereto, and shall not be deemed a substitute therefor, nor to diminish or abrogate any rights of Indemnitee thereunder; and</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5780"/>
                <wp:effectExtent l="0" t="0" r="0" b="0"/>
                <wp:wrapNone/>
                <wp:docPr id="136" name="Frame13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Indemnitee may not be willing to serve or continue to serve as an officer or director without adequate protection, and the Company desires Indemnitee to serve or continue to serve in such capacity; Indemnitee is willing to serve, continue to serve and take on additional service for or on behalf of the Company on the condition that Indemnitee be so indemnified.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Indemnitee’s agreement to serve as a director or officer from and after the date hereof, the parties hereto agree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Indemnity of Indemnitee</w:t>
      </w:r>
      <w:r>
        <w:rPr>
          <w:rFonts w:ascii="Times New Roman;serif" w:hAnsi="Times New Roman;serif"/>
          <w:b w:val="false"/>
          <w:color w:val="000000"/>
          <w:sz w:val="22"/>
        </w:rPr>
        <w:t>. Subject to the provisions of </w:t>
      </w:r>
      <w:r>
        <w:rPr>
          <w:rFonts w:ascii="Times New Roman;serif" w:hAnsi="Times New Roman;serif"/>
          <w:b w:val="false"/>
          <w:color w:val="000000"/>
          <w:sz w:val="22"/>
          <w:u w:val="single"/>
        </w:rPr>
        <w:t>Section 9</w:t>
      </w:r>
      <w:r>
        <w:rPr>
          <w:rFonts w:ascii="Times New Roman;serif" w:hAnsi="Times New Roman;serif"/>
          <w:b w:val="false"/>
          <w:color w:val="000000"/>
          <w:sz w:val="22"/>
        </w:rPr>
        <w:t>, the Company hereby agrees to hold harmless and indemnify Indemnitee to the fullest extent permitted by law, as such may be amended from time to time, if Indemnitee was or is, or is threatened to be made, a party to, or otherwise becomes involved in, any Proceeding (as hereinafter defined) by reason of Indemnitee’s Corporate Status (as hereinafter defined). The Company maintains the right to provide the Indemnitee with legal counsel of the Company’s choosing absent the existence of a conflict, noting the burden to show conflict in on the Indemnitee. In furtherance of the foregoing indemnification, and without limiting the generality thereof: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Proceedings other than Proceedings by or in the Right of the Company</w:t>
      </w:r>
      <w:r>
        <w:rPr>
          <w:rFonts w:ascii="Times New Roman;serif" w:hAnsi="Times New Roman;serif"/>
          <w:b w:val="false"/>
          <w:color w:val="000000"/>
          <w:sz w:val="22"/>
        </w:rPr>
        <w:t>. Indemnitee shall be entitled to the rights of indemnification provided in this </w:t>
      </w:r>
      <w:r>
        <w:rPr>
          <w:rFonts w:ascii="Times New Roman;serif" w:hAnsi="Times New Roman;serif"/>
          <w:b w:val="false"/>
          <w:color w:val="000000"/>
          <w:sz w:val="22"/>
          <w:u w:val="single"/>
        </w:rPr>
        <w:t>Section l(a)</w:t>
      </w:r>
      <w:r>
        <w:rPr>
          <w:color w:val="000000"/>
        </w:rPr>
        <w:t> </w:t>
      </w:r>
      <w:r>
        <w:rPr>
          <w:rFonts w:ascii="Times New Roman;serif" w:hAnsi="Times New Roman;serif"/>
          <w:b w:val="false"/>
          <w:color w:val="000000"/>
          <w:sz w:val="22"/>
        </w:rPr>
        <w:t>if, by reason of Indemnitee’s Corporate Status, Indemnitee is, or is threatened to be made, a party to or participant in, or otherwise becomes involved in, any Proceeding (as hereinafter defined) other than a Proceeding by or in the right of the Company. Pursuant to this </w:t>
      </w:r>
      <w:r>
        <w:rPr>
          <w:rFonts w:ascii="Times New Roman;serif" w:hAnsi="Times New Roman;serif"/>
          <w:b w:val="false"/>
          <w:color w:val="000000"/>
          <w:sz w:val="22"/>
          <w:u w:val="single"/>
        </w:rPr>
        <w:t>Section 1(a)</w:t>
      </w:r>
      <w:r>
        <w:rPr>
          <w:rFonts w:ascii="Times New Roman;serif" w:hAnsi="Times New Roman;serif"/>
          <w:b w:val="false"/>
          <w:color w:val="000000"/>
          <w:sz w:val="22"/>
        </w:rPr>
        <w:t>, Indemnitee shall be indemnified against all Expenses,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Proceedings by or in the Right of the Company</w:t>
      </w:r>
      <w:r>
        <w:rPr>
          <w:rFonts w:ascii="Times New Roman;serif" w:hAnsi="Times New Roman;serif"/>
          <w:b w:val="false"/>
          <w:color w:val="000000"/>
          <w:sz w:val="22"/>
        </w:rPr>
        <w:t>. Indemnitee shall be entitled to the rights of indemnification provided in this </w:t>
      </w:r>
      <w:r>
        <w:rPr>
          <w:rFonts w:ascii="Times New Roman;serif" w:hAnsi="Times New Roman;serif"/>
          <w:b w:val="false"/>
          <w:color w:val="000000"/>
          <w:sz w:val="22"/>
          <w:u w:val="single"/>
        </w:rPr>
        <w:t>Section 1(b)</w:t>
      </w:r>
      <w:r>
        <w:rPr>
          <w:color w:val="000000"/>
        </w:rPr>
        <w:t> </w:t>
      </w:r>
      <w:r>
        <w:rPr>
          <w:rFonts w:ascii="Times New Roman;serif" w:hAnsi="Times New Roman;serif"/>
          <w:b w:val="false"/>
          <w:color w:val="000000"/>
          <w:sz w:val="22"/>
        </w:rPr>
        <w:t>if, by reason of Indemnitee’s Corporate Status, Indemnitee is, or is threatened to be made, a party to or participant in any Proceeding brought by or in the right of the Company. Pursuant to this </w:t>
      </w:r>
      <w:r>
        <w:rPr>
          <w:rFonts w:ascii="Times New Roman;serif" w:hAnsi="Times New Roman;serif"/>
          <w:b w:val="false"/>
          <w:color w:val="000000"/>
          <w:sz w:val="22"/>
          <w:u w:val="single"/>
        </w:rPr>
        <w:t>Section 1(b)</w:t>
      </w:r>
      <w:r>
        <w:rPr>
          <w:rFonts w:ascii="Times New Roman;serif" w:hAnsi="Times New Roman;serif"/>
          <w:b w:val="false"/>
          <w:color w:val="000000"/>
          <w:sz w:val="22"/>
        </w:rPr>
        <w:t>,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if applicable law so provides, no indemnification against such Expenses shall be made in respect of any claim, issue or matter in such Proceeding as to which Indemnitee shall have been finally adjudged by a court to be liable to the Company unless and only to the extent that the court in which the Proceeding was brought shall determine that Indemnitee is fairly and reasonably entitled to indemnification.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Indemnification for Expenses of a Party Who is Wholly or Partly Successful</w:t>
      </w:r>
      <w:r>
        <w:rPr>
          <w:rFonts w:ascii="Times New Roman;serif" w:hAnsi="Times New Roman;serif"/>
          <w:b w:val="false"/>
          <w:color w:val="000000"/>
          <w:sz w:val="22"/>
        </w:rPr>
        <w:t>. Notwithstanding any other provision of this Agreement, to the extent that Indemnitee is, by reason of Indemnitee’s Corporate Status, a party to or participant in and is successful, on the merits or otherwise, in any Proceeding or in defense of any claim, issue or matter therein, in whole or in part,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Times New Roman;serif" w:hAnsi="Times New Roman;serif"/>
          <w:b w:val="false"/>
          <w:color w:val="000000"/>
          <w:sz w:val="22"/>
          <w:u w:val="single"/>
        </w:rPr>
        <w:t>Section 1(c)</w:t>
      </w:r>
      <w:r>
        <w:rPr>
          <w:color w:val="000000"/>
        </w:rPr>
        <w:t> </w:t>
      </w:r>
      <w:r>
        <w:rPr>
          <w:rFonts w:ascii="Times New Roman;serif" w:hAnsi="Times New Roman;serif"/>
          <w:b w:val="false"/>
          <w:color w:val="000000"/>
          <w:sz w:val="22"/>
        </w:rPr>
        <w:t xml:space="preserve">and without limitation, the termination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5780"/>
                <wp:effectExtent l="0" t="0" r="0" b="0"/>
                <wp:wrapNone/>
                <wp:docPr id="137" name="Frame13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claim, issue or matter in such a Proceeding by dismissal, with or without prejudice, shall be deemed to be a successful result as to such claim, issue or matter.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Additional Indemnity</w:t>
      </w:r>
      <w:r>
        <w:rPr>
          <w:rFonts w:ascii="Times New Roman;serif" w:hAnsi="Times New Roman;serif"/>
          <w:b w:val="false"/>
          <w:color w:val="000000"/>
          <w:sz w:val="22"/>
        </w:rPr>
        <w:t>. In addition to, and without regard to any limitations on, the indemnification provided for in </w:t>
      </w:r>
      <w:r>
        <w:rPr>
          <w:rFonts w:ascii="Times New Roman;serif" w:hAnsi="Times New Roman;serif"/>
          <w:b w:val="false"/>
          <w:color w:val="000000"/>
          <w:sz w:val="22"/>
          <w:u w:val="single"/>
        </w:rPr>
        <w:t>Section 1</w:t>
      </w:r>
      <w:r>
        <w:rPr>
          <w:color w:val="000000"/>
        </w:rPr>
        <w:t> </w:t>
      </w:r>
      <w:r>
        <w:rPr>
          <w:rFonts w:ascii="Times New Roman;serif" w:hAnsi="Times New Roman;serif"/>
          <w:b w:val="false"/>
          <w:color w:val="000000"/>
          <w:sz w:val="22"/>
        </w:rPr>
        <w:t>of this Agreement, the Company shall and hereby does, to the fullest extent permitted by applicable law, indemnify and hold harmless Indemnitee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The only limitation that shall exist upon the Company’s obligations pursuant to this Agreement, other than those set forth in </w:t>
      </w:r>
      <w:r>
        <w:rPr>
          <w:rFonts w:ascii="Times New Roman;serif" w:hAnsi="Times New Roman;serif"/>
          <w:b w:val="false"/>
          <w:color w:val="000000"/>
          <w:sz w:val="22"/>
          <w:u w:val="single"/>
        </w:rPr>
        <w:t>Section 9</w:t>
      </w:r>
      <w:r>
        <w:rPr>
          <w:color w:val="000000"/>
        </w:rPr>
        <w:t> </w:t>
      </w:r>
      <w:r>
        <w:rPr>
          <w:rFonts w:ascii="Times New Roman;serif" w:hAnsi="Times New Roman;serif"/>
          <w:b w:val="false"/>
          <w:color w:val="000000"/>
          <w:sz w:val="22"/>
        </w:rPr>
        <w:t>hereof, shall be that the Company shall not be obligated to make any payment to Indemnitee that is finally determined (under the procedures, and subject to the presumptions, set forth in </w:t>
      </w:r>
      <w:r>
        <w:rPr>
          <w:rFonts w:ascii="Times New Roman;serif" w:hAnsi="Times New Roman;serif"/>
          <w:b w:val="false"/>
          <w:color w:val="000000"/>
          <w:sz w:val="22"/>
          <w:u w:val="single"/>
        </w:rPr>
        <w:t>Sections 6</w:t>
      </w:r>
      <w:r>
        <w:rPr>
          <w:color w:val="000000"/>
        </w:rPr>
        <w:t> </w:t>
      </w:r>
      <w:r>
        <w:rPr>
          <w:rFonts w:ascii="Times New Roman;serif" w:hAnsi="Times New Roman;serif"/>
          <w:b w:val="false"/>
          <w:color w:val="000000"/>
          <w:sz w:val="22"/>
        </w:rPr>
        <w:t>and </w:t>
      </w:r>
      <w:r>
        <w:rPr>
          <w:rFonts w:ascii="Times New Roman;serif" w:hAnsi="Times New Roman;serif"/>
          <w:b w:val="false"/>
          <w:color w:val="000000"/>
          <w:sz w:val="22"/>
          <w:u w:val="single"/>
        </w:rPr>
        <w:t>7</w:t>
      </w:r>
      <w:r>
        <w:rPr>
          <w:color w:val="000000"/>
        </w:rPr>
        <w:t> </w:t>
      </w:r>
      <w:r>
        <w:rPr>
          <w:rFonts w:ascii="Times New Roman;serif" w:hAnsi="Times New Roman;serif"/>
          <w:b w:val="false"/>
          <w:color w:val="000000"/>
          <w:sz w:val="22"/>
        </w:rPr>
        <w:t>hereof) to be unlawful.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Contribution</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Whether or not the indemnification provided in </w:t>
      </w:r>
      <w:r>
        <w:rPr>
          <w:rFonts w:ascii="Times New Roman;serif" w:hAnsi="Times New Roman;serif"/>
          <w:b w:val="false"/>
          <w:color w:val="000000"/>
          <w:sz w:val="22"/>
          <w:u w:val="single"/>
        </w:rPr>
        <w:t>Sections 1</w:t>
      </w:r>
      <w:r>
        <w:rPr>
          <w:color w:val="000000"/>
        </w:rPr>
        <w:t> </w:t>
      </w:r>
      <w:r>
        <w:rPr>
          <w:rFonts w:ascii="Times New Roman;serif" w:hAnsi="Times New Roman;serif"/>
          <w:b w:val="false"/>
          <w:color w:val="000000"/>
          <w:sz w:val="22"/>
        </w:rPr>
        <w:t>and </w:t>
      </w:r>
      <w:r>
        <w:rPr>
          <w:rFonts w:ascii="Times New Roman;serif" w:hAnsi="Times New Roman;serif"/>
          <w:b w:val="false"/>
          <w:color w:val="000000"/>
          <w:sz w:val="22"/>
          <w:u w:val="single"/>
        </w:rPr>
        <w:t>2</w:t>
      </w:r>
      <w:r>
        <w:rPr>
          <w:color w:val="000000"/>
        </w:rPr>
        <w:t> </w:t>
      </w:r>
      <w:r>
        <w:rPr>
          <w:rFonts w:ascii="Times New Roman;serif" w:hAnsi="Times New Roman;serif"/>
          <w:b w:val="false"/>
          <w:color w:val="000000"/>
          <w:sz w:val="22"/>
        </w:rPr>
        <w:t>hereof is available, in respect of any threatened, pending or completed action, suit or proceeding in which the Company is jointly liable with Indemnitee (or would be if joined in such action, suit or proceeding), to the fullest extent permitted by applicable law,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without the Indemnitee’s prior written consent, enter into any such settlement of any action, suit or proceeding (in whole or in part) unless such settlement (i) provides for a full and final release of all claims asserted against Indemnitee and (ii) does not impose any Expense, judgment, fine, penalty or limitation on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(b)         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to the fullest extent permitted by applicable law,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5780"/>
                <wp:effectExtent l="0" t="0" r="0" b="0"/>
                <wp:wrapNone/>
                <wp:docPr id="138" name="Frame13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To the fullest extent permitted by applicable law, the Company hereby agrees to fully indemnify and hold Indemnitee harmless from any claims of contribution which may be brought by officers, directors or employees of the Company, other than Indemnitee, who may be jointly liable with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Indemnification for Expenses of a Witness</w:t>
      </w:r>
      <w:r>
        <w:rPr>
          <w:rFonts w:ascii="Times New Roman;serif" w:hAnsi="Times New Roman;serif"/>
          <w:b w:val="false"/>
          <w:color w:val="000000"/>
          <w:sz w:val="22"/>
        </w:rPr>
        <w:t>. Notwithstanding any other provision of this Agreement, to the fullest extent permitted by applicable law and to the extent that Indemnitee is, by reason of Indemnitee’s Corporate Status, a witness, is made (or asked) to respond to discovery requests, or is otherwise asked to participate, in any Proceeding to which Indemnitee is not a party, Indemnitee shall be indemnified against all Expenses actually and reasonably incurred by Indemnitee or on Indemnitee’s behalf in connection therewith.</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Advancement of Expenses</w:t>
      </w:r>
      <w:r>
        <w:rPr>
          <w:rFonts w:ascii="Times New Roman;serif" w:hAnsi="Times New Roman;serif"/>
          <w:b w:val="false"/>
          <w:color w:val="000000"/>
          <w:sz w:val="22"/>
        </w:rPr>
        <w:t>. Notwithstanding any other provision of this Agreement (other than </w:t>
      </w:r>
      <w:r>
        <w:rPr>
          <w:rFonts w:ascii="Times New Roman;serif" w:hAnsi="Times New Roman;serif"/>
          <w:b w:val="false"/>
          <w:color w:val="000000"/>
          <w:sz w:val="22"/>
          <w:u w:val="single"/>
        </w:rPr>
        <w:t>Section 9</w:t>
      </w:r>
      <w:r>
        <w:rPr>
          <w:rFonts w:ascii="Times New Roman;serif" w:hAnsi="Times New Roman;serif"/>
          <w:b w:val="false"/>
          <w:color w:val="000000"/>
          <w:sz w:val="22"/>
        </w:rPr>
        <w:t>), the Company shall advance, to the extent not prohibited by law, all Expenses incurred by or on behalf of Indemnitee in connection with any Proceeding (or part of any Proceeding) not initiated by Indemnitee or any Proceeding initiated by Indemnitee with the prior approval of the Board as provided in </w:t>
      </w:r>
      <w:r>
        <w:rPr>
          <w:rFonts w:ascii="Times New Roman;serif" w:hAnsi="Times New Roman;serif"/>
          <w:b w:val="false"/>
          <w:color w:val="000000"/>
          <w:sz w:val="22"/>
          <w:u w:val="single"/>
        </w:rPr>
        <w:t>Section 9(d)</w:t>
      </w:r>
      <w:r>
        <w:rPr>
          <w:rFonts w:ascii="Times New Roman;serif" w:hAnsi="Times New Roman;serif"/>
          <w:b w:val="false"/>
          <w:color w:val="000000"/>
          <w:sz w:val="22"/>
        </w:rPr>
        <w:t>,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Any advances pursuant to this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shall be unsecured and interest free. In accordance with </w:t>
      </w:r>
      <w:r>
        <w:rPr>
          <w:rFonts w:ascii="Times New Roman;serif" w:hAnsi="Times New Roman;serif"/>
          <w:b w:val="false"/>
          <w:color w:val="000000"/>
          <w:sz w:val="22"/>
          <w:u w:val="single"/>
        </w:rPr>
        <w:t>Section 7(d)</w:t>
      </w:r>
      <w:r>
        <w:rPr>
          <w:color w:val="000000"/>
        </w:rPr>
        <w:t> </w:t>
      </w:r>
      <w:r>
        <w:rPr>
          <w:rFonts w:ascii="Times New Roman;serif" w:hAnsi="Times New Roman;serif"/>
          <w:b w:val="false"/>
          <w:color w:val="000000"/>
          <w:sz w:val="22"/>
        </w:rPr>
        <w:t>of this Agreement, advances shall include any and all reasonable Expenses incurred pursuing an action to enforce this right of advancement, including Expenses incurred preparing and forwarding statements to the Company to support the advances claimed. This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shall not apply to claim by Indemnitee for expenses in a matter for which indemnity and advancement of expenses is excluded pursuant to </w:t>
      </w:r>
      <w:r>
        <w:rPr>
          <w:rFonts w:ascii="Times New Roman;serif" w:hAnsi="Times New Roman;serif"/>
          <w:b w:val="false"/>
          <w:color w:val="000000"/>
          <w:sz w:val="22"/>
          <w:u w:val="single"/>
        </w:rPr>
        <w:t>Section 9</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Procedures and Presumptions for Determination of Entitlement to Indemnification</w:t>
      </w:r>
      <w:r>
        <w:rPr>
          <w:rFonts w:ascii="Times New Roman;serif" w:hAnsi="Times New Roman;serif"/>
          <w:b w:val="false"/>
          <w:color w:val="000000"/>
          <w:sz w:val="22"/>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5780"/>
                <wp:effectExtent l="0" t="0" r="0" b="0"/>
                <wp:wrapNone/>
                <wp:docPr id="139" name="Frame13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          Upon written request by Indemnitee for indemnification pursuant to the first sentence of </w:t>
      </w:r>
      <w:r>
        <w:rPr>
          <w:rFonts w:ascii="Times New Roman;serif" w:hAnsi="Times New Roman;serif"/>
          <w:b w:val="false"/>
          <w:color w:val="000000"/>
          <w:sz w:val="22"/>
          <w:u w:val="single"/>
        </w:rPr>
        <w:t>Section 6(a)</w:t>
      </w:r>
      <w:r>
        <w:rPr>
          <w:color w:val="000000"/>
        </w:rPr>
        <w:t> </w:t>
      </w:r>
      <w:r>
        <w:rPr>
          <w:rFonts w:ascii="Times New Roman;serif" w:hAnsi="Times New Roman;serif"/>
          <w:b w:val="false"/>
          <w:color w:val="000000"/>
          <w:sz w:val="22"/>
        </w:rPr>
        <w:t>hereof, a determination with respect to Indemnitee’s entitlement thereto shall be made in the specific case by one of the following four methods, which shall be at the election of the Board: (1) by a majority vote of the Disinterested Directors (as hereinafter defined),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a copy of which shall be delivered to Indemnitee; or (4) if so directed by the Board, by the stockholders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 Change in Control has occurred, the determination with respect to Indemnitee’s entitlement to indemnification shall be made by Independent Counsel. For purposes hereof, Disinterested Directors are those members of the Board who are not parties to the action, suit or proceeding in respect of which indemnification is sought by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In the event the determination of entitlement to indemnification is to be made by Independent Counsel, the Independent Counsel shall be selected as provided in this </w:t>
      </w:r>
      <w:r>
        <w:rPr>
          <w:rFonts w:ascii="Times New Roman;serif" w:hAnsi="Times New Roman;serif"/>
          <w:b w:val="false"/>
          <w:color w:val="000000"/>
          <w:sz w:val="22"/>
          <w:u w:val="single"/>
        </w:rPr>
        <w:t>Section 6(c)</w:t>
      </w:r>
      <w:r>
        <w:rPr>
          <w:rFonts w:ascii="Times New Roman;serif" w:hAnsi="Times New Roman;serif"/>
          <w:b w:val="false"/>
          <w:color w:val="000000"/>
          <w:sz w:val="22"/>
        </w:rPr>
        <w:t>. If a Change in Control has not occurred, the Independent Counsel shall be selected by the Board, and the Company shall give written notice to the Indemnitee advising Indemnitee of the identity of the Independent Counsel so selected. Indemnitee may, within 10 days after such written notice of selection shall have been given, deliver to the Company a written objection to such selection;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objection may be asserted only on the ground that the Independent Counsel so selected does not meet the requirements of “Independent Counsel” as defined in </w:t>
      </w:r>
      <w:r>
        <w:rPr>
          <w:rFonts w:ascii="Times New Roman;serif" w:hAnsi="Times New Roman;serif"/>
          <w:b w:val="false"/>
          <w:color w:val="000000"/>
          <w:sz w:val="22"/>
          <w:u w:val="single"/>
        </w:rPr>
        <w:t>Section 12</w:t>
      </w:r>
      <w:r>
        <w:rPr>
          <w:color w:val="000000"/>
        </w:rPr>
        <w:t> </w:t>
      </w:r>
      <w:r>
        <w:rPr>
          <w:rFonts w:ascii="Times New Roman;serif" w:hAnsi="Times New Roman;serif"/>
          <w:b w:val="false"/>
          <w:color w:val="000000"/>
          <w:sz w:val="22"/>
        </w:rPr>
        <w:t>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a Change in Control has occurred, the Independent Counsel shall be selected by the Indemnitee (unless the Indemnitee shall request that such selection be made by the Board, in which event the preceding sentence shall apply), and approved by the Board within 20 days after notification by Indemnitee. If (i) an Independent Counsel is to make the determination of entitlement pursuant to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and (ii) within 20 days after submission by Indemnitee of a written request for indemnification pursuant to </w:t>
      </w:r>
      <w:r>
        <w:rPr>
          <w:rFonts w:ascii="Times New Roman;serif" w:hAnsi="Times New Roman;serif"/>
          <w:b w:val="false"/>
          <w:color w:val="000000"/>
          <w:sz w:val="22"/>
          <w:u w:val="single"/>
        </w:rPr>
        <w:t>Section 6(a)</w:t>
      </w:r>
      <w:r>
        <w:rPr>
          <w:color w:val="000000"/>
        </w:rPr>
        <w:t> </w:t>
      </w:r>
      <w:r>
        <w:rPr>
          <w:rFonts w:ascii="Times New Roman;serif" w:hAnsi="Times New Roman;serif"/>
          <w:b w:val="false"/>
          <w:color w:val="000000"/>
          <w:sz w:val="22"/>
        </w:rPr>
        <w:t>hereof, no Independent Counsel shall have been selected (including as a result of an objection to the selected Independent Counsel),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hereof. The Company shall pay any and all reasonable fees and expenses of Independent Counsel incurred by such Independent Counsel in connection with acting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hereof, and the Company shall pay all reasonable fees and expenses incident to the procedures of this </w:t>
      </w:r>
      <w:r>
        <w:rPr>
          <w:rFonts w:ascii="Times New Roman;serif" w:hAnsi="Times New Roman;serif"/>
          <w:b w:val="false"/>
          <w:color w:val="000000"/>
          <w:sz w:val="22"/>
          <w:u w:val="single"/>
        </w:rPr>
        <w:t>Section 6(c)</w:t>
      </w:r>
      <w:r>
        <w:rPr>
          <w:rFonts w:ascii="Times New Roman;serif" w:hAnsi="Times New Roman;serif"/>
          <w:b w:val="false"/>
          <w:color w:val="000000"/>
          <w:sz w:val="22"/>
        </w:rPr>
        <w:t>, regardless of the manner in which such Independent Counsel was selected or appointed.</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 xml:space="preserve">In making a determination with respect to entitlement to indemnification hereunder, the Person making such determination shall to the fullest extent permitted by law presume that Indemnitee is entitled to indemnification under this Agreement. Anyone seeking to overcome this presumption shall have the burden of proof to overcome such presumption.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5780"/>
                <wp:effectExtent l="0" t="0" r="0" b="0"/>
                <wp:wrapNone/>
                <wp:docPr id="140" name="Frame13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Counsel) that Indemnitee has not met such applicable standard of conduct, shall be a defense to the action or create a presumption that Indemnitee has not met the applicable standard of conduct.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rPr>
        <w:t>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serif" w:hAnsi="Times New Roman;serif"/>
          <w:b w:val="false"/>
          <w:color w:val="000000"/>
          <w:sz w:val="22"/>
          <w:u w:val="single"/>
        </w:rPr>
        <w:t>Section 6(e)</w:t>
      </w:r>
      <w:r>
        <w:rPr>
          <w:color w:val="000000"/>
        </w:rPr>
        <w:t> </w:t>
      </w:r>
      <w:r>
        <w:rPr>
          <w:rFonts w:ascii="Times New Roman;serif" w:hAnsi="Times New Roman;serif"/>
          <w:b w:val="false"/>
          <w:color w:val="000000"/>
          <w:sz w:val="22"/>
        </w:rPr>
        <w:t>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(f)</w:t>
      </w:r>
      <w:r>
        <w:rPr>
          <w:color w:val="000000"/>
        </w:rPr>
        <w:t>           </w:t>
      </w:r>
      <w:r>
        <w:rPr>
          <w:rFonts w:ascii="Times New Roman;serif" w:hAnsi="Times New Roman;serif"/>
          <w:b w:val="false"/>
          <w:color w:val="000000"/>
          <w:sz w:val="22"/>
        </w:rPr>
        <w:t>If the Person empowered or selected under this </w:t>
      </w: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30-day period may be extended for a reasonable time, not to exceed an additional fifteen (15) days, if the Person making such determination with respect to entitlement to indemnification in good faith requires such additional time to obtain or evaluate documentation and/or information relating thereto; and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foregoing provisions of this </w:t>
      </w:r>
      <w:r>
        <w:rPr>
          <w:rFonts w:ascii="Times New Roman;serif" w:hAnsi="Times New Roman;serif"/>
          <w:b w:val="false"/>
          <w:color w:val="000000"/>
          <w:sz w:val="22"/>
          <w:u w:val="single"/>
        </w:rPr>
        <w:t>Section 6(f)</w:t>
      </w:r>
      <w:r>
        <w:rPr>
          <w:color w:val="000000"/>
        </w:rPr>
        <w:t> </w:t>
      </w:r>
      <w:r>
        <w:rPr>
          <w:rFonts w:ascii="Times New Roman;serif" w:hAnsi="Times New Roman;serif"/>
          <w:b w:val="false"/>
          <w:color w:val="000000"/>
          <w:sz w:val="22"/>
        </w:rPr>
        <w:t>shall not apply if the determination of entitlement to indemnification is to be made by the stockholders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(g)</w:t>
      </w:r>
      <w:r>
        <w:rPr>
          <w:color w:val="000000"/>
        </w:rPr>
        <w:t>         </w:t>
      </w:r>
      <w:r>
        <w:rPr>
          <w:rFonts w:ascii="Times New Roman;serif" w:hAnsi="Times New Roman;serif"/>
          <w:b w:val="false"/>
          <w:color w:val="000000"/>
          <w:sz w:val="22"/>
        </w:rPr>
        <w:t>Indemnitee shall cooperate with the Person making such determination with respect to Indemnitee’s entitlement to indemnification, including providing to such Person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(h)</w:t>
      </w:r>
      <w:r>
        <w:rPr>
          <w:color w:val="000000"/>
        </w:rPr>
        <w:t>          </w:t>
      </w:r>
      <w:r>
        <w:rPr>
          <w:rFonts w:ascii="Times New Roman;serif" w:hAnsi="Times New Roman;serif"/>
          <w:b w:val="false"/>
          <w:color w:val="000000"/>
          <w:sz w:val="22"/>
        </w:rPr>
        <w:t xml:space="preserve">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5780"/>
                <wp:effectExtent l="0" t="0" r="0" b="0"/>
                <wp:wrapNone/>
                <wp:docPr id="141" name="Frame13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 without payment of money or other consideration) it shall to the fullest extent permitted by law be presumed that Indemnitee has been successful on the merits or otherwise in such action, suit or proceeding. Anyone seeking to overcome this presumption shall have the burden of proof and the burden of persuasion by clear and convincing evidence.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7.            </w:t>
      </w:r>
      <w:r>
        <w:rPr>
          <w:rFonts w:ascii="Times New Roman;serif" w:hAnsi="Times New Roman;serif"/>
          <w:b w:val="false"/>
          <w:color w:val="000000"/>
          <w:sz w:val="22"/>
          <w:u w:val="single"/>
        </w:rPr>
        <w:t>Remedies of Indemnitee</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In the event that (i) a determination is made pursuant to </w:t>
      </w: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of this Agreement that Indemnitee is not entitled to indemnification under this Agreement, (ii) advancement of Expenses is not timely made pursuant to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of this Agreement, (iii) no determination of entitlement to indemnification is made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within thirty (30) days after receipt by the Company of the request for indemnification or (iv) payment of indemnification is not made within ten (10) days after a determination has been made that Indemnitee is entitled to indemnification or such determination is deemed to have been made pursuant to </w:t>
      </w: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of this Agreement, Indemnitee shall be entitled to an adjudication in an appropriate court of the State of Delaware, or in any other court of competent jurisdiction, of Indemnitee’s entitlement to such indemnification, contribution or advancement of Expenses. Alternatively,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          In the event that a determination shall have been made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that Indemnitee is not entitled to indemnification, any judicial proceeding or arbitration commenced pursuant to this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shall be conducted in all respects as a de novo trial, or arbitration, on the merits, and Indemnitee shall not be prejudiced by reason of the adverse determination under </w:t>
      </w:r>
      <w:r>
        <w:rPr>
          <w:rFonts w:ascii="Times New Roman;serif" w:hAnsi="Times New Roman;serif"/>
          <w:b w:val="false"/>
          <w:color w:val="000000"/>
          <w:sz w:val="22"/>
          <w:u w:val="single"/>
        </w:rPr>
        <w:t>Section 6(b)</w:t>
      </w:r>
      <w:r>
        <w:rPr>
          <w:rFonts w:ascii="Times New Roman;serif" w:hAnsi="Times New Roman;serif"/>
          <w:b w:val="false"/>
          <w:color w:val="000000"/>
          <w:sz w:val="22"/>
        </w:rPr>
        <w:t>. In any judicial proceeding or arbitration commenced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Indemnitee shall be presumed to be entitled to indemnification under this Agreement and the Company shall have the burden of proving Indemnitee is not entitled to indemnification or advancement of Expenses, as the case may be, and the Company may not refer to or introduce into evidence any determination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adverse to Indemnitee for any purpose other than to establish its compliance with the terms of this Agreement. If Indemnitee commences a judicial proceeding or arbitration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Indemnitee shall not be required to reimburse the Company for any advances pursuant to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until a final determination is made with respect to Indemnitee’s entitlement to indemnification (as to which all rights of appeal have been exhausted or lapsed).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If a determination shall have been made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that Indemnitee is entitled to indemnification, the Company shall be bound by such determination in any judicial proceeding or arbitration commenced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5780"/>
                <wp:effectExtent l="0" t="0" r="0" b="0"/>
                <wp:wrapNone/>
                <wp:docPr id="142" name="Frame13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(d)          In the event that Indemnitee,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incurs costs, in a judicial or arbitration proceeding or otherwise, attempting to enforce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serif" w:hAnsi="Times New Roman;serif"/>
          <w:b w:val="false"/>
          <w:color w:val="000000"/>
          <w:sz w:val="22"/>
          <w:u w:val="single"/>
        </w:rPr>
        <w:t>Section 12</w:t>
      </w:r>
      <w:r>
        <w:rPr>
          <w:color w:val="000000"/>
        </w:rPr>
        <w:t> </w:t>
      </w:r>
      <w:r>
        <w:rPr>
          <w:rFonts w:ascii="Times New Roman;serif" w:hAnsi="Times New Roman;serif"/>
          <w:b w:val="false"/>
          <w:color w:val="000000"/>
          <w:sz w:val="22"/>
        </w:rPr>
        <w:t>of this Agreement) actually and reasonably incurred by Indemnitee in such efforts, regardless of whether Indemnitee ultimately is determined to be entitled to such indemnification, advancement of expenses or insurance recovery, to the fullest extent permitted by applicable law. It is the intent of the Company that, to the fullest extent permitted by applicable law,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(e)          The Company shall, to the fullest extent not prohibited by law, be precluded from asserting in any judicial proceeding or arbitration commenced pursuant to this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in this Agreement to the contrary, no determination as to entitlement to indemnification under this Agreement shall be required to be made prior to the final disposition of the Proceeding.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8.            </w:t>
      </w:r>
      <w:r>
        <w:rPr>
          <w:rFonts w:ascii="Times New Roman;serif" w:hAnsi="Times New Roman;serif"/>
          <w:b w:val="false"/>
          <w:color w:val="000000"/>
          <w:sz w:val="22"/>
          <w:u w:val="single"/>
        </w:rPr>
        <w:t>Non-Exclusivity; Survival of Rights; Insurance; Subrogation</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(a)          The rights of indemnification and to receive advancement of Expenses as provided by this Agreement shall not be deemed exclusive of any other rights to which Indemnitee may at any time be entitled under applicable law, the Amended &amp; Restated Certificate of Incorporation of the Company (as amended or restated, the “</w:t>
      </w:r>
      <w:r>
        <w:rPr>
          <w:rFonts w:ascii="Times New Roman;serif" w:hAnsi="Times New Roman;serif"/>
          <w:b w:val="false"/>
          <w:color w:val="000000"/>
          <w:sz w:val="22"/>
          <w:u w:val="single"/>
        </w:rPr>
        <w:t>Charter</w:t>
      </w:r>
      <w:r>
        <w:rPr>
          <w:color w:val="000000"/>
        </w:rPr>
        <w:t>”</w:t>
      </w:r>
      <w:r>
        <w:rPr>
          <w:rFonts w:ascii="Times New Roman;serif" w:hAnsi="Times New Roman;serif"/>
          <w:b w:val="false"/>
          <w:color w:val="000000"/>
          <w:sz w:val="22"/>
        </w:rPr>
        <w:t>),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(b)          The Company shall, if commercially reasonable, obtain and maintain in effect during the entire period for which the Company is obligated to indemnify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officer or director under such policy or policies. In all such insurance policies, Indemnitee shall be named as an insured in such a manner as to provide Indemnitee with the same rights and benefits as are accorded to the most favorably insured of the Company’s directors and officers. At the time of the receipt of a notice of a claim pursuant to the terms hereof, the Company shall give prompt notice of the commencement of such proceeding to the insurers in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5780"/>
                <wp:effectExtent l="0" t="0" r="0" b="0"/>
                <wp:wrapNone/>
                <wp:docPr id="143" name="Frame13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The Company shall not be liable under this Agreement to make any payment of amounts otherwise indemnifiable (or for which advancement of Expenses is provided) hereunder if and to the extent that Indemnitee has otherwise actually received such payment under any insurance policy, contract, agreement or otherwise.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Exception to Right of Indemnification</w:t>
      </w:r>
      <w:r>
        <w:rPr>
          <w:rFonts w:ascii="Times New Roman;serif" w:hAnsi="Times New Roman;serif"/>
          <w:b w:val="false"/>
          <w:color w:val="000000"/>
          <w:sz w:val="22"/>
        </w:rPr>
        <w:t>. Notwithstanding any provision in this Agreement, the Company shall not be obligated under this Agreement to make any indemnity or advancement of expenses in connection with any claim made against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for which payment has actually been made to or on behalf of Indemnitee under any insurance policy or other indemnity provision, except with respect to any excess beyond the amount paid under any insurance policy or other indemnity provision; 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for an accounting of profits made from the purchase and sale (or sale and purchase) by Indemnitee of securities of the Company within the meaning of Section 16(b) of the Exchange Act (as hereinafter defined), or similar provisions of state statutory law or common law; 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for reimbursement to the Company of any bonus or other incentive-based or equity-based compensation or of any profits realized by Indemnitee from the sale of securities of the Company, in each case as required under the Exchange Act (including any such reimbursements that arise from an accounting restatement of the Company pursuant to Section 304 of the Sarbanes-Oxley Act of 2002 (the “</w:t>
      </w:r>
      <w:r>
        <w:rPr>
          <w:rFonts w:ascii="Times New Roman;serif" w:hAnsi="Times New Roman;serif"/>
          <w:b w:val="false"/>
          <w:color w:val="000000"/>
          <w:sz w:val="22"/>
          <w:u w:val="single"/>
        </w:rPr>
        <w:t>Sarbanes-Oxley Act</w:t>
      </w:r>
      <w:r>
        <w:rPr>
          <w:color w:val="000000"/>
        </w:rPr>
        <w:t>”</w:t>
      </w:r>
      <w:r>
        <w:rPr>
          <w:rFonts w:ascii="Times New Roman;serif" w:hAnsi="Times New Roman;serif"/>
          <w:b w:val="false"/>
          <w:color w:val="000000"/>
          <w:sz w:val="22"/>
        </w:rPr>
        <w:t>) or Section 954 of the Dodd-Frank Wall Street Reform and Consumer Protection Act in connection with an accounting restatement of the Company or the payment to the Company of profits arising from the purchase and sale by Indemnitee of securities in violation of Section 306 of the Sarbanes-Oxley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in connection with any Proceeding (or any part of any Proceeding) initiated by Indemnitee, including any Proceeding (or any part of any Proceeding) initiated by Indemnitee against the Company or its directors, officers, employees or other indemnitees, unless (i) the Company has joined in or the Board authorized the Proceeding (or any part of any Proceeding) prior to its initiation, (ii) the Company provides the indemnification, in its sole discretion, pursuant to the powers vested in the Company under applicable law, or (iii) the Proceeding is one to enforce Indemnitee’s rights under this Agreement or;</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5780"/>
                <wp:effectExtent l="0" t="0" r="0" b="0"/>
                <wp:wrapNone/>
                <wp:docPr id="144" name="Frame14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10.</w:t>
      </w:r>
      <w:r>
        <w:rPr>
          <w:color w:val="000000"/>
        </w:rPr>
        <w:t>         </w:t>
      </w:r>
      <w:r>
        <w:rPr>
          <w:rFonts w:ascii="Times New Roman;serif" w:hAnsi="Times New Roman;serif"/>
          <w:b w:val="false"/>
          <w:color w:val="000000"/>
          <w:sz w:val="22"/>
          <w:u w:val="single"/>
        </w:rPr>
        <w:t>Non−Disclosure of Payments</w:t>
      </w:r>
      <w:r>
        <w:rPr>
          <w:rFonts w:ascii="Times New Roman;serif" w:hAnsi="Times New Roman;serif"/>
          <w:b w:val="false"/>
          <w:color w:val="000000"/>
          <w:sz w:val="22"/>
        </w:rPr>
        <w:t>. Except as expressly required by the securities laws of the United States of America, neither party shall disclose any payments under this Agreement unless prior approval of the other party is obtained. If any payment information must be disclosed, the Company shall afford the Indemnitee an opportunity to review all such disclosures and, if requested, to explain in such statement any mitigating circumstances regarding the events to be reported.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Duration of Agreement</w:t>
      </w:r>
      <w:r>
        <w:rPr>
          <w:rFonts w:ascii="Times New Roman;serif" w:hAnsi="Times New Roman;serif"/>
          <w:b w:val="false"/>
          <w:color w:val="000000"/>
          <w:sz w:val="22"/>
        </w:rPr>
        <w:t>. All agreements and obligations of the Company contained herein shall continue until and terminate upon the later of (i) twenty (20) years after the date that Indemnitee shall have ceased to serve as a director or officer of the Company or a director, officer, trustee, partner, managing member, fiduciary, employee or agent of any other corporation, partnership, joint venture, trust, employee benefit plan or other enterprise which Indemnitee served at the request of the Company, and (ii) one (1) year after the final termination of any Proceeding (including any rights of appeal thereto) in respect of which Indemnitee is granted rights of indemnification or advancement of Expenses hereunder and of any Proceeding commenced by Indemnitee pursuant to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of this Agreement relating thereto (including any rights of appeal of any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Proceeding). Termination of this Agreement shall not adversely affect any right or protection hereunder of any Indemnitee in respect of any Proceeding (regardless of when such Proceeding is first threatened, commenced or completed) arising out of, or related to, any act or omission occurring prior to the time of such termination.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12.         </w:t>
      </w:r>
      <w:r>
        <w:rPr>
          <w:rFonts w:ascii="Times New Roman;serif" w:hAnsi="Times New Roman;serif"/>
          <w:b w:val="false"/>
          <w:color w:val="000000"/>
          <w:sz w:val="22"/>
          <w:u w:val="single"/>
        </w:rPr>
        <w:t>Definitions</w:t>
      </w:r>
      <w:r>
        <w:rPr>
          <w:rFonts w:ascii="Times New Roman;serif" w:hAnsi="Times New Roman;serif"/>
          <w:b w:val="false"/>
          <w:color w:val="000000"/>
          <w:sz w:val="22"/>
        </w:rPr>
        <w:t>. For purposes of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Beneficial Owner</w:t>
      </w:r>
      <w:r>
        <w:rPr>
          <w:color w:val="000000"/>
        </w:rPr>
        <w:t xml:space="preserve">” </w:t>
      </w:r>
      <w:r>
        <w:rPr>
          <w:rFonts w:ascii="Times New Roman;serif" w:hAnsi="Times New Roman;serif"/>
          <w:b w:val="false"/>
          <w:color w:val="000000"/>
          <w:sz w:val="22"/>
        </w:rPr>
        <w:t>shall have the meaning given to such term in Rule 13d-3 under the Exchange Act;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Beneficial Owner shall exclude any Person otherwise becoming a Beneficial Owner by reason of the stockholders of the Company approving a merger of the Company with another entity.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shall be deemed to occur upon the earliest to occur after the date of this Agreement of any of the following events: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  </w:t>
      </w:r>
      <w:r>
        <w:rPr>
          <w:rFonts w:ascii="Times New Roman;serif" w:hAnsi="Times New Roman;serif"/>
          <w:b w:val="false"/>
          <w:i/>
          <w:color w:val="000000"/>
          <w:sz w:val="22"/>
        </w:rPr>
        <w:t>Acquisition of Stock by Third Party</w:t>
      </w:r>
      <w:r>
        <w:rPr>
          <w:rFonts w:ascii="Times New Roman;serif" w:hAnsi="Times New Roman;serif"/>
          <w:b w:val="false"/>
          <w:color w:val="000000"/>
          <w:sz w:val="22"/>
        </w:rPr>
        <w:t>. Any Person (as defined below), other than Apax Partners, L.P. and its affiliates or Welsh, Carson, Anderson &amp; Stowe (“WCAS”) and its affiliates, and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above), directly or indirectly, of securities of the Company representing more than 50% of the combined voting power of the Company’s then outstanding securities, unless the change in relative Beneficial Ownership of the Company’s securities by any Person results solely from a reduction in the aggregate number of outstanding securities entitled to vote generally in the election of directors;</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(ii)  </w:t>
      </w:r>
      <w:r>
        <w:rPr>
          <w:rFonts w:ascii="Times New Roman;serif" w:hAnsi="Times New Roman;serif"/>
          <w:b w:val="false"/>
          <w:i/>
          <w:color w:val="000000"/>
          <w:sz w:val="22"/>
        </w:rPr>
        <w:t>Change in Board of Directors</w:t>
      </w:r>
      <w:r>
        <w:rPr>
          <w:rFonts w:ascii="Times New Roman;serif" w:hAnsi="Times New Roman;serif"/>
          <w:b w:val="false"/>
          <w:color w:val="000000"/>
          <w:sz w:val="22"/>
        </w:rPr>
        <w:t xml:space="preserve">. During any period of two (2) consecutive years (not including any period prior to the execution of this Agreement), individuals who at the beginning of such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5780"/>
                <wp:effectExtent l="0" t="0" r="0" b="0"/>
                <wp:wrapNone/>
                <wp:docPr id="145" name="Frame14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constitute the Board, and any new director (other than a director designated by a Person who has entered into an agreement with the Company to effect a transaction described in </w:t>
      </w:r>
      <w:r>
        <w:rPr>
          <w:rFonts w:ascii="Times New Roman;serif" w:hAnsi="Times New Roman;serif"/>
          <w:b w:val="false"/>
          <w:color w:val="000000"/>
          <w:sz w:val="22"/>
          <w:u w:val="single"/>
        </w:rPr>
        <w:t>Section 12(b)(i)</w:t>
      </w:r>
      <w:r>
        <w:rPr>
          <w:rFonts w:ascii="Times New Roman;serif" w:hAnsi="Times New Roman;serif"/>
          <w:b w:val="false"/>
          <w:color w:val="000000"/>
          <w:sz w:val="22"/>
        </w:rPr>
        <w:t>, </w:t>
      </w:r>
      <w:r>
        <w:rPr>
          <w:rFonts w:ascii="Times New Roman;serif" w:hAnsi="Times New Roman;serif"/>
          <w:b w:val="false"/>
          <w:color w:val="000000"/>
          <w:sz w:val="22"/>
          <w:u w:val="single"/>
        </w:rPr>
        <w:t>12(b)(iii)</w:t>
      </w:r>
      <w:r>
        <w:rPr>
          <w:color w:val="000000"/>
        </w:rPr>
        <w:t> </w:t>
      </w:r>
      <w:r>
        <w:rPr>
          <w:rFonts w:ascii="Times New Roman;serif" w:hAnsi="Times New Roman;serif"/>
          <w:b w:val="false"/>
          <w:color w:val="000000"/>
          <w:sz w:val="22"/>
        </w:rPr>
        <w:t>or </w:t>
      </w:r>
      <w:r>
        <w:rPr>
          <w:rFonts w:ascii="Times New Roman;serif" w:hAnsi="Times New Roman;serif"/>
          <w:b w:val="false"/>
          <w:color w:val="000000"/>
          <w:sz w:val="22"/>
          <w:u w:val="single"/>
        </w:rPr>
        <w:t>12(b)(iv)</w:t>
      </w:r>
      <w:r>
        <w:rPr>
          <w:rFonts w:ascii="Times New Roman;serif" w:hAnsi="Times New Roman;serif"/>
          <w:b w:val="false"/>
          <w:color w:val="000000"/>
          <w:sz w:val="22"/>
        </w:rPr>
        <w: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(iii)  </w:t>
      </w:r>
      <w:r>
        <w:rPr>
          <w:rFonts w:ascii="Times New Roman;serif" w:hAnsi="Times New Roman;serif"/>
          <w:b w:val="false"/>
          <w:i/>
          <w:color w:val="000000"/>
          <w:sz w:val="22"/>
        </w:rPr>
        <w:t>Corporate Transactions</w:t>
      </w:r>
      <w:r>
        <w:rPr>
          <w:rFonts w:ascii="Times New Roman;serif" w:hAnsi="Times New Roman;serif"/>
          <w:b w:val="false"/>
          <w:color w:val="000000"/>
          <w:sz w:val="22"/>
        </w:rPr>
        <w:t xml:space="preserve">. The effective date of a merger or consolidation of the Company with any other entity, other than a merger or consolidation which would result in the voting securities of the Company outstanding immediately prior to such merger or </w:t>
      </w:r>
      <w:r>
        <w:rPr>
          <w:rFonts w:ascii="Times New Roman;serif" w:hAnsi="Times New Roman;serif"/>
          <w:b w:val="false"/>
          <w:color w:val="000000"/>
          <w:sz w:val="22"/>
          <w:u w:val="single"/>
        </w:rPr>
        <w:t>consolidation</w:t>
      </w:r>
      <w:r>
        <w:rPr>
          <w:color w:val="000000"/>
        </w:rPr>
        <w:t xml:space="preserve"> </w:t>
      </w:r>
      <w:r>
        <w:rPr>
          <w:rFonts w:ascii="Times New Roman;serif" w:hAnsi="Times New Roman;serif"/>
          <w:b w:val="false"/>
          <w:color w:val="000000"/>
          <w:sz w:val="22"/>
        </w:rPr>
        <w:t>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(iv) </w:t>
      </w:r>
      <w:r>
        <w:rPr>
          <w:rFonts w:ascii="Times New Roman;serif" w:hAnsi="Times New Roman;serif"/>
          <w:b w:val="false"/>
          <w:i/>
          <w:color w:val="000000"/>
          <w:sz w:val="22"/>
        </w:rPr>
        <w:t>Liquidation.</w:t>
      </w:r>
      <w:r>
        <w:rPr>
          <w:color w:val="000000"/>
        </w:rPr>
        <w:t> </w:t>
      </w:r>
      <w:r>
        <w:rPr>
          <w:rFonts w:ascii="Times New Roman;serif" w:hAnsi="Times New Roman;serif"/>
          <w:b w:val="false"/>
          <w:color w:val="000000"/>
          <w:sz w:val="22"/>
        </w:rPr>
        <w:t xml:space="preserve">The approval by </w:t>
      </w:r>
      <w:r>
        <w:rPr>
          <w:rFonts w:ascii="Times New Roman;serif" w:hAnsi="Times New Roman;serif"/>
          <w:b w:val="false"/>
          <w:color w:val="000000"/>
          <w:sz w:val="22"/>
          <w:u w:val="single"/>
        </w:rPr>
        <w:t>the</w:t>
      </w:r>
      <w:r>
        <w:rPr>
          <w:color w:val="000000"/>
        </w:rPr>
        <w:t xml:space="preserve"> </w:t>
      </w:r>
      <w:r>
        <w:rPr>
          <w:rFonts w:ascii="Times New Roman;serif" w:hAnsi="Times New Roman;serif"/>
          <w:b w:val="false"/>
          <w:color w:val="000000"/>
          <w:sz w:val="22"/>
        </w:rPr>
        <w:t>stockholders of the Company of a complete liquidation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Corporate Status</w:t>
      </w:r>
      <w:r>
        <w:rPr>
          <w:color w:val="000000"/>
        </w:rPr>
        <w:t xml:space="preserve">” </w:t>
      </w:r>
      <w:r>
        <w:rPr>
          <w:rFonts w:ascii="Times New Roman;serif" w:hAnsi="Times New Roman;serif"/>
          <w:b w:val="false"/>
          <w:color w:val="000000"/>
          <w:sz w:val="22"/>
        </w:rPr>
        <w:t>describes the status of a person who is or was a director, officer, employee, agent or fiduciary of the Company, any direct or indirect subsidiary of the Company, or of any other corporation, partnership, joint venture, trust, employee benefit plan or other enterprise that such person is or was serving at the express written request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Disinterested Director</w:t>
      </w:r>
      <w:r>
        <w:rPr>
          <w:color w:val="000000"/>
        </w:rPr>
        <w:t xml:space="preserve">” </w:t>
      </w:r>
      <w:r>
        <w:rPr>
          <w:rFonts w:ascii="Times New Roman;serif" w:hAnsi="Times New Roman;serif"/>
          <w:b w:val="false"/>
          <w:color w:val="000000"/>
          <w:sz w:val="22"/>
        </w:rPr>
        <w:t>means a director of the Company who is not and was not a party to the Proceeding in respect of which indemnification is sought by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Enterprise</w:t>
      </w:r>
      <w:r>
        <w:rPr>
          <w:color w:val="000000"/>
        </w:rPr>
        <w:t xml:space="preserve">” </w:t>
      </w:r>
      <w:r>
        <w:rPr>
          <w:rFonts w:ascii="Times New Roman;serif" w:hAnsi="Times New Roman;serif"/>
          <w:b w:val="false"/>
          <w:color w:val="000000"/>
          <w:sz w:val="22"/>
        </w:rPr>
        <w:t>shall mean the Company and any other corporation, partnership, joint venture, trust, employee benefit plan or other enterprise that Indemnitee is or was serving at the request of the Company as a director, officer, trustee, partner, managing member, employee, agent or fiduciary.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(f)           “</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Securities Exchange Act of 1934, as amended.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Expenses</w:t>
      </w:r>
      <w:r>
        <w:rPr>
          <w:color w:val="000000"/>
        </w:rPr>
        <w:t xml:space="preserve">” </w:t>
      </w:r>
      <w:r>
        <w:rPr>
          <w:rFonts w:ascii="Times New Roman;serif" w:hAnsi="Times New Roman;serif"/>
          <w:b w:val="false"/>
          <w:color w:val="000000"/>
          <w:sz w:val="22"/>
        </w:rPr>
        <w:t>shall include all reasonable attorneys’ fees, retainers, court costs, transcript costs, fees of experts and other professionals, witness fees, travel expenses, duplicating costs, printing and binding costs, telephone charges, postage, delivery service fees,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Indemnitee as a result of the actual or deemed receipt of any payments under this Agreement,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5780"/>
                <wp:effectExtent l="0" t="0" r="0" b="0"/>
                <wp:wrapNone/>
                <wp:docPr id="146" name="Frame14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(h)          “</w:t>
      </w:r>
      <w:r>
        <w:rPr>
          <w:rFonts w:ascii="Times New Roman;serif" w:hAnsi="Times New Roman;serif"/>
          <w:b w:val="false"/>
          <w:color w:val="000000"/>
          <w:sz w:val="22"/>
          <w:u w:val="single"/>
        </w:rPr>
        <w:t>Independent Counsel</w:t>
      </w:r>
      <w:r>
        <w:rPr>
          <w:color w:val="000000"/>
        </w:rPr>
        <w:t xml:space="preserve">” </w:t>
      </w:r>
      <w:r>
        <w:rPr>
          <w:rFonts w:ascii="Times New Roman;serif" w:hAnsi="Times New Roman;serif"/>
          <w:b w:val="false"/>
          <w:color w:val="000000"/>
          <w:sz w:val="22"/>
        </w:rPr>
        <w:t>means a law firm, or a member of a law firm, that is experienced in matters of corporation law and neither presently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disbursements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shall have the meaning as set forth in Sections 13(d) and 14(d) of the Exchange Act;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Proceeding</w:t>
      </w:r>
      <w:r>
        <w:rPr>
          <w:color w:val="000000"/>
        </w:rPr>
        <w:t xml:space="preserve">” </w:t>
      </w:r>
      <w:r>
        <w:rPr>
          <w:rFonts w:ascii="Times New Roman;serif" w:hAnsi="Times New Roman;serif"/>
          <w:b w:val="false"/>
          <w:color w:val="000000"/>
          <w:sz w:val="22"/>
        </w:rPr>
        <w:t>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Indemnitee or of any inaction on Indemnitee’s part while acting as an officer or director of the Company, or by reason of the fact that Indemnitee is or was serving at the request of the Company as a director, officer, employee, agent or fiduciary of another corporation, partnership, joint venture, trust or other enterprise;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of this Agreement to enforce Indemnitee’s rights under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or provisions of this Agreement shall be held to be invalid, illegal or unenforceable for any reason whatsoever: (i)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fullest extent necessary to conform to applicable law and to give the maximum effect to the intent of the parties hereto; and (iii)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and Nominating Member indemnification rights to the fullest extent permitted by applicable laws.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14.         </w:t>
      </w:r>
      <w:r>
        <w:rPr>
          <w:rFonts w:ascii="Times New Roman;serif" w:hAnsi="Times New Roman;serif"/>
          <w:b w:val="false"/>
          <w:color w:val="000000"/>
          <w:sz w:val="22"/>
          <w:u w:val="single"/>
        </w:rPr>
        <w:t>Enforcement and Binding Effect</w:t>
      </w:r>
      <w:r>
        <w:rPr>
          <w:rFonts w:ascii="Times New Roman;serif" w:hAnsi="Times New Roman;serif"/>
          <w:b w:val="false"/>
          <w:color w:val="000000"/>
          <w:sz w:val="22"/>
        </w:rPr>
        <w:t>.</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5780"/>
                <wp:effectExtent l="0" t="0" r="0" b="0"/>
                <wp:wrapNone/>
                <wp:docPr id="147" name="Frame14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Indemnitee’s spouse, assigns, heirs, devisees, executors and administrators and other legal representatives.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The Company shall require and cause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if no such succession had taken place.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          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15.         </w:t>
      </w:r>
      <w:r>
        <w:rPr>
          <w:rFonts w:ascii="Times New Roman;serif" w:hAnsi="Times New Roman;serif"/>
          <w:b w:val="false"/>
          <w:color w:val="000000"/>
          <w:sz w:val="22"/>
          <w:u w:val="single"/>
        </w:rPr>
        <w:t>Modification and Waiver</w:t>
      </w:r>
      <w:r>
        <w:rPr>
          <w:rFonts w:ascii="Times New Roman;serif" w:hAnsi="Times New Roman;serif"/>
          <w:b w:val="false"/>
          <w:color w:val="000000"/>
          <w:sz w:val="22"/>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 By Indemnitee</w:t>
      </w:r>
      <w:r>
        <w:rPr>
          <w:rFonts w:ascii="Times New Roman;serif" w:hAnsi="Times New Roman;serif"/>
          <w:b w:val="false"/>
          <w:color w:val="000000"/>
          <w:sz w:val="22"/>
        </w:rPr>
        <w:t>. Indemnitee agrees promptly to notify the Company in writing upon being served with or otherwise receiving any summons, citation, subpoena, complaint, indictment, information or other document relating to any Proceeding or matter which may be subject to indemnification or advancement of Expenses covered hereunder. The failure to so notify the Company shall not relieve the Company of any obligation which it may have to Indemnitee under this Agreement or otherwise unless and only to the extent that such failure or delay materially prejudices the Company.</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5780"/>
                <wp:effectExtent l="0" t="0" r="0" b="0"/>
                <wp:wrapNone/>
                <wp:docPr id="148" name="Frame1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given or made pursuant to this Agreement shall be in writing and shall be deemed effectively given: (i) upon personal delivery to the party to be notified, (ii) when sent by confirmed electronic mail or facsimile if sent during normal business hours of the recipient, and if not so confirmed,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To Indemnitee at the address set forth below Indemnitee’s signature hereto.</w:t>
      </w:r>
    </w:p>
    <w:p>
      <w:pPr>
        <w:pStyle w:val="TextBody"/>
        <w:bidi w:val="0"/>
        <w:spacing w:lineRule="auto" w:line="288" w:before="0" w:after="0"/>
        <w:jc w:val="both"/>
        <w:rPr>
          <w:color w:val="000000"/>
        </w:rPr>
      </w:pPr>
      <w:r>
        <w:rPr>
          <w:color w:val="000000"/>
        </w:rPr>
        <w:t> </w:t>
      </w:r>
    </w:p>
    <w:tbl>
      <w:tblPr>
        <w:tblW w:w="2726"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588"/>
        <w:gridCol w:w="588"/>
        <w:gridCol w:w="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 the Company at: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InnovAge Holding Corp.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8950 E. Lowry Boulevard</w:t>
        <w:br/>
        <w:t>Denver, Colorado 80230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Chief Legal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 to such other address as may have been furnished to Indemnitee by the Company or to the Company by Indemnitee, as the case may be.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paragraphs of this Agreement are inserted for convenience only and shall not be deemed to constitute part of this Agreement or to affect the construction thereof.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Usage of Pronouns</w:t>
      </w:r>
      <w:r>
        <w:rPr>
          <w:rFonts w:ascii="Times New Roman;serif" w:hAnsi="Times New Roman;serif"/>
          <w:b w:val="false"/>
          <w:color w:val="000000"/>
          <w:sz w:val="22"/>
        </w:rPr>
        <w:t>. Use of the masculine pronoun shall be deemed to include usage of the feminine pronoun where appropriate.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Governing Law and Consent to Jurisdiction.</w:t>
      </w:r>
      <w:r>
        <w:rPr>
          <w:color w:val="000000"/>
        </w:rPr>
        <w:t> </w:t>
      </w:r>
      <w:r>
        <w:rPr>
          <w:rFonts w:ascii="Times New Roman;serif" w:hAnsi="Times New Roman;serif"/>
          <w:b w:val="false"/>
          <w:color w:val="000000"/>
          <w:sz w:val="22"/>
        </w:rPr>
        <w:t>This Agreement and the legal relations among the parties shall be governed by, and construed and enforced in accordance with, the laws of the State of Delaware, without regard to its conflict-of-laws rules. Except with respect to any arbitration commenced by Indemnitee pursuant to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of this Agreement, the Company and Indemnitee hereby irrevocably and unconditionally (i) agree that any action or proceeding arising out of or in connection with this Agreement shall be brought only in the Chancery Court of the State of Delaware (the “</w:t>
      </w:r>
      <w:r>
        <w:rPr>
          <w:rFonts w:ascii="Times New Roman;serif" w:hAnsi="Times New Roman;serif"/>
          <w:b w:val="false"/>
          <w:color w:val="000000"/>
          <w:sz w:val="22"/>
          <w:u w:val="single"/>
        </w:rPr>
        <w:t>Delaware Court</w:t>
      </w:r>
      <w:r>
        <w:rPr>
          <w:color w:val="000000"/>
        </w:rPr>
        <w:t>”</w:t>
      </w:r>
      <w:r>
        <w:rPr>
          <w:rFonts w:ascii="Times New Roman;serif" w:hAnsi="Times New Roman;serif"/>
          <w:b w:val="false"/>
          <w:color w:val="000000"/>
          <w:sz w:val="22"/>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5780"/>
                <wp:effectExtent l="0" t="0" r="0" b="0"/>
                <wp:wrapNone/>
                <wp:docPr id="149" name="Frame1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executed this Agreement on and as of the day and year first written above.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Page to Indemnification Agreement</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5780"/>
                <wp:effectExtent l="0" t="0" r="0" b="0"/>
                <wp:wrapNone/>
                <wp:docPr id="150" name="Frame1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TCO GROUP HOLDINGS, L.P.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CLASS B UNIT AWARD AGREEMENT</w:t>
      </w:r>
    </w:p>
    <w:p>
      <w:pPr>
        <w:pStyle w:val="TextBody"/>
        <w:bidi w:val="0"/>
        <w:spacing w:before="0" w:after="0"/>
        <w:jc w:val="center"/>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4"/>
        </w:rPr>
        <w:t>THIS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evidences an award of Class B Units granted pursuant to the TCO Group Holdings, L.P. Equity Incentive Plan (as from time to time amended and in effect,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on August 17, 2026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and is entered into between TCO Group Holdings, L.P., a Delaware limited partnership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 and the undersigned Participant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All capitalized terms that are used but not defined in this Agreement (including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attached hereto) have the meanings ascribed to them in the Plan.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w:t>
      </w:r>
      <w:r>
        <w:rPr>
          <w:rFonts w:ascii="Times New Roman;serif" w:hAnsi="Times New Roman;serif"/>
          <w:b w:val="false"/>
          <w:color w:val="000000"/>
          <w:sz w:val="24"/>
        </w:rPr>
        <w:t>. Subject to the terms and conditions set forth in this Agreement, the Plan and the LP Agreement, the Partnership hereby grants to the Participant on the Grant Date 625,000 Class B Units, each with a Hurdle Amount of $10.35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It is intended that this Award qualify as a “profits interest” for U.S. federal income tax purposes and this Agreement will be interpreted in accordance with that intent. Notwithstanding anything to the contrary in this Agreement, if the Participant does not commence full-time employment with the Company (as defined below) or its Subsidiaries as the Chief Medical Officer of the Company on or before August 17, 2026, this Agreement and the Award shall automatically terminate and be forfeited and cancelled without consideration, and the Participant shall have no rights under this Agreement.</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w:t>
      </w:r>
      <w:r>
        <w:rPr>
          <w:color w:val="000000"/>
        </w:rPr>
        <w:t xml:space="preserve"> </w:t>
      </w:r>
      <w:r>
        <w:rPr>
          <w:rFonts w:ascii="Times New Roman;serif" w:hAnsi="Times New Roman;serif"/>
          <w:b w:val="false"/>
          <w:color w:val="000000"/>
          <w:sz w:val="24"/>
        </w:rPr>
        <w:t>For purposes of this Agreement, the Class B Units subject to this Award that are or become vested, in each case, in accordance with the provisions of this Agreement, are referred to as “</w:t>
      </w:r>
      <w:r>
        <w:rPr>
          <w:rFonts w:ascii="Times New Roman;serif" w:hAnsi="Times New Roman;serif"/>
          <w:b w:val="false"/>
          <w:color w:val="000000"/>
          <w:sz w:val="24"/>
          <w:u w:val="single"/>
        </w:rPr>
        <w:t>Vested</w:t>
      </w:r>
      <w:r>
        <w:rPr>
          <w:color w:val="000000"/>
        </w:rPr>
        <w:t xml:space="preserve">” </w:t>
      </w:r>
      <w:r>
        <w:rPr>
          <w:rFonts w:ascii="Times New Roman;serif" w:hAnsi="Times New Roman;serif"/>
          <w:b w:val="false"/>
          <w:color w:val="000000"/>
          <w:sz w:val="24"/>
        </w:rPr>
        <w:t>and the Class B Units subject to this Award that have not become vested in accordance with the provisions of this Agreement are referred to as “</w:t>
      </w:r>
      <w:r>
        <w:rPr>
          <w:rFonts w:ascii="Times New Roman;serif" w:hAnsi="Times New Roman;serif"/>
          <w:b w:val="false"/>
          <w:color w:val="000000"/>
          <w:sz w:val="24"/>
          <w:u w:val="single"/>
        </w:rPr>
        <w:t>Unvested</w:t>
      </w:r>
      <w:r>
        <w:rPr>
          <w:color w:val="000000"/>
        </w:rPr>
        <w:t>”</w:t>
      </w:r>
      <w:r>
        <w:rPr>
          <w:rFonts w:ascii="Times New Roman;serif" w:hAnsi="Times New Roman;serif"/>
          <w:b w:val="false"/>
          <w:color w:val="000000"/>
          <w:sz w:val="24"/>
        </w:rPr>
        <w:t xml:space="preserve">. Class B Units subject to this Award shall vest under this Agreement in accordance with the terms of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hereto if, and only if, the Participant remains in Service on the applicable vesting date(s). </w: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Cessation of Service;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08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below, if the Participant’s Service ceases for any reason, (i) no additional portion of this Award will become Vested at or after the time of such cessation of Service, (ii) the portion of this Award that is then Unvested will be immediately and automatically forfeited for no consideration payable to the Participant, and (iii) except as provided in this Agreement, the Vested portion of this Award will remain outstanding and subject to the terms and conditions of the Plan, this Agreement and the LP Agreement, including the repurchase provisions set forth in Section 10.1 and Section 10.4 of the LP Agreement. Following the cessation of the Participant’s Service for any reason, the Participant’s retention of the Vested portion of this Award will in all cases be conditioned upon the Participant (or, if applicable, the Participant’s estate or beneficiary) signing and returning to the Partnership (without revoking) a timely and effective general release of claims in a form provided by the Partnership by the deadline specified therein, which in all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events shall become effective and irrevocable not later than the sixtieth (60</w:t>
      </w:r>
      <w:r>
        <w:rPr>
          <w:rFonts w:ascii="Times New Roman;serif" w:hAnsi="Times New Roman;serif"/>
          <w:b w:val="false"/>
          <w:color w:val="000000"/>
          <w:sz w:val="16"/>
        </w:rPr>
        <w:t>th</w:t>
      </w:r>
      <w:r>
        <w:rPr>
          <w:rFonts w:ascii="Times New Roman;serif" w:hAnsi="Times New Roman;serif"/>
          <w:b w:val="false"/>
          <w:color w:val="000000"/>
          <w:sz w:val="24"/>
        </w:rPr>
        <w:t>) calendar day following the date the Participant’s Service ceases.</w:t>
      </w:r>
    </w:p>
    <w:p>
      <w:pPr>
        <w:pStyle w:val="TextBody"/>
        <w:bidi w:val="0"/>
        <w:spacing w:lineRule="auto" w:line="288" w:before="0" w:after="240"/>
        <w:ind w:left="0" w:right="0" w:firstLine="108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Cause; Breach of Restrictive Covenants</w:t>
      </w:r>
      <w:r>
        <w:rPr>
          <w:rFonts w:ascii="Times New Roman;serif" w:hAnsi="Times New Roman;serif"/>
          <w:b w:val="false"/>
          <w:color w:val="000000"/>
          <w:sz w:val="24"/>
        </w:rPr>
        <w:t xml:space="preserve">. Notwithstanding anything in </w:t>
      </w:r>
      <w:r>
        <w:rPr>
          <w:rFonts w:ascii="Times New Roman;serif" w:hAnsi="Times New Roman;serif"/>
          <w:b w:val="false"/>
          <w:color w:val="000000"/>
          <w:sz w:val="24"/>
          <w:u w:val="single"/>
        </w:rPr>
        <w:t>Section 3(a)</w:t>
      </w:r>
      <w:r>
        <w:rPr>
          <w:color w:val="000000"/>
        </w:rPr>
        <w:t xml:space="preserve"> </w:t>
      </w:r>
      <w:r>
        <w:rPr>
          <w:rFonts w:ascii="Times New Roman;serif" w:hAnsi="Times New Roman;serif"/>
          <w:b w:val="false"/>
          <w:color w:val="000000"/>
          <w:sz w:val="24"/>
        </w:rPr>
        <w:t>to the contrary, in the event that the Participant’s Service is terminated for Cause (as defined in the Employment Agreement between Total Community Options, Inc., d/b/a InnovAge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Participant, dated as of August 17, 2026 (as amended from time to time,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xml:space="preserve">)) (or at a time when the Administrator determines the Partnership or any of its Affiliates could have terminated the Participant’s Service for Cause) or the Participant breaches any Restrictive Covenant (as defined below), all Class B Units subject to this Award (whether Vested or Unvested) will be immediately forfeited for no consideration payable to the Participant. </w: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 The Participant acknowledges and agrees that the Participant will execute, no later than the date hereof, and shall be bound by, the restrictive covenants set forth in the Employment Agreement, in addition to any confidentiality, non-competition, non-solicitation, no-hire, non-disparagement, invention assignment, cooperation or other similar obligations of the Participant to the Partnership or any of its Affiliates (such obligations, collectively, the “</w:t>
      </w:r>
      <w:r>
        <w:rPr>
          <w:rFonts w:ascii="Times New Roman;serif" w:hAnsi="Times New Roman;serif"/>
          <w:b w:val="false"/>
          <w:color w:val="000000"/>
          <w:sz w:val="24"/>
          <w:u w:val="single"/>
        </w:rPr>
        <w:t>Restrictive Covenants</w:t>
      </w:r>
      <w:r>
        <w:rPr>
          <w:color w:val="000000"/>
        </w:rPr>
        <w:t>”</w:t>
      </w:r>
      <w:r>
        <w:rPr>
          <w:rFonts w:ascii="Times New Roman;serif" w:hAnsi="Times New Roman;serif"/>
          <w:b w:val="false"/>
          <w:color w:val="000000"/>
          <w:sz w:val="24"/>
        </w:rPr>
        <w:t xml:space="preserve">), which Restrictive Covenants shall survive any termination, expiration, forfeiture, transfer or other disposition of this Award in accordance with its terms. In addition to any remedies that may be available to the Partnership or any of its Affiliates, the Administrator may cause this Award (whether or not Vested) to be forfeited and the proceeds from the any disposition and/or distributions or other amounts received in respect of this Award to be disgorged to the Partnership, with interest and related earnings, if at any time the Participant is not in compliance with all of the provisions of the Restrictive Covenants. </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Agreement shall be binding upon and inure to the benefit of the Partnership and the Participant and their respective heirs, executors, administrators, legal representatives, successors and assigns.</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Rights to Service</w:t>
      </w:r>
      <w:r>
        <w:rPr>
          <w:rFonts w:ascii="Times New Roman;serif" w:hAnsi="Times New Roman;serif"/>
          <w:b w:val="false"/>
          <w:color w:val="000000"/>
          <w:sz w:val="24"/>
        </w:rPr>
        <w:t>. Nothing contained in this Agreement shall be construed as giving the Participant any right to be retained, in any position, as an employee or other service provider of the Partnership or any of its Affiliates.</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Election under Section 83(b)</w:t>
      </w:r>
      <w:r>
        <w:rPr>
          <w:rFonts w:ascii="Times New Roman;serif" w:hAnsi="Times New Roman;serif"/>
          <w:b w:val="false"/>
          <w:color w:val="000000"/>
          <w:sz w:val="24"/>
        </w:rPr>
        <w:t xml:space="preserve">. The Participant shall execute and deliver to the Partnership with a copy of the Election Pursuant to Section 83(b) of the Code, substantially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The Election Pursuant to Section 83(b) of the Code shall be filed by the Participant with the appropriate Internal Revenue Service office not later than thirty (30) days after the Grant Date. The Participant should consult the Participant’s tax advisor to determine if there is a comparable election to file in the state of the Participant’s residence and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whether such filing is desirable under the circumstances. The Participant acknowledges that it is the sole responsibility of the Participant, and not the Partnership (or its Affiliates or Partnership Representative), to file the election under Section 83(b) of the Code even if the Participant requests that the Partnership (or its Affiliates or Partnership Representative) assist the Participant in making such filing.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Administrator will make such provision for the withholding of taxes and other legally required withholdings as it deems necessary under applicable law or as required under the LP Agreement. Except to the extent the Administrator permits the Participant to pay by other means, the Participant shall remit cash in an amount sufficient to satisfy any such taxes or withholdings at such time as is directed by the Partnership. By signing this Agreement, the Participant authorizes the Partnership and its Affiliates to withhold any taxes and other legally required withholdings that it determines are required from any other compensation paid or payable to the Participant by the Partnership or any of its Affiliates. Any amounts withheld by the Partnership or any of its Affiliates will be treated as if they were directly paid to the Participant.</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Consultation with Counsel</w:t>
      </w:r>
      <w:r>
        <w:rPr>
          <w:rFonts w:ascii="Times New Roman;serif" w:hAnsi="Times New Roman;serif"/>
          <w:b w:val="false"/>
          <w:color w:val="000000"/>
          <w:sz w:val="24"/>
        </w:rPr>
        <w:t>. The Participant hereby acknowledges and represents that the Participant has had the opportunity to consult with independent legal counsel regarding the Participant’s rights and obligations under this Agreement and that the Participant fully understands the terms and conditions contained herein.</w:t>
      </w:r>
    </w:p>
    <w:p>
      <w:pPr>
        <w:pStyle w:val="TextBody"/>
        <w:bidi w:val="0"/>
        <w:spacing w:lineRule="auto" w:line="288"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All notices required or permitted hereunder shall be in writing and deemed effectively given upon personal delivery or upon deposit in the United States Post Office, by registered or certified mail, postage prepaid, addressed to the other party hereto at the address shown beneath their or its respective signature to this Agreement, or at such other address or addresses as either party shall designate to the other in accordance with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Unit Certificate Restrictive Legends</w:t>
      </w:r>
      <w:r>
        <w:rPr>
          <w:rFonts w:ascii="Times New Roman;serif" w:hAnsi="Times New Roman;serif"/>
          <w:b w:val="false"/>
          <w:color w:val="000000"/>
          <w:sz w:val="24"/>
        </w:rPr>
        <w:t>. Certificated Class B Units evidencing this Award, to the extent such certificates are issued, may bear such restrictive legends as the Partnership and/or the Partnership’s counsel may deem necessary or advisable under applicable law or pursuant to this Agreement, including, without limitation, the following legends: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THE UNITS OR OTHER INTERESTS REPRESENTED BY THIS CERTIFICATE WERE ORIGINALLY ISSUED ON AUGUST 17, 2026, HAVE NOT BEEN REGISTERED UNDER THE SECURITIES ACT OF 1933, AS AMENDED (THE “ACT”), OR APPLICABLE STATE SECURITIES LAWS (“STATE ACTS”) AND MAY NOT BE SOLD OR TRANSFERRED IN THE ABSENCE OF AN EFFECTIVE REGISTRATION STATEMENT UNDER THE ACT OR STATE ACTS OR AN EXEMPTION FROM REGISTRATION THEREUNDER. THE TRANSFER OF THE UNITS REPRESENTED BY THIS CERTIFICATE IS SUBJECT TO THE CONDITIONS SPECIFIED IN THE PARTNERSHIP’S SECOND AMENDED AND RESTATED LIMITED PARTNERSHIP AGREEMENT, DATED AS OF MARCH 3, 2021 AS IT MAY BE AMENDED FROM TIME TO TIME, GOVERNING THE ISSUER (THE “PARTNERSHIP”) AND BY AND AMONG THE MEMBERS. A COPY OF SUCH AGREEMENT SHALL BE FURNISHED BY THE PARTNERSHIP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THE HOLDER HEREOF UPON WRITTEN REQUEST AND WITHOUT CHARGE.”</w:t>
      </w:r>
    </w:p>
    <w:p>
      <w:pPr>
        <w:pStyle w:val="TextBody"/>
        <w:bidi w:val="0"/>
        <w:spacing w:lineRule="auto" w:line="288"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Entire Agreement; Amendment</w:t>
      </w:r>
      <w:r>
        <w:rPr>
          <w:rFonts w:ascii="Times New Roman;serif" w:hAnsi="Times New Roman;serif"/>
          <w:b w:val="false"/>
          <w:color w:val="000000"/>
          <w:sz w:val="24"/>
        </w:rPr>
        <w:t xml:space="preserve">. This Agreement, the Plan and the LP Agreement constitute the entire agreement between the parties, and supersede all prior and contemporaneous agreements and understandings, relating to the subject matter of this Agreement. This Agreement may be amended in accordance with the Plan. </w:t>
      </w:r>
    </w:p>
    <w:p>
      <w:pPr>
        <w:pStyle w:val="TextBody"/>
        <w:bidi w:val="0"/>
        <w:spacing w:lineRule="auto" w:line="288"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construed, interpreted and enforced in accordance with the laws of the State of Delaware, without regard to otherwise governing principles of conflicts of laws. In the event of any alleged breach or threatened breach of this Agreement, the parties hereby consent and submit to the jurisdiction of the federal and state courts in and of the State of Delaware and to service of legal process in the State of Delaware.</w:t>
      </w:r>
    </w:p>
    <w:p>
      <w:pPr>
        <w:pStyle w:val="TextBody"/>
        <w:bidi w:val="0"/>
        <w:spacing w:lineRule="auto" w:line="288"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Power of Attorney</w:t>
      </w:r>
      <w:r>
        <w:rPr>
          <w:rFonts w:ascii="Times New Roman;serif" w:hAnsi="Times New Roman;serif"/>
          <w:b w:val="false"/>
          <w:color w:val="000000"/>
          <w:sz w:val="24"/>
        </w:rPr>
        <w:t xml:space="preserve">. The Participant hereby irrevocably constitutes and appoints each of the Partnership and any of its officers with full power of substitution, acting jointly or severally, as its attorney-in-fact and agent to sign, execute and deliver, in its name and on its behalf, all or any such agreement, deeds, instruments, documents and/or any counterpart thereof or certificates or to take any such action as it deems necessary from time to time or as is required under any applicable law to admit the Participant as a member of the Partnership or to conduct the affairs of the Partnership, including (without limitation) the power and authority to sign, execute and deliver (or attach signature pages to) (i) the LP Agreement; (ii) any amendment to the LP Agreement adopted in accordance with its terms; and (iii) all documentation associated with the repurchase of any Class B Units pursuant to Section 10 of the LP Agreement. This power of attorney is given to secure the obligations of the Participant hereunder and deemed coupled with an interest of the Partnership and is irrevocable. The Participant shall, as a condition to the issuance of this Award hereunder, execute and deliver to the Partnership a signature page to the LP Agreement, agreeing to be bound by the terms thereof as a “Management Investor” thereunder with respect to the Class B Units subject to this Award. </w:t>
      </w:r>
    </w:p>
    <w:p>
      <w:pPr>
        <w:pStyle w:val="TextBody"/>
        <w:bidi w:val="0"/>
        <w:spacing w:lineRule="auto" w:line="288"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Certain Distributions</w:t>
      </w:r>
      <w:r>
        <w:rPr>
          <w:rFonts w:ascii="Times New Roman;serif" w:hAnsi="Times New Roman;serif"/>
          <w:b w:val="false"/>
          <w:color w:val="000000"/>
          <w:sz w:val="24"/>
        </w:rPr>
        <w:t xml:space="preserve">. The provisions set forth in this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 xml:space="preserve">are intended to support the treatment of the Class B Units issued pursuant to this Agreement as “profits interests” within the meaning of Revenue Procedures 93-27 and 2001-43; for the avoidance of doubt, the provisions set forth in this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are in limitation of the distribution provisions of the LP Agreement and nothing herein shall expand the right to, or increase the amount of, any distributions to be made to the Class B Units. Notwithstanding anything to the contrary, the Class B Units issued pursuant to this Agreement shall represent an interest in future appreciation of the Partnership, and the Administrator shall have the unilateral ability to make necessary adjustments to such Class B Units and/or to limit distributions made in respect of such Class B Units to support the treatment of the Class B Units issued pursuant to this Agreement as “profits interests” within the meaning of Revenue Procedures 93-27 and 2001-43.</w:t>
      </w:r>
    </w:p>
    <w:p>
      <w:pPr>
        <w:pStyle w:val="TextBody"/>
        <w:bidi w:val="0"/>
        <w:spacing w:lineRule="auto" w:line="288"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Further Representations and Acknowledgements of the Participant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Participant hereby represents that the Participant has read the Plan and the LP Agreement and is familiar with their respective terms. The Participant hereby acknowledges that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has carefully read this Agreement and agrees, on behalf of the Participant and on behalf of the Participant’s beneficiaries, estate and permitted assigns, to be bound by all of the provisions set forth herein and that the Class B Units subject to this Award are subject to all of the terms and provisions of this Agreement, the Plan and the LP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acknowledges that nothing in this Agreement (including exhibits hereto) alters the nature of Service with Partnership or any Affiliate of the Partnership, except that from and after the date hereof, the Participant shall be treated as a partner in the Partnership for U.S. federal income tax purposes. The Participant acknowledges having been afforded a reasonable opportunity to consult with financial or legal advisors regarding the consequences of Participant’s acceptance of the grant on the terms and conditions set forth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Participant hereby represents and warrants to the Partnership that the Participant either (i) is not a married individual or (ii) has caused the Participant’s spouse to execute and deliver to the Partnership the Spousal Consent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If the spouse of the Participant fails to execute the Spousal Consent, such Participant’s Class B Units shall be subject to forfeiture without consideration upon written notice from the Partnership.</w:t>
      </w:r>
    </w:p>
    <w:p>
      <w:pPr>
        <w:pStyle w:val="TextBody"/>
        <w:bidi w:val="0"/>
        <w:spacing w:lineRule="auto" w:line="288"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any of which may be executed and transmitted by facsimile or electronic means (including “pdf”), and each of which will be deemed to be an original, but all of which together will be deemed to be one and the same instrument.</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IN WITNESS WHEREOF, the parties hereto have executed this Agreement as of the day and year first above written.</w:t>
      </w:r>
    </w:p>
    <w:p>
      <w:pPr>
        <w:pStyle w:val="TextBody"/>
        <w:bidi w:val="0"/>
        <w:spacing w:before="0" w:after="240"/>
        <w:jc w:val="left"/>
        <w:rPr/>
      </w:pPr>
      <w:r>
        <w:rPr/>
      </w:r>
    </w:p>
    <w:tbl>
      <w:tblPr>
        <w:tblW w:w="5505" w:type="dxa"/>
        <w:jc w:val="left"/>
        <w:tblInd w:w="0" w:type="dxa"/>
        <w:tblLayout w:type="fixed"/>
        <w:tblCellMar>
          <w:top w:w="28" w:type="dxa"/>
          <w:left w:w="28" w:type="dxa"/>
          <w:bottom w:w="28" w:type="dxa"/>
          <w:right w:w="28" w:type="dxa"/>
        </w:tblCellMar>
      </w:tblPr>
      <w:tblGrid>
        <w:gridCol w:w="1763"/>
        <w:gridCol w:w="1546"/>
        <w:gridCol w:w="2196"/>
      </w:tblGrid>
      <w:tr>
        <w:trPr/>
        <w:tc>
          <w:tcPr>
            <w:tcW w:w="176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TCO Group Holdings, L.P.</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TCO Group Holdings, GP, LLC, its General Partner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Andrew Cavanna_________</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Andrew Cavanna</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tc>
      </w:tr>
    </w:tbl>
    <w:p>
      <w:pPr>
        <w:pStyle w:val="TextBody"/>
        <w:bidi w:val="0"/>
        <w:spacing w:lineRule="auto" w:line="288" w:before="0" w:after="360"/>
        <w:jc w:val="left"/>
        <w:rPr/>
      </w:pPr>
      <w:r>
        <w:rPr>
          <w:rFonts w:ascii="Times New Roman;serif" w:hAnsi="Times New Roman;serif"/>
          <w:b w:val="false"/>
          <w:color w:val="000000"/>
          <w:sz w:val="24"/>
          <w:u w:val="single"/>
        </w:rPr>
        <w:t>/s/ Paul Taheri</w:t>
      </w:r>
      <w:r>
        <w:rPr>
          <w:rFonts w:ascii="Times New Roman;serif" w:hAnsi="Times New Roman;serif"/>
          <w:b w:val="false"/>
          <w:color w:val="000000"/>
          <w:sz w:val="24"/>
        </w:rPr>
        <w:t>______________</w:t>
        <w:br/>
        <w:t>Paul Taheri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VESTING SCHEDULE</w:t>
      </w:r>
    </w:p>
    <w:p>
      <w:pPr>
        <w:pStyle w:val="TextBody"/>
        <w:bidi w:val="0"/>
        <w:spacing w:lineRule="auto" w:line="288" w:before="0" w:after="120"/>
        <w:ind w:left="0" w:right="0" w:firstLine="720"/>
        <w:jc w:val="left"/>
        <w:rPr/>
      </w:pPr>
      <w:r>
        <w:rPr>
          <w:rFonts w:ascii="Times New Roman;serif" w:hAnsi="Times New Roman;serif"/>
          <w:b w:val="false"/>
          <w:color w:val="000000"/>
          <w:sz w:val="24"/>
        </w:rPr>
        <w:t xml:space="preserve">The Class B Units shall become Vested in accordance with the vesting schedule set forth on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 xml:space="preserve">. All capitalized terms used in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 xml:space="preserve">, unless separately defined herein, have the meanings set forth in the Agreement to which this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is attached or, if not defined in such Agreement, in the Plan. </w:t>
      </w:r>
    </w:p>
    <w:p>
      <w:pPr>
        <w:pStyle w:val="TextBody"/>
        <w:bidi w:val="0"/>
        <w:spacing w:before="0" w:after="120"/>
        <w:ind w:left="0" w:right="0" w:firstLine="720"/>
        <w:jc w:val="left"/>
        <w:rPr/>
      </w:pPr>
      <w:r>
        <w:rPr/>
      </w:r>
    </w:p>
    <w:p>
      <w:pPr>
        <w:pStyle w:val="TextBody"/>
        <w:bidi w:val="0"/>
        <w:spacing w:lineRule="auto" w:line="288"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Time-Based Units</w:t>
      </w:r>
      <w:r>
        <w:rPr>
          <w:rFonts w:ascii="Times New Roman;serif" w:hAnsi="Times New Roman;serif"/>
          <w:b w:val="false"/>
          <w:color w:val="000000"/>
          <w:sz w:val="24"/>
        </w:rPr>
        <w:t>. Fifty percent (50%) of the Class B Units subject to this Award (the “</w:t>
      </w:r>
      <w:r>
        <w:rPr>
          <w:rFonts w:ascii="Times New Roman;serif" w:hAnsi="Times New Roman;serif"/>
          <w:b w:val="false"/>
          <w:color w:val="000000"/>
          <w:sz w:val="24"/>
          <w:u w:val="single"/>
        </w:rPr>
        <w:t>Time-Based Units</w:t>
      </w:r>
      <w:r>
        <w:rPr>
          <w:color w:val="000000"/>
        </w:rPr>
        <w:t>”</w:t>
      </w:r>
      <w:r>
        <w:rPr>
          <w:rFonts w:ascii="Times New Roman;serif" w:hAnsi="Times New Roman;serif"/>
          <w:b w:val="false"/>
          <w:color w:val="000000"/>
          <w:sz w:val="24"/>
        </w:rPr>
        <w:t>) shall be eligible to vest over a period of three years from the Grant Date (the “</w:t>
      </w:r>
      <w:r>
        <w:rPr>
          <w:rFonts w:ascii="Times New Roman;serif" w:hAnsi="Times New Roman;serif"/>
          <w:b w:val="false"/>
          <w:color w:val="000000"/>
          <w:sz w:val="24"/>
          <w:u w:val="single"/>
        </w:rPr>
        <w:t>Vesting Commencement Date</w:t>
      </w:r>
      <w:r>
        <w:rPr>
          <w:color w:val="000000"/>
        </w:rPr>
        <w:t>”</w:t>
      </w:r>
      <w:r>
        <w:rPr>
          <w:rFonts w:ascii="Times New Roman;serif" w:hAnsi="Times New Roman;serif"/>
          <w:b w:val="false"/>
          <w:color w:val="000000"/>
          <w:sz w:val="24"/>
        </w:rPr>
        <w:t xml:space="preserve">) as follows, in each case,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Participant remains in continuous Service through the applicable vesting date and, in each case, rounded down to the nearest whole Class B Unit, with any fractional Class B Units carried over to the next vesting date:</w:t>
      </w:r>
    </w:p>
    <w:tbl>
      <w:tblPr>
        <w:tblW w:w="10003" w:type="dxa"/>
        <w:jc w:val="left"/>
        <w:tblInd w:w="0" w:type="dxa"/>
        <w:tblLayout w:type="fixed"/>
        <w:tblCellMar>
          <w:top w:w="28" w:type="dxa"/>
          <w:left w:w="28" w:type="dxa"/>
          <w:bottom w:w="28" w:type="dxa"/>
          <w:right w:w="28" w:type="dxa"/>
        </w:tblCellMar>
      </w:tblPr>
      <w:tblGrid>
        <w:gridCol w:w="755"/>
        <w:gridCol w:w="663"/>
        <w:gridCol w:w="666"/>
        <w:gridCol w:w="689"/>
        <w:gridCol w:w="689"/>
        <w:gridCol w:w="691"/>
        <w:gridCol w:w="1712"/>
        <w:gridCol w:w="1712"/>
        <w:gridCol w:w="242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Percentage of </w:t>
            </w:r>
          </w:p>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Time-Vesting Units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Cumulative</w:t>
            </w:r>
          </w:p>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Percentage of </w:t>
            </w:r>
          </w:p>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Time-Vesting Units</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Time Vesting Schedule</w:t>
            </w:r>
          </w:p>
        </w:tc>
      </w:tr>
      <w:tr>
        <w:trPr/>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33.33%</w:t>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33.33%</w:t>
            </w:r>
          </w:p>
        </w:tc>
        <w:tc>
          <w:tcPr>
            <w:tcW w:w="5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One-year anniversary of the Vesting Commencement Date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33.33%</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66.66%</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Two-year anniversary of the Vesting Commencement Date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33.34%</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Three-year anniversary of the Vesting Commencement Date</w:t>
            </w:r>
          </w:p>
        </w:tc>
      </w:tr>
    </w:tbl>
    <w:p>
      <w:pPr>
        <w:pStyle w:val="TextBody"/>
        <w:bidi w:val="0"/>
        <w:spacing w:before="0" w:after="120"/>
        <w:jc w:val="left"/>
        <w:rPr/>
      </w:pPr>
      <w:r>
        <w:rPr/>
      </w:r>
    </w:p>
    <w:p>
      <w:pPr>
        <w:pStyle w:val="TextBody"/>
        <w:bidi w:val="0"/>
        <w:spacing w:lineRule="auto" w:line="288" w:before="0" w:after="240"/>
        <w:jc w:val="both"/>
        <w:rPr/>
      </w:pPr>
      <w:r>
        <w:rPr>
          <w:rFonts w:ascii="Times New Roman;serif" w:hAnsi="Times New Roman;serif"/>
          <w:b w:val="false"/>
          <w:color w:val="000000"/>
          <w:sz w:val="24"/>
        </w:rPr>
        <w:t>Notwithstanding the foregoing, in the event that the Participant’s Service is terminated without Cause or due to the Participant’s death or Disability, or if the Participant resigns for Good Reason (each, as defined in the Employment Agreement) (in each case pursuant to the terms of the Employment Agreement) prior to the one-year anniversary of the Vesting Commencement Date (the date of such termination, the “</w:t>
      </w:r>
      <w:r>
        <w:rPr>
          <w:rFonts w:ascii="Times New Roman;serif" w:hAnsi="Times New Roman;serif"/>
          <w:b w:val="false"/>
          <w:color w:val="000000"/>
          <w:sz w:val="24"/>
          <w:u w:val="single"/>
        </w:rPr>
        <w:t>Year 1 Termination Date</w:t>
      </w:r>
      <w:r>
        <w:rPr>
          <w:color w:val="000000"/>
        </w:rPr>
        <w:t>”</w:t>
      </w:r>
      <w:r>
        <w:rPr>
          <w:rFonts w:ascii="Times New Roman;serif" w:hAnsi="Times New Roman;serif"/>
          <w:b w:val="false"/>
          <w:color w:val="000000"/>
          <w:sz w:val="24"/>
        </w:rPr>
        <w:t>), the percentage of the Time-Based Units that shall vest will be equal to the product of (I) (A) the number of calendar days between the Vesting Commencement Date and the Year 1 Termination Date, divided by (B) 365, and (II) 33.33%, rounded down to the nearest whole Class B Unit.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 Change of Control, all Time-Based Units that are then outstanding and Unvested shall automatically become Vested upon the consummation of such Change of Control, subject to the Participant’s continued Service through such Change of Control. If a Time-Based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Time-Based Unit will be immediately and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automatically canceled and terminated upon the consummation of the Change of Control, without payment of any consideration and without any action on the part of the Participant.</w:t>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in no event will more than 100% of the Time-Based Units (representing 50% of the Class B Units subject to this Award) vest pursuant to this </w:t>
      </w:r>
      <w:r>
        <w:rPr>
          <w:rFonts w:ascii="Times New Roman;serif" w:hAnsi="Times New Roman;serif"/>
          <w:b w:val="false"/>
          <w:color w:val="000000"/>
          <w:sz w:val="24"/>
          <w:u w:val="single"/>
        </w:rPr>
        <w:t>Section A</w:t>
      </w:r>
      <w:r>
        <w:rPr>
          <w:rFonts w:ascii="Times New Roman;serif" w:hAnsi="Times New Roman;serif"/>
          <w:b w:val="false"/>
          <w:color w:val="000000"/>
          <w:sz w:val="24"/>
        </w:rPr>
        <w:t xml:space="preserve">. </w:t>
      </w:r>
    </w:p>
    <w:p>
      <w:pPr>
        <w:pStyle w:val="TextBody"/>
        <w:bidi w:val="0"/>
        <w:spacing w:lineRule="auto" w:line="288" w:before="0" w:after="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Performance-Based Units</w:t>
      </w:r>
      <w:r>
        <w:rPr>
          <w:rFonts w:ascii="Times New Roman;serif" w:hAnsi="Times New Roman;serif"/>
          <w:b w:val="false"/>
          <w:color w:val="000000"/>
          <w:sz w:val="24"/>
        </w:rPr>
        <w:t>. Fifty percent (50%) of the Class B Units subject to this Award (the “</w:t>
      </w:r>
      <w:r>
        <w:rPr>
          <w:rFonts w:ascii="Times New Roman;serif" w:hAnsi="Times New Roman;serif"/>
          <w:b w:val="false"/>
          <w:color w:val="000000"/>
          <w:sz w:val="24"/>
          <w:u w:val="single"/>
        </w:rPr>
        <w:t>Performance-Based Units</w:t>
      </w:r>
      <w:r>
        <w:rPr>
          <w:color w:val="000000"/>
        </w:rPr>
        <w:t>”</w:t>
      </w:r>
      <w:r>
        <w:rPr>
          <w:rFonts w:ascii="Times New Roman;serif" w:hAnsi="Times New Roman;serif"/>
          <w:b w:val="false"/>
          <w:color w:val="000000"/>
          <w:sz w:val="24"/>
        </w:rPr>
        <w:t>) shall be eligible to vest (rounded down to the nearest whole Class B Unit) based on Apax Investor’s achievement of the MOIC targets set forth below on a Measurement Date, subject to the Participant’s continued Service through such date. Notwithstanding the foregoing, if the Participant’s Service is terminated without Cause, due to death or Disability, or if the Participant resigns for Good Reason (in each case, as defined in the Employment Agreement), the Performance-Based Units shall remain outstanding for one hundred twenty (120) days following such termination (the “</w:t>
      </w:r>
      <w:r>
        <w:rPr>
          <w:rFonts w:ascii="Times New Roman;serif" w:hAnsi="Times New Roman;serif"/>
          <w:b w:val="false"/>
          <w:color w:val="000000"/>
          <w:sz w:val="24"/>
          <w:u w:val="single"/>
        </w:rPr>
        <w:t>Tail Period</w:t>
      </w:r>
      <w:r>
        <w:rPr>
          <w:color w:val="000000"/>
        </w:rPr>
        <w:t>”</w:t>
      </w:r>
      <w:r>
        <w:rPr>
          <w:rFonts w:ascii="Times New Roman;serif" w:hAnsi="Times New Roman;serif"/>
          <w:b w:val="false"/>
          <w:color w:val="000000"/>
          <w:sz w:val="24"/>
        </w:rPr>
        <w:t>). If a Measurement Date occurs during the Tail Period and the applicable MOIC targets are achieved, the Performance-Based Units shall vest. If no Measurement Date occurs during the Tail Period, or if the applicable MOIC targets are not achieved on such Measurement Date, all outstanding Performance-Based Units shall automatically be forfeited and cancelled without consideration as of the last day of the Tail Period.</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w:t>
      </w:r>
      <w:r>
        <w:rPr>
          <w:rFonts w:ascii="Times New Roman;serif" w:hAnsi="Times New Roman;serif"/>
          <w:b w:val="false"/>
          <w:color w:val="000000"/>
          <w:sz w:val="24"/>
        </w:rPr>
        <w:t>50% of the Performance-Based Units shall vest if the Apax Investor achieves a MOIC equal to 2.14x on a Measurement Date; and</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ii.</w:t>
      </w:r>
      <w:r>
        <w:rPr>
          <w:rFonts w:ascii="Times New Roman;serif" w:hAnsi="Times New Roman;serif"/>
          <w:b w:val="false"/>
          <w:color w:val="000000"/>
          <w:sz w:val="24"/>
        </w:rPr>
        <w:t>100% of the Performance-Based Units shall vest if the Apax Investor achieves a MOIC equal to 2.45x on a Measurement Date.</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iii.</w:t>
      </w:r>
      <w:r>
        <w:rPr>
          <w:rFonts w:ascii="Times New Roman;serif" w:hAnsi="Times New Roman;serif"/>
          <w:b w:val="false"/>
          <w:color w:val="000000"/>
          <w:sz w:val="24"/>
        </w:rPr>
        <w:t xml:space="preserve">Performance-Based Units will vest upon a Measurement Date only to the extent the performance targets set forth in </w:t>
      </w:r>
      <w:r>
        <w:rPr>
          <w:rFonts w:ascii="Times New Roman;serif" w:hAnsi="Times New Roman;serif"/>
          <w:b w:val="false"/>
          <w:color w:val="000000"/>
          <w:sz w:val="24"/>
          <w:u w:val="single"/>
        </w:rPr>
        <w:t>Section B</w:t>
      </w:r>
      <w:r>
        <w:rPr>
          <w:color w:val="000000"/>
        </w:rPr>
        <w:t xml:space="preserve"> </w:t>
      </w:r>
      <w:r>
        <w:rPr>
          <w:rFonts w:ascii="Times New Roman;serif" w:hAnsi="Times New Roman;serif"/>
          <w:b w:val="false"/>
          <w:color w:val="000000"/>
          <w:sz w:val="24"/>
        </w:rPr>
        <w:t>are achieved on such Measurement Date. For the avoidance of doubt, none of the Performance-Based Units shall vest if the Apax Investor achieves a MOIC less than 2.14x on a Measurement Date.</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iv.</w:t>
      </w:r>
      <w:r>
        <w:rPr>
          <w:rFonts w:ascii="Times New Roman;serif" w:hAnsi="Times New Roman;serif"/>
          <w:b w:val="false"/>
          <w:color w:val="000000"/>
          <w:sz w:val="24"/>
        </w:rPr>
        <w:t>Any Performance-Based Units that do not become Vested upon a Change of Control shall be forfeited for no consideration payable to the Participant upon the consummation of such Change of Control. If any Performance-Based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Performance-Based Unit will be immediately and automatically canceled and terminated upon the consummation of the Change of Control, without payment of any consideration and without any action on the part of the Participant.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in no event will more than 100% of the Performance-Based Units (representing 50% of the Class B Units subject to this Award) vest pursuant to this </w:t>
      </w:r>
      <w:r>
        <w:rPr>
          <w:rFonts w:ascii="Times New Roman;serif" w:hAnsi="Times New Roman;serif"/>
          <w:b w:val="false"/>
          <w:color w:val="000000"/>
          <w:sz w:val="24"/>
          <w:u w:val="single"/>
        </w:rPr>
        <w:t>Section B</w:t>
      </w:r>
      <w:r>
        <w:rPr>
          <w:rFonts w:ascii="Times New Roman;serif" w:hAnsi="Times New Roman;serif"/>
          <w:b w:val="false"/>
          <w:color w:val="000000"/>
          <w:sz w:val="24"/>
        </w:rPr>
        <w:t>.</w:t>
      </w:r>
    </w:p>
    <w:p>
      <w:pPr>
        <w:pStyle w:val="TextBody"/>
        <w:bidi w:val="0"/>
        <w:spacing w:lineRule="auto" w:line="288" w:before="120" w:after="2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Wind-Up</w:t>
      </w:r>
      <w:r>
        <w:rPr>
          <w:rFonts w:ascii="Times New Roman;serif" w:hAnsi="Times New Roman;serif"/>
          <w:b w:val="false"/>
          <w:color w:val="000000"/>
          <w:sz w:val="24"/>
        </w:rPr>
        <w:t xml:space="preserve">. All Class B Units subject to this Award that have not fully Vested in accordance with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and each Class B Unit subject to this Award (whether or not Vested) that would not be entitled to receive any distributions as of the Wind-Up Date if all the assets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pPr>
      <w:r>
        <w:rPr>
          <w:rFonts w:ascii="Times New Roman;serif" w:hAnsi="Times New Roman;serif"/>
          <w:b w:val="false"/>
          <w:color w:val="000000"/>
          <w:sz w:val="24"/>
        </w:rPr>
        <w:t>Partnership were then sold at Fair Market Value and then the proceeds were distributed in a complete liquidation of the Partnership in accordance with Section 4.1 of the LP Agreement and the provisions of this Agreement, will be immediately and automatically canceled and terminated on the Wind-Up Date, without payment of any consideration and without any action on the part of the Participant</w:t>
      </w:r>
      <w:r>
        <w:rPr>
          <w:rFonts w:ascii="Times New Roman;serif" w:hAnsi="Times New Roman;serif"/>
          <w:b w:val="false"/>
          <w:color w:val="000000"/>
          <w:sz w:val="2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ELECTION TO INCLUDE IN GROSS INCOME</w:t>
        <w:br/>
        <w:t xml:space="preserve">IN YEAR OF TRANSFER OF PROPERTY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83(B) OF</w:t>
        <w:br/>
        <w:t>THE INTERNAL REVENUE CODE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taxpayer hereby elects, pursuant to Section 83(b) of the Internal Revenue Code of 1986, as amended, to include in gross income as compensation for services the excess (if any) of the fair market value of the property described below over the amount paid for such property.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The name, taxpayer identification number, address of the undersigned, and the taxable</w:t>
      </w:r>
    </w:p>
    <w:p>
      <w:pPr>
        <w:pStyle w:val="TextBody"/>
        <w:bidi w:val="0"/>
        <w:spacing w:lineRule="auto" w:line="288" w:before="0" w:after="0"/>
        <w:jc w:val="left"/>
        <w:rPr/>
      </w:pPr>
      <w:r>
        <w:rPr>
          <w:rFonts w:ascii="Times New Roman;serif" w:hAnsi="Times New Roman;serif"/>
          <w:b w:val="false"/>
          <w:color w:val="000000"/>
          <w:sz w:val="24"/>
        </w:rPr>
        <w:t>year for which this election is being made are: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Name:    </w:t>
      </w:r>
      <w:r>
        <w:rPr>
          <w:rFonts w:ascii="Times New Roman;serif" w:hAnsi="Times New Roman;serif"/>
          <w:b w:val="false"/>
          <w:color w:val="000000"/>
          <w:sz w:val="24"/>
          <w:u w:val="single"/>
        </w:rPr>
        <w:t>Paul Taheri</w:t>
      </w:r>
    </w:p>
    <w:p>
      <w:pPr>
        <w:pStyle w:val="TextBody"/>
        <w:bidi w:val="0"/>
        <w:spacing w:lineRule="auto" w:line="288" w:before="0" w:after="0"/>
        <w:jc w:val="left"/>
        <w:rPr/>
      </w:pPr>
      <w:r>
        <w:rPr>
          <w:rFonts w:ascii="Times New Roman;serif" w:hAnsi="Times New Roman;serif"/>
          <w:b w:val="false"/>
          <w:color w:val="000000"/>
          <w:sz w:val="24"/>
        </w:rPr>
        <w:br/>
        <w:t>Address:</w:t>
      </w:r>
      <w:r>
        <w:rPr>
          <w:color w:val="000000"/>
          <w:u w:val="single"/>
        </w:rPr>
        <w:t xml:space="preserve">                             </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Social Security Number:</w:t>
      </w:r>
      <w:r>
        <w:rPr>
          <w:color w:val="000000"/>
          <w:u w:val="single"/>
        </w:rPr>
        <w:t>                    </w:t>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Taxable Year: 2026</w:t>
      </w:r>
    </w:p>
    <w:p>
      <w:pPr>
        <w:pStyle w:val="TextBody"/>
        <w:bidi w:val="0"/>
        <w:spacing w:lineRule="auto" w:line="288" w:before="0" w:after="240"/>
        <w:jc w:val="both"/>
        <w:rPr/>
      </w:pPr>
      <w:r>
        <w:rPr>
          <w:rFonts w:ascii="Times New Roman;serif" w:hAnsi="Times New Roman;serif"/>
          <w:b w:val="false"/>
          <w:color w:val="000000"/>
          <w:sz w:val="24"/>
        </w:rPr>
        <w:t>2.    The property with respect to which this election is being consists of 625,000 unvested Class B Units (the “</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 each of which represents an interest in the profits of TCO Group Holdings, L.P., a Delaware limited partnership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The date on which the Units were transferred to the undersigned was August 17, 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The Award is subject to service-based and performance-based vesting conditions, in each case, subject to taxpayer’s continued service through the applicable vesting date(s). Upon cessation of the taxpayer’s service, all Units, to the extent not vested, will be forfeited.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The fair market value of the Award at the time of transfer (determined without regard to any restrictions other than those which by their terms will never lapse) is $0.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The amount paid for the Award by the undersigned was $0.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The amount to include in gross income is $0.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will file this election with the Internal Revenue Service office with which the taxpayer files his or her annual income tax return not later than 30 days after the date of the transfer of the property. A copy of the election will also be furnished to the Partnership. The undersigned is the person performing the services in connection with which the property was transferred.</w:t>
      </w:r>
    </w:p>
    <w:p>
      <w:pPr>
        <w:pStyle w:val="TextBody"/>
        <w:bidi w:val="0"/>
        <w:spacing w:lineRule="auto" w:line="288"/>
        <w:jc w:val="left"/>
        <w:rPr/>
      </w:pPr>
      <w:r>
        <w:rPr>
          <w:rFonts w:ascii="Times New Roman;serif" w:hAnsi="Times New Roman;serif"/>
          <w:b w:val="false"/>
          <w:color w:val="000000"/>
          <w:sz w:val="24"/>
        </w:rPr>
        <w:t>Dated:</w:t>
      </w:r>
      <w:r>
        <w:rPr>
          <w:color w:val="000000"/>
          <w:u w:val="single"/>
        </w:rPr>
        <w:t>                </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4"/>
        </w:rPr>
        <w:t>Taxpayer:</w:t>
      </w:r>
      <w:r>
        <w:rPr>
          <w:color w:val="000000"/>
          <w:u w:val="single"/>
        </w:rPr>
        <w:t>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12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SPOUSAL CONSENT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The undersigned represents that the undersigned is the spouse of:</w:t>
      </w:r>
    </w:p>
    <w:p>
      <w:pPr>
        <w:pStyle w:val="TextBody"/>
        <w:bidi w:val="0"/>
        <w:spacing w:lineRule="auto" w:line="556" w:before="0" w:after="0"/>
        <w:jc w:val="center"/>
        <w:rPr/>
      </w:pPr>
      <w:r>
        <w:rPr>
          <w:rFonts w:ascii="Times New Roman;serif" w:hAnsi="Times New Roman;serif"/>
          <w:b w:val="false"/>
          <w:color w:val="000000"/>
          <w:sz w:val="24"/>
        </w:rPr>
        <w:t>Paul Taheri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and that the undersigned is familiar with the terms of the Award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executed by the Participant dated as of August 17, 2026, as well as the Plan and the LP Agreement referred to therein. The undersigned is aware that the Agreement, the Plan and LP Agreement provide, among other things, certain restrictions on transfer, certain forced sale and certain buyback rights relating to Participant’s Class B Units. The undersigned hereby agrees that the interest of the undersigned’s spouse in all property which is the subject of the Agreement shall be irrevocably bound by the terms of the Agreement and by any amendment, modification, waiver or termination signed by the undersigned’s spouse. The undersigned further agrees that the undersigned’s community property interest in all property which is the subject of the Agreement shall be irrevocably bound by the terms of the Agreement, and that the Agreement shall be binding on the executors, administrators, heirs and assigns of the undersigned. The undersigned further authorizes the undersigned’s spouse to amend, modify or terminate the Agreement, or waive any rights thereunder, and that each such amendment, modification, waiver or termination signed by the undersigned’s spouse shall be binding on the community property interest of undersigned in all property which is the subject of such Agreement and on the executors, administrators, heirs and assigns of the undersigned, each as fully as if the undersigned had signed such amendment, modification, waiver or termination.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Executed as of the ____ day of _____________, 2026.</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288" w:before="0" w:after="0"/>
        <w:jc w:val="center"/>
        <w:rPr/>
      </w:pPr>
      <w:r>
        <w:rPr>
          <w:rFonts w:ascii="Times New Roman;serif" w:hAnsi="Times New Roman;serif"/>
          <w:b/>
          <w:color w:val="000000"/>
          <w:sz w:val="24"/>
        </w:rPr>
        <w:br/>
      </w:r>
      <w:r>
        <w:rPr>
          <w:rFonts w:ascii="Times New Roman;serif" w:hAnsi="Times New Roman;serif"/>
          <w:b/>
          <w:color w:val="000000"/>
          <w:sz w:val="24"/>
          <w:u w:val="single"/>
        </w:rPr>
        <w:t>DEFINITIONS</w:t>
      </w:r>
    </w:p>
    <w:p>
      <w:pPr>
        <w:pStyle w:val="TextBody"/>
        <w:bidi w:val="0"/>
        <w:spacing w:before="0" w:after="0"/>
        <w:jc w:val="center"/>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when used with reference to another Person means any Person, directly or indirectly, through one or more intermediaries, controlling, controlled by, or under common control with, such other Person.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Apax Investor</w:t>
      </w:r>
      <w:r>
        <w:rPr>
          <w:color w:val="000000"/>
        </w:rPr>
        <w:t xml:space="preserve">” </w:t>
      </w:r>
      <w:r>
        <w:rPr>
          <w:rFonts w:ascii="Times New Roman;serif" w:hAnsi="Times New Roman;serif"/>
          <w:b w:val="false"/>
          <w:color w:val="000000"/>
          <w:sz w:val="24"/>
        </w:rPr>
        <w:t>means Ignite Aggregator LP (together with its permitted transferees (as set forth in the LP Agreement)).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(a) the sale of all or substantially all of the assets of the Partnership and its subsidiaries (as set forth in the LP Agreement) on a consolidated basis to a Person, or group of Persons acting in concert, who are Independent Third Parties, (b) a merger, reorganization, consolidation or other similar corporate transaction in which the outstanding voting securities (as set forth in the LP Agreement) of the Partnership are exchanged for securities of the successor entity and, immediately after such transaction, a Person or group of Persons acting in concert, who are Independent Third Parties, beneficially own a majority of the outstanding voting securities, and rights to the majority of the residual economic interests in the common equity, of the successor entity (or a parent entity thereof), or (c) the acquisition (whether by sale, merger or otherwise) of a majority of the outstanding voting securities, and rights to the majority of the residual economic interests in the common equity, of the Partnership by a Person, or group of Persons acting in concert, who are Independent Third Parties. For the sake of clarity, in no event will a transaction be a Change of Control if either Sponsor Investor or its Affiliates continue to control or jointly control the Partnership or its subsidiaries.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Equity Securities</w:t>
      </w:r>
      <w:r>
        <w:rPr>
          <w:color w:val="000000"/>
        </w:rPr>
        <w:t xml:space="preserve">” </w:t>
      </w:r>
      <w:r>
        <w:rPr>
          <w:rFonts w:ascii="Times New Roman;serif" w:hAnsi="Times New Roman;serif"/>
          <w:b w:val="false"/>
          <w:color w:val="000000"/>
          <w:sz w:val="24"/>
        </w:rPr>
        <w:t>means, as applicable, (i) any capital stock, partnership or membership interests or other share capital, (ii) any securities directly or indirectly convertible into or exchangeable or exercisable for any capital stock, partnership or membership interests or other share capital or containing any profit participation features, (iii) any rights or options directly or indirectly to subscribe for or to purchase any capital stock, partnership or membership interests, other share capital or securities containing any profit participation features or to subscribe for or to purchase any securities directly or indirectly convertible into or exchangeable or exercisable for any capital stock, partnership or membership interests, other share capital or securities containing any profit participation features, (iv) any share appreciation rights, phantom share rights or other similar rights, or (v) any Equity Securities issued or issuable with respect to any of the securities referred to in clauses (i) through (iv) above in connection with a combination of shares, recapitalization, merger, consolidation or other reorganization.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Independent Third Party</w:t>
      </w:r>
      <w:r>
        <w:rPr>
          <w:color w:val="000000"/>
        </w:rPr>
        <w:t xml:space="preserve">” </w:t>
      </w:r>
      <w:r>
        <w:rPr>
          <w:rFonts w:ascii="Times New Roman;serif" w:hAnsi="Times New Roman;serif"/>
          <w:b w:val="false"/>
          <w:color w:val="000000"/>
          <w:sz w:val="24"/>
        </w:rPr>
        <w:t xml:space="preserve">means any Person that, as of the time of determination, is not an Affiliate of the Apax Investor or the WCAS Investor.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Measurement Date</w:t>
      </w:r>
      <w:r>
        <w:rPr>
          <w:color w:val="000000"/>
        </w:rPr>
        <w:t xml:space="preserve">” </w:t>
      </w:r>
      <w:r>
        <w:rPr>
          <w:rFonts w:ascii="Times New Roman;serif" w:hAnsi="Times New Roman;serif"/>
          <w:b w:val="false"/>
          <w:color w:val="000000"/>
          <w:sz w:val="24"/>
        </w:rPr>
        <w:t>means any date on or after the Grant Date on which Apax Investor receives Apax Returns.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Partnership Representative</w:t>
      </w:r>
      <w:r>
        <w:rPr>
          <w:color w:val="000000"/>
        </w:rPr>
        <w:t xml:space="preserve">” </w:t>
      </w:r>
      <w:r>
        <w:rPr>
          <w:rFonts w:ascii="Times New Roman;serif" w:hAnsi="Times New Roman;serif"/>
          <w:b w:val="false"/>
          <w:color w:val="000000"/>
          <w:sz w:val="24"/>
        </w:rPr>
        <w:t xml:space="preserve">means TCO Group Holdings GP, LLC and any successor to such Person, or its designee, shall be the “partnership representative” (within the meaning of Code Section 6223(a)) of the Partnership.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partnership (including a limited partnership), a corporation, a limited liability company, an association, a joint stock company, a trust, a joint venture, an unincorporated organization, association or other entity or any foreign, United States federal, state, county provincial or local governmental or any subdivision, department, instrumentality, authority, regulatory commission, board, bureau, agency, court, tribunal, arbitral (public or private), judicial, executive or regulatory or administrative body.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Service Provider</w:t>
      </w:r>
      <w:r>
        <w:rPr>
          <w:color w:val="000000"/>
        </w:rPr>
        <w:t xml:space="preserve">” </w:t>
      </w:r>
      <w:r>
        <w:rPr>
          <w:rFonts w:ascii="Times New Roman;serif" w:hAnsi="Times New Roman;serif"/>
          <w:b w:val="false"/>
          <w:color w:val="000000"/>
          <w:sz w:val="24"/>
        </w:rPr>
        <w:t>means any director, officer, observer, employee, manager, consultant or independent contractor providing services to or for the benefit of the Partnership or any of its subsidiaries (as set forth in the LP Agreement). With respect to any particular Service Provider, as used herein, “Service Provider” shall also include any Person or permitted transferee (as set forth in the LP Agreement) to whom or which the Service Provider has elected Units or other Equity Securities of the Partnership be issued in lieu of such Service Provider directly receiving such Units or other Equity Securities (whether or not such Service Provider holds any Units or other Equity Securities of the Partnership).</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Sponsor Investor</w:t>
      </w:r>
      <w:r>
        <w:rPr>
          <w:color w:val="000000"/>
        </w:rPr>
        <w:t xml:space="preserve">” </w:t>
      </w:r>
      <w:r>
        <w:rPr>
          <w:rFonts w:ascii="Times New Roman;serif" w:hAnsi="Times New Roman;serif"/>
          <w:b w:val="false"/>
          <w:color w:val="000000"/>
          <w:sz w:val="24"/>
        </w:rPr>
        <w:t xml:space="preserve">means each of the Apax Investor and the WCAS Investor (together with each of their permitted transferees (as set forth in the LP Agreement)). </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val="false"/>
          <w:color w:val="000000"/>
          <w:sz w:val="24"/>
          <w:u w:val="single"/>
        </w:rPr>
        <w:t>WCAS Investor</w:t>
      </w:r>
      <w:r>
        <w:rPr>
          <w:color w:val="000000"/>
        </w:rPr>
        <w:t xml:space="preserve">” </w:t>
      </w:r>
      <w:r>
        <w:rPr>
          <w:rFonts w:ascii="Times New Roman;serif" w:hAnsi="Times New Roman;serif"/>
          <w:b w:val="false"/>
          <w:color w:val="000000"/>
          <w:sz w:val="24"/>
        </w:rPr>
        <w:t>means, collectively, Welsh, Carson, Anderson &amp; Stowe XII, L.P., Welsh, Carson, Anderson &amp; Stowe XII Delaware, L.P., Welsh, Carson, Anderson &amp; Stowe XII Delaware II, L.P., Welsh, Carson, Anderson &amp; Stowe XII Cayman, L.P., WCAS XII Co-Investors LLC, WCAS Management Corporation and WCAS Co-Invest Holdco, L.P. (together with each of their permitted transferees, as set forth in the LP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21</w:t>
      </w:r>
    </w:p>
    <w:tbl>
      <w:tblPr>
        <w:tblW w:w="10205" w:type="dxa"/>
        <w:jc w:val="left"/>
        <w:tblInd w:w="0" w:type="dxa"/>
        <w:tblLayout w:type="fixed"/>
        <w:tblCellMar>
          <w:top w:w="28" w:type="dxa"/>
          <w:left w:w="28" w:type="dxa"/>
          <w:bottom w:w="28" w:type="dxa"/>
          <w:right w:w="28" w:type="dxa"/>
        </w:tblCellMar>
      </w:tblPr>
      <w:tblGrid>
        <w:gridCol w:w="1103"/>
        <w:gridCol w:w="817"/>
        <w:gridCol w:w="826"/>
        <w:gridCol w:w="1900"/>
        <w:gridCol w:w="1809"/>
        <w:gridCol w:w="1825"/>
        <w:gridCol w:w="562"/>
        <w:gridCol w:w="562"/>
        <w:gridCol w:w="801"/>
      </w:tblGrid>
      <w:tr>
        <w:trPr/>
        <w:tc>
          <w:tcPr>
            <w:tcW w:w="110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color w:val="000000"/>
                <w:sz w:val="24"/>
                <w:u w:val="single"/>
              </w:rPr>
            </w:pPr>
            <w:r>
              <w:rPr>
                <w:rFonts w:ascii="Arial;sans-serif" w:hAnsi="Arial;sans-serif"/>
                <w:b/>
                <w:color w:val="000000"/>
                <w:sz w:val="24"/>
                <w:u w:val="single"/>
              </w:rPr>
              <w:t>Entity Name</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color w:val="000000"/>
                <w:sz w:val="24"/>
                <w:u w:val="single"/>
              </w:rPr>
            </w:pPr>
            <w:r>
              <w:rPr>
                <w:rFonts w:ascii="Arial;sans-serif" w:hAnsi="Arial;sans-serif"/>
                <w:b/>
                <w:color w:val="000000"/>
                <w:sz w:val="24"/>
                <w:u w:val="single"/>
              </w:rPr>
              <w:t>DBA</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color w:val="000000"/>
                <w:sz w:val="24"/>
                <w:u w:val="single"/>
              </w:rPr>
            </w:pPr>
            <w:r>
              <w:rPr>
                <w:rFonts w:ascii="Arial;sans-serif" w:hAnsi="Arial;sans-serif"/>
                <w:b/>
                <w:color w:val="000000"/>
                <w:sz w:val="24"/>
                <w:u w:val="single"/>
              </w:rPr>
              <w:t>State of Incorporation</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ConcertoCare PACE of Bakersfield,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California PACE - Bakersfield</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ConcertoHealth PACE of Los Angeles,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California PACE - Crenshaw</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California PACE - Los Angeles,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California PACE - Sacramento,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Florida PACE II,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Florida PACE - Orlando</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Florida PACE,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Florida PACE - Tampa</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Greater Colorado PACE - Loveland,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Holding Corp.</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Investment Holdings,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Pennsylvania LIFE,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Pennsylvania LIFE - Allegheny InnovAge Pennsylvania LIFE - Pennypack InnovAge Pennsylvania LIFE - Henry Ave. InnovAge Pennsylvania LIFE - St Bart's</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Pennsylvania</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Pharmacy,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InnServioRx</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Virginia PACE - Charlottesville,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Virginia PACE - Blue Ridge</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Virginia</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Virginia PACE - Roanoke Valley,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Virginia</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Virginia PACE II,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Virginia PACE - Richmond InnovAge Virginia PACE - Peninsula</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Virginia</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Innovative Care Management, Inc.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Senior Life at Home II,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Senior Life at Home,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TCO Eastern Holdings,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TCO Intermediate Holdings, Inc.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TCO Western Holdings,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TLC Inland, LLC</w:t>
            </w:r>
          </w:p>
        </w:tc>
        <w:tc>
          <w:tcPr>
            <w:tcW w:w="5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Delaware</w:t>
            </w:r>
          </w:p>
        </w:tc>
      </w:tr>
      <w:tr>
        <w:trPr/>
        <w:tc>
          <w:tcPr>
            <w:tcW w:w="27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Total Community Care, LLC</w:t>
            </w:r>
          </w:p>
        </w:tc>
        <w:tc>
          <w:tcPr>
            <w:tcW w:w="5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New Mexico PACE</w:t>
            </w:r>
          </w:p>
        </w:tc>
        <w:tc>
          <w:tcPr>
            <w:tcW w:w="1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r>
        <w:trPr/>
        <w:tc>
          <w:tcPr>
            <w:tcW w:w="27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Total Community Options, Inc.</w:t>
            </w:r>
          </w:p>
        </w:tc>
        <w:tc>
          <w:tcPr>
            <w:tcW w:w="5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w:t>
            </w:r>
          </w:p>
        </w:tc>
        <w:tc>
          <w:tcPr>
            <w:tcW w:w="19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9"/>
        <w:gridCol w:w="569"/>
        <w:gridCol w:w="572"/>
        <w:gridCol w:w="2538"/>
        <w:gridCol w:w="2363"/>
        <w:gridCol w:w="2370"/>
        <w:gridCol w:w="334"/>
        <w:gridCol w:w="334"/>
        <w:gridCol w:w="476"/>
      </w:tblGrid>
      <w:tr>
        <w:trPr/>
        <w:tc>
          <w:tcPr>
            <w:tcW w:w="6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Total Longterm Care Solutions, LLC</w:t>
            </w:r>
          </w:p>
        </w:tc>
        <w:tc>
          <w:tcPr>
            <w:tcW w:w="72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 Lowry</w:t>
            </w:r>
          </w:p>
        </w:tc>
        <w:tc>
          <w:tcPr>
            <w:tcW w:w="11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r>
        <w:trPr/>
        <w:tc>
          <w:tcPr>
            <w:tcW w:w="1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Total Longterm Care, Inc.</w:t>
            </w:r>
          </w:p>
        </w:tc>
        <w:tc>
          <w:tcPr>
            <w:tcW w:w="72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InnovAge Colorado PACE - Denver InnovAge Colorado PACE - Lakewood InnovAge Colorado PACE - Thornton InnovAge Colorado PACE - Aurora InnovAge Colorado PACE - Loveland InnovAge Colorado PACE - Pueblo InnovAge California PACE - Inland Empire</w:t>
            </w:r>
          </w:p>
        </w:tc>
        <w:tc>
          <w:tcPr>
            <w:tcW w:w="11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160"/>
              <w:jc w:val="left"/>
              <w:rPr>
                <w:rFonts w:ascii="Arial;sans-serif" w:hAnsi="Arial;sans-serif"/>
                <w:b w:val="false"/>
                <w:color w:val="000000"/>
                <w:sz w:val="24"/>
              </w:rPr>
            </w:pPr>
            <w:r>
              <w:rPr>
                <w:rFonts w:ascii="Arial;sans-serif" w:hAnsi="Arial;sans-serif"/>
                <w:b w:val="false"/>
                <w:color w:val="000000"/>
                <w:sz w:val="24"/>
              </w:rPr>
              <w:t>Colorado</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51" w:after="283"/>
        <w:jc w:val="left"/>
        <w:rPr>
          <w:rFonts w:ascii="Times New Roman;serif" w:hAnsi="Times New Roman;serif"/>
          <w:b/>
          <w:color w:val="231F20"/>
          <w:sz w:val="20"/>
        </w:rPr>
      </w:pPr>
      <w:r>
        <w:rPr>
          <w:rFonts w:ascii="Times New Roman;serif" w:hAnsi="Times New Roman;serif"/>
          <w:b/>
          <w:color w:val="231F20"/>
          <w:sz w:val="20"/>
        </w:rPr>
        <w:t xml:space="preserve">CONSENT OF INDEPENDENT REGISTERED PUBLIC ACCOUNTING FIRM </w:t>
      </w:r>
    </w:p>
    <w:p>
      <w:pPr>
        <w:pStyle w:val="TextBody"/>
        <w:bidi w:val="0"/>
        <w:spacing w:before="51" w:after="283"/>
        <w:jc w:val="left"/>
        <w:rPr/>
      </w:pPr>
      <w:r>
        <w:rPr/>
      </w:r>
    </w:p>
    <w:p>
      <w:pPr>
        <w:pStyle w:val="TextBody"/>
        <w:bidi w:val="0"/>
        <w:spacing w:lineRule="auto" w:line="300" w:before="0" w:after="160"/>
        <w:jc w:val="left"/>
        <w:rPr>
          <w:rFonts w:ascii="Times New Roman;serif" w:hAnsi="Times New Roman;serif"/>
          <w:b w:val="false"/>
          <w:color w:val="231F20"/>
          <w:sz w:val="20"/>
        </w:rPr>
      </w:pPr>
      <w:r>
        <w:rPr>
          <w:rFonts w:ascii="Times New Roman;serif" w:hAnsi="Times New Roman;serif"/>
          <w:b w:val="false"/>
          <w:color w:val="231F20"/>
          <w:sz w:val="20"/>
        </w:rPr>
        <w:t>We consent to the incorporation by reference in the registration statements on Form S-3 (No. 333- 297888) and on Form S-8 (No. 333- 253902) of our report dated September 8, 2026, relating to the financial statements of InnovAge Holding Corp. and the effectiveness of InnovAge Holding Corp's internal control over financial reporting appearing in this Annual Report on Form 10-K for the year ended June 30, 2026.</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51" w:after="283"/>
        <w:jc w:val="left"/>
        <w:rPr>
          <w:rFonts w:ascii="Times New Roman;serif" w:hAnsi="Times New Roman;serif"/>
          <w:b w:val="false"/>
          <w:color w:val="231F20"/>
          <w:sz w:val="20"/>
        </w:rPr>
      </w:pPr>
      <w:r>
        <w:rPr>
          <w:rFonts w:ascii="Times New Roman;serif" w:hAnsi="Times New Roman;serif"/>
          <w:b w:val="false"/>
          <w:color w:val="231F20"/>
          <w:sz w:val="20"/>
        </w:rPr>
        <w:t>Denver, CO</w:t>
      </w:r>
    </w:p>
    <w:p>
      <w:pPr>
        <w:pStyle w:val="TextBody"/>
        <w:bidi w:val="0"/>
        <w:spacing w:lineRule="auto" w:line="288" w:before="51" w:after="283"/>
        <w:jc w:val="left"/>
        <w:rPr>
          <w:rFonts w:ascii="Times New Roman;serif" w:hAnsi="Times New Roman;serif"/>
          <w:b w:val="false"/>
          <w:color w:val="231F20"/>
          <w:sz w:val="20"/>
        </w:rPr>
      </w:pPr>
      <w:r>
        <w:rPr>
          <w:rFonts w:ascii="Times New Roman;serif" w:hAnsi="Times New Roman;serif"/>
          <w:b w:val="false"/>
          <w:color w:val="231F20"/>
          <w:sz w:val="20"/>
        </w:rPr>
        <w:t>September 8,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Patrick Blair,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InnovAge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69" w:type="dxa"/>
        <w:jc w:val="left"/>
        <w:tblInd w:w="0" w:type="dxa"/>
        <w:tblLayout w:type="fixed"/>
        <w:tblCellMar>
          <w:top w:w="28" w:type="dxa"/>
          <w:left w:w="28" w:type="dxa"/>
          <w:bottom w:w="28" w:type="dxa"/>
          <w:right w:w="28" w:type="dxa"/>
        </w:tblCellMar>
      </w:tblPr>
      <w:tblGrid>
        <w:gridCol w:w="764"/>
        <w:gridCol w:w="673"/>
        <w:gridCol w:w="677"/>
        <w:gridCol w:w="599"/>
        <w:gridCol w:w="599"/>
        <w:gridCol w:w="85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Benjamin C. Adams,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InnovAge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4" w:type="dxa"/>
        <w:jc w:val="left"/>
        <w:tblInd w:w="0" w:type="dxa"/>
        <w:tblLayout w:type="fixed"/>
        <w:tblCellMar>
          <w:top w:w="28" w:type="dxa"/>
          <w:left w:w="28" w:type="dxa"/>
          <w:bottom w:w="28" w:type="dxa"/>
          <w:right w:w="28" w:type="dxa"/>
        </w:tblCellMar>
      </w:tblPr>
      <w:tblGrid>
        <w:gridCol w:w="764"/>
        <w:gridCol w:w="673"/>
        <w:gridCol w:w="677"/>
        <w:gridCol w:w="604"/>
        <w:gridCol w:w="604"/>
        <w:gridCol w:w="86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Rule 18 U.S.C. Section 1350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InnovAge Holding Corp. (the “Company”) for the year ended June 30, 2026, as filed with the U.S. Securities and Exchange Commission (the “Report”), I, Patrick Blair, Chief Executive Officer of the Company, hereby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69" w:type="dxa"/>
        <w:jc w:val="left"/>
        <w:tblInd w:w="0" w:type="dxa"/>
        <w:tblLayout w:type="fixed"/>
        <w:tblCellMar>
          <w:top w:w="28" w:type="dxa"/>
          <w:left w:w="28" w:type="dxa"/>
          <w:bottom w:w="28" w:type="dxa"/>
          <w:right w:w="28" w:type="dxa"/>
        </w:tblCellMar>
      </w:tblPr>
      <w:tblGrid>
        <w:gridCol w:w="764"/>
        <w:gridCol w:w="673"/>
        <w:gridCol w:w="677"/>
        <w:gridCol w:w="599"/>
        <w:gridCol w:w="599"/>
        <w:gridCol w:w="85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Rule 18 U.S.C. Section 1350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InnovAge Holding Corp. (the “Company”) for the year ended June 30, 2026, as filed with the U.S. Securities and Exchange Commission (the “Report”), I, Benjamin C. Adams, Chief Financial Officer of the Company, hereby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84" w:type="dxa"/>
        <w:jc w:val="left"/>
        <w:tblInd w:w="0" w:type="dxa"/>
        <w:tblLayout w:type="fixed"/>
        <w:tblCellMar>
          <w:top w:w="28" w:type="dxa"/>
          <w:left w:w="28" w:type="dxa"/>
          <w:bottom w:w="28" w:type="dxa"/>
          <w:right w:w="28" w:type="dxa"/>
        </w:tblCellMar>
      </w:tblPr>
      <w:tblGrid>
        <w:gridCol w:w="764"/>
        <w:gridCol w:w="673"/>
        <w:gridCol w:w="677"/>
        <w:gridCol w:w="604"/>
        <w:gridCol w:w="604"/>
        <w:gridCol w:w="86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4376/000110465921033328/tm2037889d18_ex3-1.htm" TargetMode="External"/><Relationship Id="rId4" Type="http://schemas.openxmlformats.org/officeDocument/2006/relationships/hyperlink" Target="https://www.sec.gov/Archives/edgar/data/1834376/000183437625000003/ex32-innvdeamendment.htm" TargetMode="External"/><Relationship Id="rId5" Type="http://schemas.openxmlformats.org/officeDocument/2006/relationships/hyperlink" Target="https://www.sec.gov/Archives/edgar/data/1834376/000110465921033328/tm2037889d18_ex3-2.htm" TargetMode="External"/><Relationship Id="rId6" Type="http://schemas.openxmlformats.org/officeDocument/2006/relationships/hyperlink" Target="https://www.sec.gov/Archives/edgar/data/1834376/000183437625000062/ex41-descriptionofsecuriti.htm" TargetMode="External"/><Relationship Id="rId7" Type="http://schemas.openxmlformats.org/officeDocument/2006/relationships/hyperlink" Target="https://www.sec.gov/Archives/edgar/data/1834376/000183437625000062/ex41-descriptionofsecuriti.htm" TargetMode="External"/><Relationship Id="rId8" Type="http://schemas.openxmlformats.org/officeDocument/2006/relationships/hyperlink" Target="https://www.sec.gov/Archives/edgar/data/1834376/000183437625000062/ex41-descriptionofsecuriti.htm" TargetMode="External"/><Relationship Id="rId9" Type="http://schemas.openxmlformats.org/officeDocument/2006/relationships/hyperlink" Target="https://www.sec.gov/Archives/edgar/data/1834376/000183437625000062/ex41-descriptionofsecuriti.htm" TargetMode="External"/><Relationship Id="rId10" Type="http://schemas.openxmlformats.org/officeDocument/2006/relationships/hyperlink" Target="https://www.sec.gov/Archives/edgar/data/1834376/000183437625000062/ex41-descriptionofsecuriti.htm" TargetMode="External"/><Relationship Id="rId11" Type="http://schemas.openxmlformats.org/officeDocument/2006/relationships/hyperlink" Target="https://www.sec.gov/Archives/edgar/data/1834376/000110465921033328/tm2037889d18_ex4-1.htm" TargetMode="External"/><Relationship Id="rId12" Type="http://schemas.openxmlformats.org/officeDocument/2006/relationships/hyperlink" Target="https://www.sec.gov/Archives/edgar/data/1834376/000110465921033328/tm2037889d18_ex10-1.htm" TargetMode="External"/><Relationship Id="rId13" Type="http://schemas.openxmlformats.org/officeDocument/2006/relationships/hyperlink" Target="https://www.sec.gov/Archives/edgar/data/1834376/000110465921035601/tm2037889d20_ex10-1.htm" TargetMode="External"/><Relationship Id="rId14" Type="http://schemas.openxmlformats.org/officeDocument/2006/relationships/hyperlink" Target="https://www.sec.gov/Archives/edgar/data/1834376/000183437623000017/ex103-innovagexamendment.htm" TargetMode="External"/><Relationship Id="rId15" Type="http://schemas.openxmlformats.org/officeDocument/2006/relationships/hyperlink" Target="https://www.sec.gov/Archives/edgar/data/1834376/000183437625000054/ex101amendmentno2tocredi.htm" TargetMode="External"/><Relationship Id="rId16" Type="http://schemas.openxmlformats.org/officeDocument/2006/relationships/hyperlink" Target="https://www.sec.gov/Archives/edgar/data/1834376/000110465921014071/tm2037889d5_ex10-2.htm" TargetMode="External"/><Relationship Id="rId17" Type="http://schemas.openxmlformats.org/officeDocument/2006/relationships/hyperlink" Target="https://www.sec.gov/Archives/edgar/data/1834376/000110465921137649/tm2132692d1_ex10-1.htm" TargetMode="External"/><Relationship Id="rId18" Type="http://schemas.openxmlformats.org/officeDocument/2006/relationships/hyperlink" Target="https://www.sec.gov/Archives/edgar/data/1834376/000183437624000080/ex104-amendmenttoceoemploy.htm" TargetMode="External"/><Relationship Id="rId19" Type="http://schemas.openxmlformats.org/officeDocument/2006/relationships/hyperlink" Target="https://www.sec.gov/Archives/edgar/data/1834376/000110465923097754/tm2325323d1_ex10-1.htm" TargetMode="External"/><Relationship Id="rId20" Type="http://schemas.openxmlformats.org/officeDocument/2006/relationships/hyperlink" Target="https://www.sec.gov/Archives/edgar/data/1834376/000183437625000062/ex109-tcogroupholdingslpxp.htm" TargetMode="External"/><Relationship Id="rId21" Type="http://schemas.openxmlformats.org/officeDocument/2006/relationships/hyperlink" Target="https://www.sec.gov/Archives/edgar/data/1834376/000183437626000025/jenniferbrowne-jbrowneem.htm" TargetMode="External"/><Relationship Id="rId22" Type="http://schemas.openxmlformats.org/officeDocument/2006/relationships/hyperlink" Target="https://www.sec.gov/Archives/edgar/data/1834376/000183437626000025/jenniferbrowne-tcoawarde.htm" TargetMode="External"/><Relationship Id="rId23" Type="http://schemas.openxmlformats.org/officeDocument/2006/relationships/hyperlink" Target="https://www.sec.gov/Archives/edgar/data/1834376/000110465923078256/tm2319005d1_ex10-1.htm" TargetMode="External"/><Relationship Id="rId24" Type="http://schemas.openxmlformats.org/officeDocument/2006/relationships/hyperlink" Target="https://www.sec.gov/Archives/edgar/data/1834376/000110465923078256/tm2319005d1_ex10-2.htm" TargetMode="External"/><Relationship Id="rId25" Type="http://schemas.openxmlformats.org/officeDocument/2006/relationships/hyperlink" Target="https://www.sec.gov/Archives/edgar/data/1834376/000183437625000062/ex1014-tcogroupholdingslpx.htm" TargetMode="External"/><Relationship Id="rId26" Type="http://schemas.openxmlformats.org/officeDocument/2006/relationships/hyperlink" Target="https://www.sec.gov/Archives/edgar/data/1834376/000155837022014380/tmb-20220630xex10d6.htm" TargetMode="External"/><Relationship Id="rId27" Type="http://schemas.openxmlformats.org/officeDocument/2006/relationships/hyperlink" Target="https://www.sec.gov/Archives/edgar/data/1834376/000110465923127341/tm2333148d1_ex10-1.htm" TargetMode="External"/><Relationship Id="rId28" Type="http://schemas.openxmlformats.org/officeDocument/2006/relationships/hyperlink" Target="https://www.sec.gov/Archives/edgar/data/1834376/000183437625000062/ex1017-tcogroupholdingslpx.htm" TargetMode="External"/><Relationship Id="rId29" Type="http://schemas.openxmlformats.org/officeDocument/2006/relationships/hyperlink" Target="https://www.sec.gov/Archives/edgar/data/1834376/000110465921032425/tm2037889d8_ex10-1.htm" TargetMode="External"/><Relationship Id="rId30" Type="http://schemas.openxmlformats.org/officeDocument/2006/relationships/hyperlink" Target="https://www.sec.gov/Archives/edgar/data/1834376/000183437625000074/innovage-meredithdelkea922.htm" TargetMode="External"/><Relationship Id="rId31" Type="http://schemas.openxmlformats.org/officeDocument/2006/relationships/hyperlink" Target="https://www.sec.gov/Archives/edgar/data/1834376/000183437625000074/tcogroupholdings_lp-profit.htm" TargetMode="External"/><Relationship Id="rId32" Type="http://schemas.openxmlformats.org/officeDocument/2006/relationships/hyperlink" Target="https://www.sec.gov/Archives/edgar/data/1834376/000183437625000074/tcogroupholdings_lp-profit.htm" TargetMode="External"/><Relationship Id="rId33" Type="http://schemas.openxmlformats.org/officeDocument/2006/relationships/hyperlink" Target="https://www.sec.gov/Archives/edgar/data/1834376/000183437625000074/tcogroupholdings_lp-profit.htm" TargetMode="External"/><Relationship Id="rId34" Type="http://schemas.openxmlformats.org/officeDocument/2006/relationships/hyperlink" Target="https://www.sec.gov/Archives/edgar/data/1834376/000183437625000074/tcogroupholdings_lp-profit.htm" TargetMode="External"/><Relationship Id="rId35" Type="http://schemas.openxmlformats.org/officeDocument/2006/relationships/hyperlink" Target="https://www.sec.gov/Archives/edgar/data/1834376/000183437623000017/ex1020-active_84672814x9.htm" TargetMode="External"/><Relationship Id="rId36" Type="http://schemas.openxmlformats.org/officeDocument/2006/relationships/hyperlink" Target="https://www.sec.gov/Archives/edgar/data/1834376/000110465921027152/tm2037889d8_ex10-9.htm" TargetMode="External"/><Relationship Id="rId37" Type="http://schemas.openxmlformats.org/officeDocument/2006/relationships/hyperlink" Target="https://www.sec.gov/Archives/edgar/data/1834376/000183437624000074/ex1019-revisedformofrestri.htm" TargetMode="External"/><Relationship Id="rId38" Type="http://schemas.openxmlformats.org/officeDocument/2006/relationships/hyperlink" Target="https://www.sec.gov/Archives/edgar/data/1834376/000183437625000062/ex19-insidertradingpolicy.htm" TargetMode="External"/><Relationship Id="rId39" Type="http://schemas.openxmlformats.org/officeDocument/2006/relationships/hyperlink" Target="https://www.sec.gov/ix?doc=/Archives/edgar/data/1834376/000183437624000074/innv-20240630.htm" TargetMode="External"/><Relationship Id="rId40" Type="http://schemas.openxmlformats.org/officeDocument/2006/relationships/image" Target="media/image2.png"/><Relationship Id="rId41" Type="http://schemas.openxmlformats.org/officeDocument/2006/relationships/image" Target="media/image3.png"/><Relationship Id="rId42" Type="http://schemas.openxmlformats.org/officeDocument/2006/relationships/image" Target="media/image4.pn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90842</Words>
  <Characters>507737</Characters>
  <CharactersWithSpaces>596914</CharactersWithSpaces>
  <Paragraphs>4104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