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9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33"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4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4" w:lineRule="exact"/>
        <w:rPr>
          <w:sz w:val="24"/>
          <w:szCs w:val="24"/>
          <w:color w:val="auto"/>
        </w:rPr>
      </w:pPr>
    </w:p>
    <w:p>
      <w:pPr>
        <w:ind w:left="4640" w:right="2000" w:hanging="2650"/>
        <w:spacing w:after="0" w:line="249" w:lineRule="auto"/>
        <w:tabs>
          <w:tab w:leader="none" w:pos="3003" w:val="left"/>
        </w:tabs>
        <w:numPr>
          <w:ilvl w:val="0"/>
          <w:numId w:val="1"/>
        </w:numPr>
        <w:rPr>
          <w:rFonts w:ascii="Wingdings" w:cs="Wingdings" w:eastAsia="Wingdings" w:hAnsi="Wingdings"/>
          <w:sz w:val="16"/>
          <w:szCs w:val="16"/>
          <w:b w:val="1"/>
          <w:bCs w:val="1"/>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 w:lineRule="exact"/>
        <w:rPr>
          <w:sz w:val="24"/>
          <w:szCs w:val="24"/>
          <w:color w:val="auto"/>
        </w:rPr>
      </w:pPr>
    </w:p>
    <w:p>
      <w:pPr>
        <w:jc w:val="center"/>
        <w:ind w:left="640"/>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2024</w:t>
      </w:r>
    </w:p>
    <w:p>
      <w:pPr>
        <w:spacing w:after="0" w:line="49" w:lineRule="exact"/>
        <w:rPr>
          <w:sz w:val="24"/>
          <w:szCs w:val="24"/>
          <w:color w:val="auto"/>
        </w:rPr>
      </w:pPr>
    </w:p>
    <w:p>
      <w:pPr>
        <w:jc w:val="center"/>
        <w:ind w:left="64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73" w:lineRule="exact"/>
        <w:rPr>
          <w:sz w:val="24"/>
          <w:szCs w:val="24"/>
          <w:color w:val="auto"/>
        </w:rPr>
      </w:pPr>
    </w:p>
    <w:p>
      <w:pPr>
        <w:ind w:left="3000" w:hanging="1000"/>
        <w:spacing w:after="0"/>
        <w:tabs>
          <w:tab w:leader="none" w:pos="3000" w:val="left"/>
        </w:tabs>
        <w:numPr>
          <w:ilvl w:val="0"/>
          <w:numId w:val="2"/>
        </w:numPr>
        <w:rPr>
          <w:rFonts w:ascii="Wingdings" w:cs="Wingdings" w:eastAsia="Wingdings" w:hAnsi="Wingdings"/>
          <w:sz w:val="16"/>
          <w:szCs w:val="16"/>
          <w:b w:val="1"/>
          <w:bCs w:val="1"/>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EXCHANGE ACT OF 1934</w:t>
      </w:r>
    </w:p>
    <w:p>
      <w:pPr>
        <w:spacing w:after="0" w:line="5"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 to _________</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Commission File Number: 001-40159</w:t>
      </w:r>
    </w:p>
    <w:p>
      <w:pPr>
        <w:spacing w:after="0" w:line="13"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2722245</wp:posOffset>
            </wp:positionH>
            <wp:positionV relativeFrom="paragraph">
              <wp:posOffset>4445</wp:posOffset>
            </wp:positionV>
            <wp:extent cx="1697355" cy="514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97355"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InnovAge Holding Corp.</w:t>
      </w:r>
    </w:p>
    <w:p>
      <w:pPr>
        <w:spacing w:after="0" w:line="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3"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77" w:lineRule="exact"/>
        <w:rPr>
          <w:sz w:val="24"/>
          <w:szCs w:val="24"/>
          <w:color w:val="auto"/>
        </w:rPr>
      </w:pPr>
    </w:p>
    <w:tbl>
      <w:tblPr>
        <w:tblLayout w:type="fixed"/>
        <w:tblInd w:w="1580" w:type="dxa"/>
        <w:tblCellMar>
          <w:top w:w="0" w:type="dxa"/>
          <w:left w:w="0" w:type="dxa"/>
          <w:bottom w:w="0" w:type="dxa"/>
          <w:right w:w="0" w:type="dxa"/>
        </w:tblCellMar>
      </w:tblPr>
      <w:tr>
        <w:trPr>
          <w:trHeight w:val="190"/>
        </w:trPr>
        <w:tc>
          <w:tcPr>
            <w:tcW w:w="6000" w:type="dxa"/>
            <w:vAlign w:val="bottom"/>
          </w:tcPr>
          <w:p>
            <w:pPr>
              <w:jc w:val="center"/>
              <w:ind w:right="3466"/>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5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81-0710819</w:t>
            </w:r>
          </w:p>
        </w:tc>
      </w:tr>
      <w:tr>
        <w:trPr>
          <w:trHeight w:val="161"/>
        </w:trPr>
        <w:tc>
          <w:tcPr>
            <w:tcW w:w="6000" w:type="dxa"/>
            <w:vAlign w:val="bottom"/>
          </w:tcPr>
          <w:p>
            <w:pPr>
              <w:jc w:val="center"/>
              <w:ind w:right="3466"/>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56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000" w:type="dxa"/>
            <w:vAlign w:val="bottom"/>
          </w:tcPr>
          <w:p>
            <w:pPr>
              <w:jc w:val="center"/>
              <w:ind w:right="346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56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201"/>
        </w:trPr>
        <w:tc>
          <w:tcPr>
            <w:tcW w:w="6000" w:type="dxa"/>
            <w:vAlign w:val="bottom"/>
          </w:tcPr>
          <w:p>
            <w:pPr>
              <w:jc w:val="center"/>
              <w:ind w:right="3466"/>
              <w:spacing w:after="0"/>
              <w:rPr>
                <w:sz w:val="20"/>
                <w:szCs w:val="20"/>
                <w:color w:val="auto"/>
              </w:rPr>
            </w:pPr>
            <w:r>
              <w:rPr>
                <w:rFonts w:ascii="Times New Roman" w:cs="Times New Roman" w:eastAsia="Times New Roman" w:hAnsi="Times New Roman"/>
                <w:sz w:val="14"/>
                <w:szCs w:val="14"/>
                <w:b w:val="1"/>
                <w:bCs w:val="1"/>
                <w:color w:val="auto"/>
              </w:rPr>
              <w:t>8950 E. Lowry Boulevard</w:t>
            </w:r>
          </w:p>
        </w:tc>
        <w:tc>
          <w:tcPr>
            <w:tcW w:w="156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80230</w:t>
            </w:r>
          </w:p>
        </w:tc>
      </w:tr>
      <w:tr>
        <w:trPr>
          <w:trHeight w:val="148"/>
        </w:trPr>
        <w:tc>
          <w:tcPr>
            <w:tcW w:w="6000" w:type="dxa"/>
            <w:vAlign w:val="bottom"/>
          </w:tcPr>
          <w:p>
            <w:pPr>
              <w:jc w:val="center"/>
              <w:ind w:right="3446"/>
              <w:spacing w:after="0" w:line="149" w:lineRule="exact"/>
              <w:rPr>
                <w:sz w:val="20"/>
                <w:szCs w:val="20"/>
                <w:color w:val="auto"/>
              </w:rPr>
            </w:pPr>
            <w:r>
              <w:rPr>
                <w:rFonts w:ascii="Times New Roman" w:cs="Times New Roman" w:eastAsia="Times New Roman" w:hAnsi="Times New Roman"/>
                <w:sz w:val="14"/>
                <w:szCs w:val="14"/>
                <w:b w:val="1"/>
                <w:bCs w:val="1"/>
                <w:color w:val="auto"/>
              </w:rPr>
              <w:t>Denver, CO</w:t>
            </w:r>
          </w:p>
        </w:tc>
        <w:tc>
          <w:tcPr>
            <w:tcW w:w="156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(Zip Code)</w:t>
            </w:r>
          </w:p>
        </w:tc>
      </w:tr>
      <w:tr>
        <w:trPr>
          <w:trHeight w:val="190"/>
        </w:trPr>
        <w:tc>
          <w:tcPr>
            <w:tcW w:w="6000" w:type="dxa"/>
            <w:vAlign w:val="bottom"/>
          </w:tcPr>
          <w:p>
            <w:pPr>
              <w:jc w:val="center"/>
              <w:ind w:right="346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560" w:type="dxa"/>
            <w:vAlign w:val="bottom"/>
          </w:tcPr>
          <w:p>
            <w:pPr>
              <w:spacing w:after="0"/>
              <w:rPr>
                <w:sz w:val="16"/>
                <w:szCs w:val="16"/>
                <w:color w:val="auto"/>
              </w:rPr>
            </w:pPr>
          </w:p>
        </w:tc>
      </w:tr>
      <w:tr>
        <w:trPr>
          <w:trHeight w:val="332"/>
        </w:trPr>
        <w:tc>
          <w:tcPr>
            <w:tcW w:w="6000" w:type="dxa"/>
            <w:vAlign w:val="bottom"/>
          </w:tcPr>
          <w:p>
            <w:pPr>
              <w:jc w:val="right"/>
              <w:ind w:right="1366"/>
              <w:spacing w:after="0"/>
              <w:rPr>
                <w:sz w:val="20"/>
                <w:szCs w:val="20"/>
                <w:color w:val="auto"/>
              </w:rPr>
            </w:pPr>
            <w:r>
              <w:rPr>
                <w:rFonts w:ascii="Times New Roman" w:cs="Times New Roman" w:eastAsia="Times New Roman" w:hAnsi="Times New Roman"/>
                <w:sz w:val="16"/>
                <w:szCs w:val="16"/>
                <w:b w:val="1"/>
                <w:bCs w:val="1"/>
                <w:color w:val="auto"/>
              </w:rPr>
              <w:t>(844) 803-8745</w:t>
            </w:r>
          </w:p>
        </w:tc>
        <w:tc>
          <w:tcPr>
            <w:tcW w:w="1560" w:type="dxa"/>
            <w:vAlign w:val="bottom"/>
          </w:tcPr>
          <w:p>
            <w:pPr>
              <w:spacing w:after="0"/>
              <w:rPr>
                <w:sz w:val="24"/>
                <w:szCs w:val="24"/>
                <w:color w:val="auto"/>
              </w:rPr>
            </w:pPr>
          </w:p>
        </w:tc>
      </w:tr>
      <w:tr>
        <w:trPr>
          <w:trHeight w:val="212"/>
        </w:trPr>
        <w:tc>
          <w:tcPr>
            <w:tcW w:w="6000" w:type="dxa"/>
            <w:vAlign w:val="bottom"/>
          </w:tcPr>
          <w:p>
            <w:pPr>
              <w:jc w:val="center"/>
              <w:ind w:left="2026"/>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1560" w:type="dxa"/>
            <w:vAlign w:val="bottom"/>
          </w:tcPr>
          <w:p>
            <w:pPr>
              <w:spacing w:after="0"/>
              <w:rPr>
                <w:sz w:val="18"/>
                <w:szCs w:val="18"/>
                <w:color w:val="auto"/>
              </w:rPr>
            </w:pPr>
          </w:p>
        </w:tc>
      </w:tr>
    </w:tbl>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Securities Act:</w:t>
      </w:r>
    </w:p>
    <w:p>
      <w:pPr>
        <w:spacing w:after="0" w:line="80" w:lineRule="exact"/>
        <w:rPr>
          <w:sz w:val="24"/>
          <w:szCs w:val="24"/>
          <w:color w:val="auto"/>
        </w:rPr>
      </w:pPr>
    </w:p>
    <w:tbl>
      <w:tblPr>
        <w:tblLayout w:type="fixed"/>
        <w:tblInd w:w="10" w:type="dxa"/>
        <w:tblCellMar>
          <w:top w:w="0" w:type="dxa"/>
          <w:left w:w="0" w:type="dxa"/>
          <w:bottom w:w="0" w:type="dxa"/>
          <w:right w:w="0" w:type="dxa"/>
        </w:tblCellMar>
      </w:tblPr>
      <w:tr>
        <w:trPr>
          <w:trHeight w:val="228"/>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4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4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57"/>
        </w:trPr>
        <w:tc>
          <w:tcPr>
            <w:tcW w:w="3760" w:type="dxa"/>
            <w:vAlign w:val="bottom"/>
            <w:tcBorders>
              <w:left w:val="single" w:sz="8" w:color="auto"/>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Common Stock, $0.001 par value</w:t>
            </w:r>
          </w:p>
        </w:tc>
        <w:tc>
          <w:tcPr>
            <w:tcW w:w="340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INNV</w:t>
            </w:r>
          </w:p>
        </w:tc>
        <w:tc>
          <w:tcPr>
            <w:tcW w:w="410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The Nasdaq Stock Market LLC (Nasdaq Global Select</w:t>
            </w:r>
          </w:p>
        </w:tc>
      </w:tr>
      <w:tr>
        <w:trPr>
          <w:trHeight w:val="214"/>
        </w:trPr>
        <w:tc>
          <w:tcPr>
            <w:tcW w:w="3760" w:type="dxa"/>
            <w:vAlign w:val="bottom"/>
            <w:tcBorders>
              <w:left w:val="single" w:sz="8" w:color="auto"/>
              <w:bottom w:val="single" w:sz="8" w:color="auto"/>
              <w:right w:val="single" w:sz="8" w:color="auto"/>
            </w:tcBorders>
          </w:tcPr>
          <w:p>
            <w:pPr>
              <w:spacing w:after="0"/>
              <w:rPr>
                <w:sz w:val="18"/>
                <w:szCs w:val="18"/>
                <w:color w:val="auto"/>
              </w:rPr>
            </w:pPr>
          </w:p>
        </w:tc>
        <w:tc>
          <w:tcPr>
            <w:tcW w:w="3400" w:type="dxa"/>
            <w:vAlign w:val="bottom"/>
            <w:tcBorders>
              <w:bottom w:val="single" w:sz="8" w:color="auto"/>
              <w:right w:val="single" w:sz="8" w:color="auto"/>
            </w:tcBorders>
          </w:tcPr>
          <w:p>
            <w:pPr>
              <w:spacing w:after="0"/>
              <w:rPr>
                <w:sz w:val="18"/>
                <w:szCs w:val="18"/>
                <w:color w:val="auto"/>
              </w:rPr>
            </w:pPr>
          </w:p>
        </w:tc>
        <w:tc>
          <w:tcPr>
            <w:tcW w:w="4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Market)</w:t>
            </w:r>
          </w:p>
        </w:tc>
      </w:tr>
    </w:tbl>
    <w:p>
      <w:pPr>
        <w:spacing w:after="0" w:line="189" w:lineRule="exact"/>
        <w:rPr>
          <w:sz w:val="24"/>
          <w:szCs w:val="24"/>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63" w:lineRule="exact"/>
        <w:rPr>
          <w:sz w:val="24"/>
          <w:szCs w:val="24"/>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70" w:lineRule="exact"/>
        <w:rPr>
          <w:sz w:val="24"/>
          <w:szCs w:val="24"/>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229" w:right="319" w:bottom="1440" w:gutter="0" w:footer="0" w:header="0"/>
        </w:sectPr>
      </w:pPr>
    </w:p>
    <w:p>
      <w:pPr>
        <w:spacing w:after="0" w:line="10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Wingdings" w:cs="Wingdings" w:eastAsia="Wingdings" w:hAnsi="Wingdings"/>
          <w:sz w:val="15"/>
          <w:szCs w:val="15"/>
          <w:b w:val="1"/>
          <w:bCs w:val="1"/>
          <w:color w:val="auto"/>
        </w:rPr>
        <w:t>o</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x</w:t>
      </w:r>
    </w:p>
    <w:p>
      <w:pPr>
        <w:spacing w:after="0" w:line="76" w:lineRule="exact"/>
        <w:rPr>
          <w:sz w:val="24"/>
          <w:szCs w:val="24"/>
          <w:color w:val="auto"/>
        </w:rPr>
      </w:pPr>
    </w:p>
    <w:p>
      <w:pPr>
        <w:sectPr>
          <w:pgSz w:w="11900" w:h="16838" w:orient="portrait"/>
          <w:cols w:equalWidth="0" w:num="4">
            <w:col w:w="2580" w:space="720"/>
            <w:col w:w="140" w:space="320"/>
            <w:col w:w="2560" w:space="720"/>
            <w:col w:w="4220"/>
          </w:cols>
          <w:pgMar w:left="320" w:top="229" w:right="3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5"/>
          <w:szCs w:val="15"/>
          <w:b w:val="1"/>
          <w:bCs w:val="1"/>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6"/>
          <w:szCs w:val="16"/>
          <w:b w:val="1"/>
          <w:bCs w:val="1"/>
          <w:color w:val="auto"/>
        </w:rPr>
        <w: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6"/>
          <w:szCs w:val="16"/>
          <w:b w:val="1"/>
          <w:bCs w:val="1"/>
          <w:color w:val="auto"/>
        </w:rPr>
        <w:t>x</w:t>
      </w:r>
    </w:p>
    <w:p>
      <w:pPr>
        <w:spacing w:after="0" w:line="200" w:lineRule="exact"/>
        <w:rPr>
          <w:sz w:val="24"/>
          <w:szCs w:val="24"/>
          <w:color w:val="auto"/>
        </w:rPr>
      </w:pPr>
    </w:p>
    <w:p>
      <w:pPr>
        <w:sectPr>
          <w:pgSz w:w="11900" w:h="16838" w:orient="portrait"/>
          <w:cols w:equalWidth="0" w:num="6">
            <w:col w:w="2580" w:space="720"/>
            <w:col w:w="140" w:space="320"/>
            <w:col w:w="2560" w:space="720"/>
            <w:col w:w="180" w:space="280"/>
            <w:col w:w="2580" w:space="720"/>
            <w:col w:w="460"/>
          </w:cols>
          <w:pgMar w:left="320" w:top="229" w:right="319" w:bottom="1440" w:gutter="0" w:footer="0" w:header="0"/>
          <w:type w:val="continuous"/>
        </w:sectPr>
      </w:pPr>
    </w:p>
    <w:p>
      <w:pPr>
        <w:spacing w:after="0" w:line="11" w:lineRule="exact"/>
        <w:rPr>
          <w:sz w:val="24"/>
          <w:szCs w:val="24"/>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2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6"/>
          <w:szCs w:val="16"/>
          <w:color w:val="auto"/>
        </w:rPr>
        <w:t>As of November 4, 2024, there were 135,455,244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774700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36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896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360" w:type="dxa"/>
            <w:vAlign w:val="bottom"/>
            <w:gridSpan w:val="7"/>
            <w:vMerge w:val="continue"/>
          </w:tcPr>
          <w:p>
            <w:pPr>
              <w:spacing w:after="0"/>
              <w:rPr>
                <w:sz w:val="24"/>
                <w:szCs w:val="24"/>
                <w:color w:val="auto"/>
              </w:rPr>
            </w:pPr>
          </w:p>
        </w:tc>
        <w:tc>
          <w:tcPr>
            <w:tcW w:w="8960" w:type="dxa"/>
            <w:vAlign w:val="bottom"/>
            <w:gridSpan w:val="18"/>
            <w:vMerge w:val="continue"/>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0" w:type="dxa"/>
            <w:vAlign w:val="bottom"/>
          </w:tcPr>
          <w:p>
            <w:pPr>
              <w:spacing w:after="0"/>
              <w:rPr>
                <w:sz w:val="24"/>
                <w:szCs w:val="24"/>
                <w:color w:val="auto"/>
              </w:rPr>
            </w:pPr>
          </w:p>
        </w:tc>
        <w:tc>
          <w:tcPr>
            <w:tcW w:w="5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840" w:type="dxa"/>
            <w:vAlign w:val="bottom"/>
            <w:gridSpan w:val="5"/>
          </w:tcPr>
          <w:p>
            <w:pPr>
              <w:spacing w:after="0"/>
              <w:rPr>
                <w:sz w:val="24"/>
                <w:szCs w:val="24"/>
                <w:color w:val="auto"/>
              </w:rPr>
            </w:pPr>
          </w:p>
        </w:tc>
        <w:tc>
          <w:tcPr>
            <w:tcW w:w="24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540" w:type="dxa"/>
            <w:vAlign w:val="bottom"/>
            <w:gridSpan w:val="9"/>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September 30, 2024 (Unaudited) and June 30, 2024</w:t>
            </w:r>
          </w:p>
        </w:tc>
        <w:tc>
          <w:tcPr>
            <w:tcW w:w="1880" w:type="dxa"/>
            <w:vAlign w:val="bottom"/>
            <w:gridSpan w:val="4"/>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months ended September 30, 2024 and 2023 (Unaudited)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74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months ended September 30, 2024 and 2023</w:t>
            </w:r>
          </w:p>
        </w:tc>
        <w:tc>
          <w:tcPr>
            <w:tcW w:w="220" w:type="dxa"/>
            <w:vAlign w:val="bottom"/>
            <w:gridSpan w:val="2"/>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Borders>
              <w:top w:val="single" w:sz="8" w:color="0000FF"/>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rPr>
              <w:t>(Unaudited)</w:t>
            </w:r>
          </w:p>
        </w:tc>
        <w:tc>
          <w:tcPr>
            <w:tcW w:w="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gridSpan w:val="2"/>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202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10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780" w:type="dxa"/>
            <w:vAlign w:val="bottom"/>
            <w:tcBorders>
              <w:top w:val="single" w:sz="8" w:color="0000FF"/>
            </w:tcBorders>
            <w:gridSpan w:val="2"/>
          </w:tcPr>
          <w:p>
            <w:pPr>
              <w:spacing w:after="0"/>
              <w:rPr>
                <w:sz w:val="13"/>
                <w:szCs w:val="13"/>
                <w:color w:val="auto"/>
              </w:rPr>
            </w:pPr>
          </w:p>
        </w:tc>
        <w:tc>
          <w:tcPr>
            <w:tcW w:w="24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three months ended September 30, 2024 and 2023 (Unaudited)</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as of September 30, 2024 (Unaudited)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820" w:type="dxa"/>
            <w:vAlign w:val="bottom"/>
            <w:gridSpan w:val="4"/>
          </w:tcPr>
          <w:p>
            <w:pPr>
              <w:spacing w:after="0"/>
              <w:rPr>
                <w:sz w:val="24"/>
                <w:szCs w:val="24"/>
                <w:color w:val="auto"/>
              </w:rPr>
            </w:pPr>
          </w:p>
        </w:tc>
        <w:tc>
          <w:tcPr>
            <w:tcW w:w="646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20" w:type="dxa"/>
            <w:vAlign w:val="bottom"/>
            <w:tcBorders>
              <w:top w:val="single" w:sz="8" w:color="0000FF"/>
            </w:tcBorders>
          </w:tcPr>
          <w:p>
            <w:pPr>
              <w:spacing w:after="0"/>
              <w:rPr>
                <w:sz w:val="24"/>
                <w:szCs w:val="24"/>
                <w:color w:val="auto"/>
              </w:rPr>
            </w:pPr>
          </w:p>
        </w:tc>
        <w:tc>
          <w:tcPr>
            <w:tcW w:w="2180" w:type="dxa"/>
            <w:vAlign w:val="bottom"/>
            <w:gridSpan w:val="5"/>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3.</w:t>
            </w:r>
          </w:p>
        </w:tc>
        <w:tc>
          <w:tcPr>
            <w:tcW w:w="820" w:type="dxa"/>
            <w:vAlign w:val="bottom"/>
            <w:gridSpan w:val="4"/>
          </w:tcPr>
          <w:p>
            <w:pPr>
              <w:spacing w:after="0"/>
              <w:rPr>
                <w:sz w:val="24"/>
                <w:szCs w:val="24"/>
                <w:color w:val="auto"/>
              </w:rPr>
            </w:pPr>
          </w:p>
        </w:tc>
        <w:tc>
          <w:tcPr>
            <w:tcW w:w="43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600" w:type="dxa"/>
            <w:vAlign w:val="bottom"/>
            <w:gridSpan w:val="7"/>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840" w:type="dxa"/>
            <w:vAlign w:val="bottom"/>
            <w:gridSpan w:val="5"/>
          </w:tcPr>
          <w:p>
            <w:pPr>
              <w:spacing w:after="0"/>
              <w:rPr>
                <w:sz w:val="24"/>
                <w:szCs w:val="24"/>
                <w:color w:val="auto"/>
              </w:rPr>
            </w:pPr>
          </w:p>
        </w:tc>
        <w:tc>
          <w:tcPr>
            <w:tcW w:w="89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620" w:type="dxa"/>
            <w:vAlign w:val="bottom"/>
            <w:gridSpan w:val="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Part II</w:t>
            </w:r>
          </w:p>
        </w:tc>
        <w:tc>
          <w:tcPr>
            <w:tcW w:w="820" w:type="dxa"/>
            <w:vAlign w:val="bottom"/>
            <w:gridSpan w:val="4"/>
          </w:tcPr>
          <w:p>
            <w:pPr>
              <w:spacing w:after="0"/>
              <w:rPr>
                <w:sz w:val="24"/>
                <w:szCs w:val="24"/>
                <w:color w:val="auto"/>
              </w:rPr>
            </w:pPr>
          </w:p>
        </w:tc>
        <w:tc>
          <w:tcPr>
            <w:tcW w:w="896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100" w:type="dxa"/>
            <w:vAlign w:val="bottom"/>
          </w:tcPr>
          <w:p>
            <w:pPr>
              <w:spacing w:after="0"/>
              <w:rPr>
                <w:sz w:val="24"/>
                <w:szCs w:val="24"/>
                <w:color w:val="auto"/>
              </w:rPr>
            </w:pPr>
          </w:p>
        </w:tc>
        <w:tc>
          <w:tcPr>
            <w:tcW w:w="720" w:type="dxa"/>
            <w:vAlign w:val="bottom"/>
            <w:gridSpan w:val="3"/>
          </w:tcPr>
          <w:p>
            <w:pPr>
              <w:spacing w:after="0"/>
              <w:rPr>
                <w:sz w:val="24"/>
                <w:szCs w:val="24"/>
                <w:color w:val="auto"/>
              </w:rPr>
            </w:pPr>
          </w:p>
        </w:tc>
        <w:tc>
          <w:tcPr>
            <w:tcW w:w="14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520" w:type="dxa"/>
            <w:vAlign w:val="bottom"/>
            <w:gridSpan w:val="13"/>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620" w:type="dxa"/>
            <w:vAlign w:val="bottom"/>
            <w:gridSpan w:val="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3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1A.</w:t>
            </w:r>
          </w:p>
        </w:tc>
        <w:tc>
          <w:tcPr>
            <w:tcW w:w="89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620" w:type="dxa"/>
            <w:vAlign w:val="bottom"/>
            <w:gridSpan w:val="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0" w:type="dxa"/>
            <w:vAlign w:val="bottom"/>
          </w:tcPr>
          <w:p>
            <w:pPr>
              <w:spacing w:after="0"/>
              <w:rPr>
                <w:sz w:val="24"/>
                <w:szCs w:val="24"/>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gridSpan w:val="2"/>
          </w:tcPr>
          <w:p>
            <w:pPr>
              <w:spacing w:after="0"/>
              <w:rPr>
                <w:sz w:val="24"/>
                <w:szCs w:val="24"/>
                <w:color w:val="auto"/>
              </w:rPr>
            </w:pPr>
          </w:p>
        </w:tc>
        <w:tc>
          <w:tcPr>
            <w:tcW w:w="720" w:type="dxa"/>
            <w:vAlign w:val="bottom"/>
            <w:gridSpan w:val="3"/>
          </w:tcPr>
          <w:p>
            <w:pPr>
              <w:spacing w:after="0"/>
              <w:rPr>
                <w:sz w:val="24"/>
                <w:szCs w:val="24"/>
                <w:color w:val="auto"/>
              </w:rPr>
            </w:pPr>
          </w:p>
        </w:tc>
        <w:tc>
          <w:tcPr>
            <w:tcW w:w="89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840" w:type="dxa"/>
            <w:vAlign w:val="bottom"/>
            <w:gridSpan w:val="5"/>
          </w:tcPr>
          <w:p>
            <w:pPr>
              <w:spacing w:after="0"/>
              <w:rPr>
                <w:sz w:val="24"/>
                <w:szCs w:val="24"/>
                <w:color w:val="auto"/>
              </w:rPr>
            </w:pPr>
          </w:p>
        </w:tc>
        <w:tc>
          <w:tcPr>
            <w:tcW w:w="232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tcBorders>
              <w:top w:val="single" w:sz="8" w:color="0000FF"/>
            </w:tcBorders>
            <w:gridSpan w:val="2"/>
          </w:tcPr>
          <w:p>
            <w:pPr>
              <w:spacing w:after="0"/>
              <w:rPr>
                <w:sz w:val="24"/>
                <w:szCs w:val="24"/>
                <w:color w:val="auto"/>
              </w:rPr>
            </w:pPr>
          </w:p>
        </w:tc>
        <w:tc>
          <w:tcPr>
            <w:tcW w:w="4620" w:type="dxa"/>
            <w:vAlign w:val="bottom"/>
            <w:gridSpan w:val="8"/>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840" w:type="dxa"/>
            <w:vAlign w:val="bottom"/>
            <w:gridSpan w:val="5"/>
          </w:tcPr>
          <w:p>
            <w:pPr>
              <w:spacing w:after="0"/>
              <w:rPr>
                <w:sz w:val="24"/>
                <w:szCs w:val="24"/>
                <w:color w:val="auto"/>
              </w:rPr>
            </w:pPr>
          </w:p>
        </w:tc>
        <w:tc>
          <w:tcPr>
            <w:tcW w:w="89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840" w:type="dxa"/>
            <w:vAlign w:val="bottom"/>
            <w:gridSpan w:val="5"/>
          </w:tcPr>
          <w:p>
            <w:pPr>
              <w:spacing w:after="0"/>
              <w:rPr>
                <w:sz w:val="24"/>
                <w:szCs w:val="24"/>
                <w:color w:val="auto"/>
              </w:rPr>
            </w:pPr>
          </w:p>
        </w:tc>
        <w:tc>
          <w:tcPr>
            <w:tcW w:w="17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200" w:type="dxa"/>
            <w:vAlign w:val="bottom"/>
            <w:gridSpan w:val="11"/>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840" w:type="dxa"/>
            <w:vAlign w:val="bottom"/>
            <w:gridSpan w:val="5"/>
          </w:tcPr>
          <w:p>
            <w:pPr>
              <w:spacing w:after="0"/>
              <w:rPr>
                <w:sz w:val="24"/>
                <w:szCs w:val="24"/>
                <w:color w:val="auto"/>
              </w:rPr>
            </w:pPr>
          </w:p>
        </w:tc>
        <w:tc>
          <w:tcPr>
            <w:tcW w:w="6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20" w:type="dxa"/>
            <w:vAlign w:val="bottom"/>
            <w:tcBorders>
              <w:top w:val="single" w:sz="8" w:color="0000FF"/>
            </w:tcBorders>
            <w:gridSpan w:val="3"/>
          </w:tcPr>
          <w:p>
            <w:pPr>
              <w:spacing w:after="0"/>
              <w:rPr>
                <w:sz w:val="24"/>
                <w:szCs w:val="24"/>
                <w:color w:val="auto"/>
              </w:rPr>
            </w:pPr>
          </w:p>
        </w:tc>
        <w:tc>
          <w:tcPr>
            <w:tcW w:w="7640" w:type="dxa"/>
            <w:vAlign w:val="bottom"/>
            <w:gridSpan w:val="14"/>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0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Exhibit Index</w:t>
            </w: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925"/>
        </w:trPr>
        <w:tc>
          <w:tcPr>
            <w:tcW w:w="20" w:type="dxa"/>
            <w:vAlign w:val="bottom"/>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340" w:type="dxa"/>
            <w:vAlign w:val="bottom"/>
            <w:gridSpan w:val="10"/>
          </w:tcPr>
          <w:p>
            <w:pPr>
              <w:ind w:left="420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InnovAge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on Forward-Looking Statements</w:t>
      </w:r>
    </w:p>
    <w:p>
      <w:pPr>
        <w:spacing w:after="0" w:line="3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212529"/>
        </w:rPr>
        <w:t xml:space="preserve">Throughout this Quarterly Report on Form 10-Q, we make “forward-looking statements” within the meaning of the U.S. Private Securities Litigation Reform Act of </w:t>
      </w:r>
      <w:r>
        <w:rPr>
          <w:rFonts w:ascii="Times New Roman" w:cs="Times New Roman" w:eastAsia="Times New Roman" w:hAnsi="Times New Roman"/>
          <w:sz w:val="18"/>
          <w:szCs w:val="18"/>
          <w:color w:val="000000"/>
        </w:rPr>
        <w:t>1995, Section 27A of the Securities Act of 1933, as amended (the “Securities Act”) and Section 21E of the Securities Exchange Act of</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1934, as amended (the “Exchange Act”). This Quarterly Report contains forward-looking statements that are subject to risks and uncertainties. All statements other than statements of historical fact included in this Quarterly Report on Form 10-Q are forward-looking statements. Forward-looking statements give our current expectations and projections relating to our financial condition, results of operations, plans, objectives, future performance and business. You can identify forward-looking statements by the fact that they do not relate strictly to historical or current facts. These statements may include words such as “anticipate,” “estimate,” “expect,” “project,” “plan,” “intend,” “believe,” “may,” “will,” “should,” “can have,” “likely” and other words and terms of similar meaning in connection with any discussion of the timing or nature of future operating or financial performance or other events. For example, all statements we make relating to our estimated and projected costs, expenditures, cash flows, growth rates and financial results, our plans and objectives for future operations, growth opportunities or initiatives,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188" w:lineRule="exact"/>
        <w:rPr>
          <w:sz w:val="20"/>
          <w:szCs w:val="20"/>
          <w:color w:val="auto"/>
        </w:rPr>
      </w:pPr>
    </w:p>
    <w:p>
      <w:pPr>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viability of our growth strategy, including our ability to obtain licenses to open our de novo centers in Downey and Bakersfield, California, and our ability to ramp up our de novo centers in Florida;</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successfully complete and integrate acquisitions, joint ventures and strategic partnerships;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participants and retain existing participants and grow our revenue throughout our new and existing centers;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from ongoing macroeconomic related challenges, including labor shortages, labor competition and inflation;</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periodic inspections, reviews, audits and investigations under the federal and state government programs, and our ability to sufficiently cure any deficiencies identified by the respective federal and state government programs;</w:t>
      </w:r>
    </w:p>
    <w:p>
      <w:pPr>
        <w:jc w:val="both"/>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adverse impact of inspections, reviews, audits, investigations, legal proceedings, enforcement actions and litigation, including the current civil investigative demands initiated by federal and state agencies, as well as the litigation and other proceedings initiated by, or on behalf, of our stockholders;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cost of providing services will exceed our compensation under the Program of All Inclusive Care for the Elderly (“PACE”);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increased costs and expenditures in the future and our inability to execute or realize the benefits of our clinical value initiatives;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of our revenues and operations upon a limited number of government payors;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our submissions to government payors may contain inaccurate or unsupportable information, including regarding risk adjustment scores of participants;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renegotiation, non-renewal or termination of capitation agreements with government payors;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state and federal efforts to reduce healthcare spending;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our presence in Colorado;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the healthcare industry, including as a result of new or growing market participants;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to predict our future results, which could cause such results to fall below any guidance we provide;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senior management team and other key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failures by our suppliers or limitations on our ability to access new technology or medical products;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operations effectively, execute our business plan, maintain effective levels of service and participant satisfaction and adequately address competitive challenges;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 presence in new geographic markets;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security breaches, loss of data or other disruptions causing the compromise of sensitive information or preventing us from accessing critical information;</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estimate incurred but not reported medical expense or the risk scores of our participants;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the termination of our leases, increases in rent or inability to renew or extend leases;</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 pandemic, epidemic or outbreak of an infectious disease, such as COVID-19, as well as weather and other factors beyond our control;</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660" w:right="20" w:hanging="328"/>
        <w:spacing w:after="0" w:line="25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adhere to complex and changing government laws and regulations in the healthcare industry, including U.S. Healthcare reform, the regulation of the corporate practice of medicine and the Health Information Technology for Economic and Clinical Health Act of 2009 (the “HITECH Act”), and their implementing regulations (collectively, “HIPAA”), and other privacy laws and regulations in the healthcare industry;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 “controlled company”;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share repurchase program;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enhanced requirements of being a public company;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disruptions in our disaster recovery systems or business continuity planning;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disclosed in the section entitled “Risk Factors” in our Annual Report for the year ended June 30, 2024 filed with the Securities and Exchange Commission (the “SEC”) on September 10, 2024 ("2024 10-K"), and our subsequent filings with the SEC.</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or affect us or our operations in the way we expect. The forward-looking statements included in this Quarterly Report on Form 10-Q are made only as of the date hereof. We undertake no obligation to update or revise any forward-looking statement as a result of new information, future events or otherwise, except as otherwise required by law.</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12529"/>
        </w:rPr>
        <w:t>Unless otherwise specified or unless the context requires otherwise, all references in this Quarterly Report on Form 10-Q to “InnovAge,” “the Company,” “we,” “us,” and “our,” or similar references, refer to InnovAge Holding Corp. and our consolidated subsidiaries.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I —FINANCIAL INFORMATION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INNOVAGE HOLDING CORP.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6"/>
                <w:szCs w:val="16"/>
                <w:color w:val="auto"/>
              </w:rPr>
            </w:pPr>
          </w:p>
        </w:tc>
        <w:tc>
          <w:tcPr>
            <w:tcW w:w="122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4"/>
        </w:trPr>
        <w:tc>
          <w:tcPr>
            <w:tcW w:w="8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7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818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39,019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56,946</w:t>
            </w:r>
          </w:p>
        </w:tc>
        <w:tc>
          <w:tcPr>
            <w:tcW w:w="0" w:type="dxa"/>
            <w:vAlign w:val="bottom"/>
          </w:tcPr>
          <w:p>
            <w:pPr>
              <w:spacing w:after="0"/>
              <w:rPr>
                <w:sz w:val="1"/>
                <w:szCs w:val="1"/>
                <w:color w:val="auto"/>
              </w:rPr>
            </w:pPr>
          </w:p>
        </w:tc>
      </w:tr>
      <w:tr>
        <w:trPr>
          <w:trHeight w:val="182"/>
        </w:trPr>
        <w:tc>
          <w:tcPr>
            <w:tcW w:w="81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Short-term investments</w:t>
            </w: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46,659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45,833</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Restricted cash</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82"/>
        </w:trPr>
        <w:tc>
          <w:tcPr>
            <w:tcW w:w="81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Accounts receivable, net of allowance ($3,693 – September 30, 2024 and $6,729 – June 30, 2024)</w:t>
            </w: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46,735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48,106</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Prepaid expenses</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22,804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18,919</w:t>
            </w:r>
          </w:p>
        </w:tc>
        <w:tc>
          <w:tcPr>
            <w:tcW w:w="0" w:type="dxa"/>
            <w:vAlign w:val="bottom"/>
          </w:tcPr>
          <w:p>
            <w:pPr>
              <w:spacing w:after="0"/>
              <w:rPr>
                <w:sz w:val="1"/>
                <w:szCs w:val="1"/>
                <w:color w:val="auto"/>
              </w:rPr>
            </w:pPr>
          </w:p>
        </w:tc>
      </w:tr>
      <w:tr>
        <w:trPr>
          <w:trHeight w:val="183"/>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3"/>
                <w:szCs w:val="13"/>
                <w:color w:val="auto"/>
              </w:rPr>
              <w:t>Income tax receivable</w:t>
            </w: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3,324</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3,324</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current assets</w:t>
            </w:r>
          </w:p>
        </w:tc>
        <w:tc>
          <w:tcPr>
            <w:tcW w:w="16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158,554</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173,142</w:t>
            </w:r>
          </w:p>
        </w:tc>
        <w:tc>
          <w:tcPr>
            <w:tcW w:w="0" w:type="dxa"/>
            <w:vAlign w:val="bottom"/>
          </w:tcPr>
          <w:p>
            <w:pPr>
              <w:spacing w:after="0"/>
              <w:rPr>
                <w:sz w:val="1"/>
                <w:szCs w:val="1"/>
                <w:color w:val="auto"/>
              </w:rPr>
            </w:pPr>
          </w:p>
        </w:tc>
      </w:tr>
      <w:tr>
        <w:trPr>
          <w:trHeight w:val="176"/>
        </w:trPr>
        <w:tc>
          <w:tcPr>
            <w:tcW w:w="818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Noncurrent Assets</w:t>
            </w: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189,900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193,022</w:t>
            </w:r>
          </w:p>
        </w:tc>
        <w:tc>
          <w:tcPr>
            <w:tcW w:w="0" w:type="dxa"/>
            <w:vAlign w:val="bottom"/>
          </w:tcPr>
          <w:p>
            <w:pPr>
              <w:spacing w:after="0"/>
              <w:rPr>
                <w:sz w:val="1"/>
                <w:szCs w:val="1"/>
                <w:color w:val="auto"/>
              </w:rPr>
            </w:pPr>
          </w:p>
        </w:tc>
      </w:tr>
      <w:tr>
        <w:trPr>
          <w:trHeight w:val="182"/>
        </w:trPr>
        <w:tc>
          <w:tcPr>
            <w:tcW w:w="81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Operating lease assets</w:t>
            </w: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27,385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28,416</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Investments</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2,645</w:t>
            </w:r>
          </w:p>
        </w:tc>
        <w:tc>
          <w:tcPr>
            <w:tcW w:w="0" w:type="dxa"/>
            <w:vAlign w:val="bottom"/>
          </w:tcPr>
          <w:p>
            <w:pPr>
              <w:spacing w:after="0"/>
              <w:rPr>
                <w:sz w:val="1"/>
                <w:szCs w:val="1"/>
                <w:color w:val="auto"/>
              </w:rPr>
            </w:pPr>
          </w:p>
        </w:tc>
      </w:tr>
      <w:tr>
        <w:trPr>
          <w:trHeight w:val="182"/>
        </w:trPr>
        <w:tc>
          <w:tcPr>
            <w:tcW w:w="81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Deposits and other</w:t>
            </w: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4,913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5,949</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Goodwill</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139,949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139,949</w:t>
            </w:r>
          </w:p>
        </w:tc>
        <w:tc>
          <w:tcPr>
            <w:tcW w:w="0" w:type="dxa"/>
            <w:vAlign w:val="bottom"/>
          </w:tcPr>
          <w:p>
            <w:pPr>
              <w:spacing w:after="0"/>
              <w:rPr>
                <w:sz w:val="1"/>
                <w:szCs w:val="1"/>
                <w:color w:val="auto"/>
              </w:rPr>
            </w:pPr>
          </w:p>
        </w:tc>
      </w:tr>
      <w:tr>
        <w:trPr>
          <w:trHeight w:val="183"/>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3"/>
                <w:szCs w:val="13"/>
                <w:color w:val="auto"/>
              </w:rPr>
              <w:t>Other intangible assets, net</w:t>
            </w: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4,373</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4,538</w:t>
            </w:r>
          </w:p>
        </w:tc>
        <w:tc>
          <w:tcPr>
            <w:tcW w:w="0" w:type="dxa"/>
            <w:vAlign w:val="bottom"/>
          </w:tcPr>
          <w:p>
            <w:pPr>
              <w:spacing w:after="0"/>
              <w:rPr>
                <w:sz w:val="1"/>
                <w:szCs w:val="1"/>
                <w:color w:val="auto"/>
              </w:rPr>
            </w:pPr>
          </w:p>
        </w:tc>
      </w:tr>
      <w:tr>
        <w:trPr>
          <w:trHeight w:val="18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noncurrent assets</w:t>
            </w:r>
          </w:p>
        </w:tc>
        <w:tc>
          <w:tcPr>
            <w:tcW w:w="1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369,165</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374,519</w:t>
            </w:r>
          </w:p>
        </w:tc>
        <w:tc>
          <w:tcPr>
            <w:tcW w:w="0" w:type="dxa"/>
            <w:vAlign w:val="bottom"/>
          </w:tcPr>
          <w:p>
            <w:pPr>
              <w:spacing w:after="0"/>
              <w:rPr>
                <w:sz w:val="1"/>
                <w:szCs w:val="1"/>
                <w:color w:val="auto"/>
              </w:rPr>
            </w:pPr>
          </w:p>
        </w:tc>
      </w:tr>
      <w:tr>
        <w:trPr>
          <w:trHeight w:val="189"/>
        </w:trPr>
        <w:tc>
          <w:tcPr>
            <w:tcW w:w="818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Total assets</w:t>
            </w:r>
          </w:p>
        </w:tc>
        <w:tc>
          <w:tcPr>
            <w:tcW w:w="1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527,719</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547,661</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18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45,849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55,459</w:t>
            </w:r>
          </w:p>
        </w:tc>
        <w:tc>
          <w:tcPr>
            <w:tcW w:w="0" w:type="dxa"/>
            <w:vAlign w:val="bottom"/>
          </w:tcPr>
          <w:p>
            <w:pPr>
              <w:spacing w:after="0"/>
              <w:rPr>
                <w:sz w:val="1"/>
                <w:szCs w:val="1"/>
                <w:color w:val="auto"/>
              </w:rPr>
            </w:pPr>
          </w:p>
        </w:tc>
      </w:tr>
      <w:tr>
        <w:trPr>
          <w:trHeight w:val="182"/>
        </w:trPr>
        <w:tc>
          <w:tcPr>
            <w:tcW w:w="81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Reported and estimated claims</w:t>
            </w: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56,443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55,404</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Due to Medicaid and Medicare</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15,584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15,197</w:t>
            </w:r>
          </w:p>
        </w:tc>
        <w:tc>
          <w:tcPr>
            <w:tcW w:w="0" w:type="dxa"/>
            <w:vAlign w:val="bottom"/>
          </w:tcPr>
          <w:p>
            <w:pPr>
              <w:spacing w:after="0"/>
              <w:rPr>
                <w:sz w:val="1"/>
                <w:szCs w:val="1"/>
                <w:color w:val="auto"/>
              </w:rPr>
            </w:pPr>
          </w:p>
        </w:tc>
      </w:tr>
      <w:tr>
        <w:trPr>
          <w:trHeight w:val="182"/>
        </w:trPr>
        <w:tc>
          <w:tcPr>
            <w:tcW w:w="81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Current portion of long-term debt</w:t>
            </w: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3,795</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Current portion of finance lease obligations</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5,365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4,599</w:t>
            </w:r>
          </w:p>
        </w:tc>
        <w:tc>
          <w:tcPr>
            <w:tcW w:w="0" w:type="dxa"/>
            <w:vAlign w:val="bottom"/>
          </w:tcPr>
          <w:p>
            <w:pPr>
              <w:spacing w:after="0"/>
              <w:rPr>
                <w:sz w:val="1"/>
                <w:szCs w:val="1"/>
                <w:color w:val="auto"/>
              </w:rPr>
            </w:pPr>
          </w:p>
        </w:tc>
      </w:tr>
      <w:tr>
        <w:trPr>
          <w:trHeight w:val="183"/>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3"/>
                <w:szCs w:val="13"/>
                <w:color w:val="auto"/>
              </w:rPr>
              <w:t>Current portion of operating lease obligations</w:t>
            </w: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4,311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4,145</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16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131,347</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138,599</w:t>
            </w:r>
          </w:p>
        </w:tc>
        <w:tc>
          <w:tcPr>
            <w:tcW w:w="0" w:type="dxa"/>
            <w:vAlign w:val="bottom"/>
          </w:tcPr>
          <w:p>
            <w:pPr>
              <w:spacing w:after="0"/>
              <w:rPr>
                <w:sz w:val="1"/>
                <w:szCs w:val="1"/>
                <w:color w:val="auto"/>
              </w:rPr>
            </w:pPr>
          </w:p>
        </w:tc>
      </w:tr>
      <w:tr>
        <w:trPr>
          <w:trHeight w:val="175"/>
        </w:trPr>
        <w:tc>
          <w:tcPr>
            <w:tcW w:w="818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Noncurrent Liabilities</w:t>
            </w: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Deferred tax liability, net</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7,863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7,460</w:t>
            </w:r>
          </w:p>
        </w:tc>
        <w:tc>
          <w:tcPr>
            <w:tcW w:w="0" w:type="dxa"/>
            <w:vAlign w:val="bottom"/>
          </w:tcPr>
          <w:p>
            <w:pPr>
              <w:spacing w:after="0"/>
              <w:rPr>
                <w:sz w:val="1"/>
                <w:szCs w:val="1"/>
                <w:color w:val="auto"/>
              </w:rPr>
            </w:pPr>
          </w:p>
        </w:tc>
      </w:tr>
      <w:tr>
        <w:trPr>
          <w:trHeight w:val="182"/>
        </w:trPr>
        <w:tc>
          <w:tcPr>
            <w:tcW w:w="81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Finance lease obligations</w:t>
            </w: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10,853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12,743</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Operating lease obligations</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24,992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26,275</w:t>
            </w:r>
          </w:p>
        </w:tc>
        <w:tc>
          <w:tcPr>
            <w:tcW w:w="0" w:type="dxa"/>
            <w:vAlign w:val="bottom"/>
          </w:tcPr>
          <w:p>
            <w:pPr>
              <w:spacing w:after="0"/>
              <w:rPr>
                <w:sz w:val="1"/>
                <w:szCs w:val="1"/>
                <w:color w:val="auto"/>
              </w:rPr>
            </w:pPr>
          </w:p>
        </w:tc>
      </w:tr>
      <w:tr>
        <w:trPr>
          <w:trHeight w:val="182"/>
        </w:trPr>
        <w:tc>
          <w:tcPr>
            <w:tcW w:w="81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1,298</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Long-term debt, net of debt issuance costs</w:t>
            </w: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60,637</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61,478</w:t>
            </w:r>
          </w:p>
        </w:tc>
        <w:tc>
          <w:tcPr>
            <w:tcW w:w="0" w:type="dxa"/>
            <w:vAlign w:val="bottom"/>
          </w:tcPr>
          <w:p>
            <w:pPr>
              <w:spacing w:after="0"/>
              <w:rPr>
                <w:sz w:val="1"/>
                <w:szCs w:val="1"/>
                <w:color w:val="auto"/>
              </w:rPr>
            </w:pPr>
          </w:p>
        </w:tc>
      </w:tr>
      <w:tr>
        <w:trPr>
          <w:trHeight w:val="176"/>
        </w:trPr>
        <w:tc>
          <w:tcPr>
            <w:tcW w:w="81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3"/>
                <w:szCs w:val="13"/>
                <w:color w:val="auto"/>
              </w:rPr>
              <w:t>Total liabilities</w:t>
            </w: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237,009</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247,853</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Commitments and Contingencies (See Note 9)</w:t>
            </w: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Redeemable Noncontrolling Interests (See Note 4)</w:t>
            </w: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21,657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22,200</w:t>
            </w:r>
          </w:p>
        </w:tc>
        <w:tc>
          <w:tcPr>
            <w:tcW w:w="0" w:type="dxa"/>
            <w:vAlign w:val="bottom"/>
          </w:tcPr>
          <w:p>
            <w:pPr>
              <w:spacing w:after="0"/>
              <w:rPr>
                <w:sz w:val="1"/>
                <w:szCs w:val="1"/>
                <w:color w:val="auto"/>
              </w:rPr>
            </w:pPr>
          </w:p>
        </w:tc>
      </w:tr>
      <w:tr>
        <w:trPr>
          <w:trHeight w:val="19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8180" w:type="dxa"/>
            <w:vAlign w:val="bottom"/>
          </w:tcPr>
          <w:p>
            <w:pPr>
              <w:ind w:left="240"/>
              <w:spacing w:after="0" w:line="136" w:lineRule="exact"/>
              <w:rPr>
                <w:sz w:val="20"/>
                <w:szCs w:val="20"/>
                <w:color w:val="auto"/>
              </w:rPr>
            </w:pPr>
            <w:r>
              <w:rPr>
                <w:rFonts w:ascii="Times New Roman" w:cs="Times New Roman" w:eastAsia="Times New Roman" w:hAnsi="Times New Roman"/>
                <w:sz w:val="13"/>
                <w:szCs w:val="13"/>
                <w:color w:val="auto"/>
              </w:rPr>
              <w:t>Common stock, $0.001 par value; 500,000,000 authorized as of September 30, 2024 and June 30, 2024; 136,362,736 issued and 135,538,698</w:t>
            </w:r>
          </w:p>
        </w:tc>
        <w:tc>
          <w:tcPr>
            <w:tcW w:w="160" w:type="dxa"/>
            <w:vAlign w:val="bottom"/>
          </w:tcPr>
          <w:p>
            <w:pPr>
              <w:spacing w:after="0"/>
              <w:rPr>
                <w:sz w:val="11"/>
                <w:szCs w:val="11"/>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0" w:type="dxa"/>
            <w:vAlign w:val="bottom"/>
          </w:tcPr>
          <w:p>
            <w:pPr>
              <w:spacing w:after="0"/>
              <w:rPr>
                <w:sz w:val="1"/>
                <w:szCs w:val="1"/>
                <w:color w:val="auto"/>
              </w:rPr>
            </w:pPr>
          </w:p>
        </w:tc>
      </w:tr>
      <w:tr>
        <w:trPr>
          <w:trHeight w:val="181"/>
        </w:trPr>
        <w:tc>
          <w:tcPr>
            <w:tcW w:w="81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outstanding as of September 30, 2024 and 136,152,858 issued and 136,116,299 outstanding as of June 30, 2024</w:t>
            </w:r>
          </w:p>
        </w:tc>
        <w:tc>
          <w:tcPr>
            <w:tcW w:w="16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Treasury stock at cost, 837,372 and 36,559 shares as of September 30, 2024 and June 30, 2024, respectively</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0" w:type="dxa"/>
            <w:vAlign w:val="bottom"/>
          </w:tcPr>
          <w:p>
            <w:pPr>
              <w:spacing w:after="0"/>
              <w:rPr>
                <w:sz w:val="1"/>
                <w:szCs w:val="1"/>
                <w:color w:val="auto"/>
              </w:rPr>
            </w:pPr>
          </w:p>
        </w:tc>
      </w:tr>
      <w:tr>
        <w:trPr>
          <w:trHeight w:val="182"/>
        </w:trPr>
        <w:tc>
          <w:tcPr>
            <w:tcW w:w="81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339,048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337,615</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Retained deficit</w:t>
            </w: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(73,240)</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(68,311)</w:t>
            </w:r>
          </w:p>
        </w:tc>
        <w:tc>
          <w:tcPr>
            <w:tcW w:w="0" w:type="dxa"/>
            <w:vAlign w:val="bottom"/>
          </w:tcPr>
          <w:p>
            <w:pPr>
              <w:spacing w:after="0"/>
              <w:rPr>
                <w:sz w:val="1"/>
                <w:szCs w:val="1"/>
                <w:color w:val="auto"/>
              </w:rPr>
            </w:pPr>
          </w:p>
        </w:tc>
      </w:tr>
      <w:tr>
        <w:trPr>
          <w:trHeight w:val="175"/>
        </w:trPr>
        <w:tc>
          <w:tcPr>
            <w:tcW w:w="81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Total InnovAge Holding Corp.</w:t>
            </w: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260,944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269,261</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8,109</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8,347</w:t>
            </w:r>
          </w:p>
        </w:tc>
        <w:tc>
          <w:tcPr>
            <w:tcW w:w="0" w:type="dxa"/>
            <w:vAlign w:val="bottom"/>
          </w:tcPr>
          <w:p>
            <w:pPr>
              <w:spacing w:after="0"/>
              <w:rPr>
                <w:sz w:val="1"/>
                <w:szCs w:val="1"/>
                <w:color w:val="auto"/>
              </w:rPr>
            </w:pPr>
          </w:p>
        </w:tc>
      </w:tr>
      <w:tr>
        <w:trPr>
          <w:trHeight w:val="176"/>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Total stockholders’ equity</w:t>
            </w: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269,053</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277,608</w:t>
            </w:r>
          </w:p>
        </w:tc>
        <w:tc>
          <w:tcPr>
            <w:tcW w:w="0" w:type="dxa"/>
            <w:vAlign w:val="bottom"/>
          </w:tcPr>
          <w:p>
            <w:pPr>
              <w:spacing w:after="0"/>
              <w:rPr>
                <w:sz w:val="1"/>
                <w:szCs w:val="1"/>
                <w:color w:val="auto"/>
              </w:rPr>
            </w:pPr>
          </w:p>
        </w:tc>
      </w:tr>
      <w:tr>
        <w:trPr>
          <w:trHeight w:val="214"/>
        </w:trPr>
        <w:tc>
          <w:tcPr>
            <w:tcW w:w="8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Total liabilities and stockholders’ equity</w:t>
            </w:r>
          </w:p>
        </w:tc>
        <w:tc>
          <w:tcPr>
            <w:tcW w:w="1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527,719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547,661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INNOVAGE HOLDING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number of shares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380" w:type="dxa"/>
            <w:vAlign w:val="bottom"/>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r>
      <w:tr>
        <w:trPr>
          <w:trHeight w:val="23"/>
        </w:trPr>
        <w:tc>
          <w:tcPr>
            <w:tcW w:w="74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0"/>
        </w:trPr>
        <w:tc>
          <w:tcPr>
            <w:tcW w:w="7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29"/>
        </w:trPr>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Capitation revenue</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204,800</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182,173</w:t>
            </w:r>
          </w:p>
        </w:tc>
      </w:tr>
      <w:tr>
        <w:trPr>
          <w:trHeight w:val="229"/>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service revenue</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23"/>
        </w:trPr>
        <w:tc>
          <w:tcPr>
            <w:tcW w:w="74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205,142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182,485</w:t>
            </w:r>
          </w:p>
        </w:tc>
      </w:tr>
      <w:tr>
        <w:trPr>
          <w:trHeight w:val="22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External provider costs</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107,214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99,358</w:t>
            </w:r>
          </w:p>
        </w:tc>
      </w:tr>
      <w:tr>
        <w:trPr>
          <w:trHeight w:val="229"/>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care, excluding depreciation and amortization</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63,387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55,250</w:t>
            </w:r>
          </w:p>
        </w:tc>
      </w:tr>
      <w:tr>
        <w:trPr>
          <w:trHeight w:val="230"/>
        </w:trPr>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5,379</w:t>
            </w:r>
          </w:p>
        </w:tc>
      </w:tr>
      <w:tr>
        <w:trPr>
          <w:trHeight w:val="229"/>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general and administrative</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28,947</w:t>
            </w:r>
          </w:p>
        </w:tc>
      </w:tr>
      <w:tr>
        <w:trPr>
          <w:trHeight w:val="229"/>
        </w:trPr>
        <w:tc>
          <w:tcPr>
            <w:tcW w:w="7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4,269</w:t>
            </w:r>
          </w:p>
        </w:tc>
      </w:tr>
      <w:tr>
        <w:trPr>
          <w:trHeight w:val="223"/>
        </w:trPr>
        <w:tc>
          <w:tcPr>
            <w:tcW w:w="7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expenses</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210,038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193,203</w:t>
            </w:r>
          </w:p>
        </w:tc>
      </w:tr>
      <w:tr>
        <w:trPr>
          <w:trHeight w:val="223"/>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(10,718)</w:t>
            </w:r>
          </w:p>
        </w:tc>
      </w:tr>
      <w:tr>
        <w:trPr>
          <w:trHeight w:val="250"/>
        </w:trPr>
        <w:tc>
          <w:tcPr>
            <w:tcW w:w="74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2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r>
      <w:tr>
        <w:trPr>
          <w:trHeight w:val="230"/>
        </w:trPr>
        <w:tc>
          <w:tcPr>
            <w:tcW w:w="7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r>
      <w:tr>
        <w:trPr>
          <w:trHeight w:val="223"/>
        </w:trPr>
        <w:tc>
          <w:tcPr>
            <w:tcW w:w="7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expense</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(10,736)</w:t>
            </w:r>
          </w:p>
        </w:tc>
      </w:tr>
      <w:tr>
        <w:trPr>
          <w:trHeight w:val="22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23"/>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(10,962)</w:t>
            </w:r>
          </w:p>
        </w:tc>
      </w:tr>
      <w:tr>
        <w:trPr>
          <w:trHeight w:val="223"/>
        </w:trPr>
        <w:tc>
          <w:tcPr>
            <w:tcW w:w="7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r>
      <w:tr>
        <w:trPr>
          <w:trHeight w:val="223"/>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InnovAge Holding Corp.</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(4,929)</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(10,304)</w:t>
            </w:r>
          </w:p>
        </w:tc>
      </w:tr>
      <w:tr>
        <w:trPr>
          <w:trHeight w:val="20"/>
        </w:trPr>
        <w:tc>
          <w:tcPr>
            <w:tcW w:w="74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37"/>
        </w:trPr>
        <w:tc>
          <w:tcPr>
            <w:tcW w:w="74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2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number of common shares outstanding - basic</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135,769,835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135,790,401</w:t>
            </w:r>
          </w:p>
        </w:tc>
      </w:tr>
      <w:tr>
        <w:trPr>
          <w:trHeight w:val="23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number of common shares outstanding - diluted</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135,769,835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135,790,401</w:t>
            </w:r>
          </w:p>
        </w:tc>
      </w:tr>
      <w:tr>
        <w:trPr>
          <w:trHeight w:val="250"/>
        </w:trPr>
        <w:tc>
          <w:tcPr>
            <w:tcW w:w="7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 basic</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3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 diluted</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INNOVAGE HOLDING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60" w:type="dxa"/>
            <w:vAlign w:val="bottom"/>
            <w:gridSpan w:val="10"/>
          </w:tcPr>
          <w:p>
            <w:pPr>
              <w:ind w:left="28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2024</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2"/>
                <w:szCs w:val="12"/>
                <w:color w:val="auto"/>
              </w:rPr>
            </w:pPr>
          </w:p>
        </w:tc>
        <w:tc>
          <w:tcPr>
            <w:tcW w:w="960" w:type="dxa"/>
            <w:vAlign w:val="bottom"/>
            <w:gridSpan w:val="2"/>
          </w:tcPr>
          <w:p>
            <w:pPr>
              <w:jc w:val="center"/>
              <w:ind w:right="160"/>
              <w:spacing w:after="0" w:line="145"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2"/>
                <w:szCs w:val="12"/>
                <w:color w:val="auto"/>
              </w:rPr>
            </w:pPr>
          </w:p>
        </w:tc>
        <w:tc>
          <w:tcPr>
            <w:tcW w:w="8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4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1880" w:type="dxa"/>
            <w:vAlign w:val="bottom"/>
            <w:gridSpan w:val="5"/>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Capital Stock</w:t>
            </w: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880" w:type="dxa"/>
            <w:vAlign w:val="bottom"/>
            <w:gridSpan w:val="5"/>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Permanent</w:t>
            </w:r>
          </w:p>
        </w:tc>
        <w:tc>
          <w:tcPr>
            <w:tcW w:w="80" w:type="dxa"/>
            <w:vAlign w:val="bottom"/>
          </w:tcPr>
          <w:p>
            <w:pPr>
              <w:spacing w:after="0"/>
              <w:rPr>
                <w:sz w:val="11"/>
                <w:szCs w:val="11"/>
                <w:color w:val="auto"/>
              </w:rPr>
            </w:pPr>
          </w:p>
        </w:tc>
        <w:tc>
          <w:tcPr>
            <w:tcW w:w="9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4"/>
                <w:szCs w:val="14"/>
                <w:b w:val="1"/>
                <w:bCs w:val="1"/>
                <w:color w:val="auto"/>
                <w:w w:val="99"/>
              </w:rPr>
              <w:t>Interests</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740" w:type="dxa"/>
            <w:vAlign w:val="bottom"/>
          </w:tcPr>
          <w:p>
            <w:pPr>
              <w:spacing w:after="0"/>
              <w:rPr>
                <w:sz w:val="9"/>
                <w:szCs w:val="9"/>
                <w:color w:val="auto"/>
              </w:rPr>
            </w:pPr>
          </w:p>
        </w:tc>
        <w:tc>
          <w:tcPr>
            <w:tcW w:w="188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9"/>
                <w:szCs w:val="9"/>
                <w:color w:val="auto"/>
              </w:rPr>
            </w:pPr>
          </w:p>
        </w:tc>
        <w:tc>
          <w:tcPr>
            <w:tcW w:w="820" w:type="dxa"/>
            <w:vAlign w:val="bottom"/>
            <w:gridSpan w:val="2"/>
            <w:vMerge w:val="restart"/>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880" w:type="dxa"/>
            <w:vAlign w:val="bottom"/>
            <w:gridSpan w:val="5"/>
            <w:vMerge w:val="continue"/>
          </w:tcPr>
          <w:p>
            <w:pPr>
              <w:spacing w:after="0"/>
              <w:rPr>
                <w:sz w:val="9"/>
                <w:szCs w:val="9"/>
                <w:color w:val="auto"/>
              </w:rPr>
            </w:pPr>
          </w:p>
        </w:tc>
        <w:tc>
          <w:tcPr>
            <w:tcW w:w="1060" w:type="dxa"/>
            <w:vAlign w:val="bottom"/>
            <w:gridSpan w:val="3"/>
            <w:vMerge w:val="restart"/>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980" w:type="dxa"/>
            <w:vAlign w:val="bottom"/>
            <w:gridSpan w:val="3"/>
            <w:vMerge w:val="restart"/>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80" w:type="dxa"/>
            <w:vAlign w:val="bottom"/>
          </w:tcPr>
          <w:p>
            <w:pPr>
              <w:spacing w:after="0"/>
              <w:rPr>
                <w:sz w:val="9"/>
                <w:szCs w:val="9"/>
                <w:color w:val="auto"/>
              </w:rPr>
            </w:pPr>
          </w:p>
        </w:tc>
        <w:tc>
          <w:tcPr>
            <w:tcW w:w="960" w:type="dxa"/>
            <w:vAlign w:val="bottom"/>
            <w:gridSpan w:val="2"/>
            <w:vMerge w:val="restart"/>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(Temporary</w:t>
            </w:r>
          </w:p>
        </w:tc>
        <w:tc>
          <w:tcPr>
            <w:tcW w:w="760" w:type="dxa"/>
            <w:vAlign w:val="bottom"/>
            <w:vMerge w:val="restart"/>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0" w:type="dxa"/>
            <w:vAlign w:val="bottom"/>
          </w:tcPr>
          <w:p>
            <w:pPr>
              <w:spacing w:after="0"/>
              <w:rPr>
                <w:sz w:val="1"/>
                <w:szCs w:val="1"/>
                <w:color w:val="auto"/>
              </w:rPr>
            </w:pPr>
          </w:p>
        </w:tc>
      </w:tr>
      <w:tr>
        <w:trPr>
          <w:trHeight w:val="23"/>
        </w:trPr>
        <w:tc>
          <w:tcPr>
            <w:tcW w:w="17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740" w:type="dxa"/>
            <w:vAlign w:val="bottom"/>
          </w:tcPr>
          <w:p>
            <w:pPr>
              <w:spacing w:after="0"/>
              <w:rPr>
                <w:sz w:val="16"/>
                <w:szCs w:val="16"/>
                <w:color w:val="auto"/>
              </w:rPr>
            </w:pP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6"/>
                <w:szCs w:val="16"/>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16"/>
                <w:szCs w:val="16"/>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26"/>
        </w:trPr>
        <w:tc>
          <w:tcPr>
            <w:tcW w:w="1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June 30, 2024</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136,116,299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337,615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(68,311)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36,559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277,608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740" w:type="dxa"/>
            <w:vAlign w:val="bottom"/>
            <w:tcBorders>
              <w:top w:val="single" w:sz="8" w:color="CCEEFF"/>
            </w:tcBorders>
            <w:vMerge w:val="continue"/>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341,619</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2,161</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2,161</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7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Tax withholding related to</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net share settlements of</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7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(118,407)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8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repurchased at cost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(800,813)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800,813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(4,929)</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(5,710)</w:t>
            </w:r>
          </w:p>
        </w:tc>
        <w:tc>
          <w:tcPr>
            <w:tcW w:w="0" w:type="dxa"/>
            <w:vAlign w:val="bottom"/>
          </w:tcPr>
          <w:p>
            <w:pPr>
              <w:spacing w:after="0"/>
              <w:rPr>
                <w:sz w:val="1"/>
                <w:szCs w:val="1"/>
                <w:color w:val="auto"/>
              </w:rPr>
            </w:pPr>
          </w:p>
        </w:tc>
      </w:tr>
      <w:tr>
        <w:trPr>
          <w:trHeight w:val="117"/>
        </w:trPr>
        <w:tc>
          <w:tcPr>
            <w:tcW w:w="174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Balances, September 30,</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135,538,698</w:t>
            </w:r>
          </w:p>
        </w:tc>
        <w:tc>
          <w:tcPr>
            <w:tcW w:w="8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Pr>
          <w:p>
            <w:pPr>
              <w:spacing w:after="0"/>
              <w:rPr>
                <w:sz w:val="10"/>
                <w:szCs w:val="10"/>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339,048</w:t>
            </w:r>
          </w:p>
        </w:tc>
        <w:tc>
          <w:tcPr>
            <w:tcW w:w="8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(73,240)</w:t>
            </w:r>
          </w:p>
        </w:tc>
        <w:tc>
          <w:tcPr>
            <w:tcW w:w="80" w:type="dxa"/>
            <w:vAlign w:val="bottom"/>
          </w:tcPr>
          <w:p>
            <w:pPr>
              <w:spacing w:after="0"/>
              <w:rPr>
                <w:sz w:val="10"/>
                <w:szCs w:val="10"/>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837,372</w:t>
            </w:r>
          </w:p>
        </w:tc>
        <w:tc>
          <w:tcPr>
            <w:tcW w:w="8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80" w:type="dxa"/>
            <w:vAlign w:val="bottom"/>
          </w:tcPr>
          <w:p>
            <w:pPr>
              <w:spacing w:after="0"/>
              <w:rPr>
                <w:sz w:val="10"/>
                <w:szCs w:val="10"/>
                <w:color w:val="auto"/>
              </w:rPr>
            </w:pPr>
          </w:p>
        </w:tc>
        <w:tc>
          <w:tcPr>
            <w:tcW w:w="1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8,109</w:t>
            </w:r>
          </w:p>
        </w:tc>
        <w:tc>
          <w:tcPr>
            <w:tcW w:w="80" w:type="dxa"/>
            <w:vAlign w:val="bottom"/>
          </w:tcPr>
          <w:p>
            <w:pPr>
              <w:spacing w:after="0"/>
              <w:rPr>
                <w:sz w:val="10"/>
                <w:szCs w:val="10"/>
                <w:color w:val="auto"/>
              </w:rPr>
            </w:pPr>
          </w:p>
        </w:tc>
        <w:tc>
          <w:tcPr>
            <w:tcW w:w="1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269,053</w:t>
            </w:r>
          </w:p>
        </w:tc>
        <w:tc>
          <w:tcPr>
            <w:tcW w:w="100" w:type="dxa"/>
            <w:vAlign w:val="bottom"/>
          </w:tcPr>
          <w:p>
            <w:pPr>
              <w:spacing w:after="0"/>
              <w:rPr>
                <w:sz w:val="10"/>
                <w:szCs w:val="10"/>
                <w:color w:val="auto"/>
              </w:rPr>
            </w:pPr>
          </w:p>
        </w:tc>
        <w:tc>
          <w:tcPr>
            <w:tcW w:w="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21,657</w:t>
            </w:r>
          </w:p>
        </w:tc>
        <w:tc>
          <w:tcPr>
            <w:tcW w:w="8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tcBorders>
            <w:gridSpan w:val="10"/>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6"/>
        </w:trPr>
        <w:tc>
          <w:tcPr>
            <w:tcW w:w="1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gridSpan w:val="10"/>
          </w:tcPr>
          <w:p>
            <w:pPr>
              <w:ind w:left="28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2023</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7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2"/>
                <w:szCs w:val="12"/>
                <w:color w:val="auto"/>
              </w:rPr>
            </w:pPr>
          </w:p>
        </w:tc>
        <w:tc>
          <w:tcPr>
            <w:tcW w:w="96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2"/>
                <w:szCs w:val="12"/>
                <w:color w:val="auto"/>
              </w:rPr>
            </w:pPr>
          </w:p>
        </w:tc>
        <w:tc>
          <w:tcPr>
            <w:tcW w:w="8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4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1880" w:type="dxa"/>
            <w:vAlign w:val="bottom"/>
            <w:gridSpan w:val="5"/>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Capital Stock</w:t>
            </w: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880" w:type="dxa"/>
            <w:vAlign w:val="bottom"/>
            <w:gridSpan w:val="5"/>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Permanent</w:t>
            </w:r>
          </w:p>
        </w:tc>
        <w:tc>
          <w:tcPr>
            <w:tcW w:w="8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w w:val="99"/>
              </w:rPr>
              <w:t>Interests</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740" w:type="dxa"/>
            <w:vAlign w:val="bottom"/>
          </w:tcPr>
          <w:p>
            <w:pPr>
              <w:spacing w:after="0"/>
              <w:rPr>
                <w:sz w:val="9"/>
                <w:szCs w:val="9"/>
                <w:color w:val="auto"/>
              </w:rPr>
            </w:pPr>
          </w:p>
        </w:tc>
        <w:tc>
          <w:tcPr>
            <w:tcW w:w="188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9"/>
                <w:szCs w:val="9"/>
                <w:color w:val="auto"/>
              </w:rPr>
            </w:pPr>
          </w:p>
        </w:tc>
        <w:tc>
          <w:tcPr>
            <w:tcW w:w="820" w:type="dxa"/>
            <w:vAlign w:val="bottom"/>
            <w:gridSpan w:val="2"/>
            <w:vMerge w:val="restart"/>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880" w:type="dxa"/>
            <w:vAlign w:val="bottom"/>
            <w:gridSpan w:val="5"/>
            <w:vMerge w:val="continue"/>
          </w:tcPr>
          <w:p>
            <w:pPr>
              <w:spacing w:after="0"/>
              <w:rPr>
                <w:sz w:val="9"/>
                <w:szCs w:val="9"/>
                <w:color w:val="auto"/>
              </w:rPr>
            </w:pPr>
          </w:p>
        </w:tc>
        <w:tc>
          <w:tcPr>
            <w:tcW w:w="1060" w:type="dxa"/>
            <w:vAlign w:val="bottom"/>
            <w:gridSpan w:val="3"/>
            <w:vMerge w:val="restart"/>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980" w:type="dxa"/>
            <w:vAlign w:val="bottom"/>
            <w:gridSpan w:val="3"/>
            <w:vMerge w:val="restart"/>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80" w:type="dxa"/>
            <w:vAlign w:val="bottom"/>
          </w:tcPr>
          <w:p>
            <w:pPr>
              <w:spacing w:after="0"/>
              <w:rPr>
                <w:sz w:val="9"/>
                <w:szCs w:val="9"/>
                <w:color w:val="auto"/>
              </w:rPr>
            </w:pPr>
          </w:p>
        </w:tc>
        <w:tc>
          <w:tcPr>
            <w:tcW w:w="960" w:type="dxa"/>
            <w:vAlign w:val="bottom"/>
            <w:gridSpan w:val="2"/>
            <w:vMerge w:val="restart"/>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(Temporary</w:t>
            </w:r>
          </w:p>
        </w:tc>
        <w:tc>
          <w:tcPr>
            <w:tcW w:w="760" w:type="dxa"/>
            <w:vAlign w:val="bottom"/>
            <w:vMerge w:val="restart"/>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0" w:type="dxa"/>
            <w:vAlign w:val="bottom"/>
          </w:tcPr>
          <w:p>
            <w:pPr>
              <w:spacing w:after="0"/>
              <w:rPr>
                <w:sz w:val="1"/>
                <w:szCs w:val="1"/>
                <w:color w:val="auto"/>
              </w:rPr>
            </w:pPr>
          </w:p>
        </w:tc>
      </w:tr>
      <w:tr>
        <w:trPr>
          <w:trHeight w:val="23"/>
        </w:trPr>
        <w:tc>
          <w:tcPr>
            <w:tcW w:w="17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740" w:type="dxa"/>
            <w:vAlign w:val="bottom"/>
          </w:tcPr>
          <w:p>
            <w:pPr>
              <w:spacing w:after="0"/>
              <w:rPr>
                <w:sz w:val="16"/>
                <w:szCs w:val="16"/>
                <w:color w:val="auto"/>
              </w:rPr>
            </w:pP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6"/>
                <w:szCs w:val="16"/>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16"/>
                <w:szCs w:val="16"/>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26"/>
        </w:trPr>
        <w:tc>
          <w:tcPr>
            <w:tcW w:w="1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June 30, 2023</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135,639,845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332,107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(35,944)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302,092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gridSpan w:val="2"/>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740" w:type="dxa"/>
            <w:vAlign w:val="bottom"/>
            <w:tcBorders>
              <w:top w:val="single" w:sz="8" w:color="CCEEFF"/>
            </w:tcBorders>
            <w:vMerge w:val="continue"/>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347,849</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1,823</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1,823</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7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Tax withholding related to</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net share settlements of</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7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(102,854)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8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(10,304)</w:t>
            </w:r>
          </w:p>
        </w:tc>
        <w:tc>
          <w:tcPr>
            <w:tcW w:w="8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(10,392)</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(10,962)</w:t>
            </w:r>
          </w:p>
        </w:tc>
        <w:tc>
          <w:tcPr>
            <w:tcW w:w="0" w:type="dxa"/>
            <w:vAlign w:val="bottom"/>
          </w:tcPr>
          <w:p>
            <w:pPr>
              <w:spacing w:after="0"/>
              <w:rPr>
                <w:sz w:val="1"/>
                <w:szCs w:val="1"/>
                <w:color w:val="auto"/>
              </w:rPr>
            </w:pPr>
          </w:p>
        </w:tc>
      </w:tr>
      <w:tr>
        <w:trPr>
          <w:trHeight w:val="124"/>
        </w:trPr>
        <w:tc>
          <w:tcPr>
            <w:tcW w:w="174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Balances, September 30,</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135,884,840</w:t>
            </w:r>
          </w:p>
        </w:tc>
        <w:tc>
          <w:tcPr>
            <w:tcW w:w="8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333,316</w:t>
            </w:r>
          </w:p>
        </w:tc>
        <w:tc>
          <w:tcPr>
            <w:tcW w:w="8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(46,248)</w:t>
            </w:r>
          </w:p>
        </w:tc>
        <w:tc>
          <w:tcPr>
            <w:tcW w:w="8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5,705</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292,909</w:t>
            </w:r>
          </w:p>
        </w:tc>
        <w:tc>
          <w:tcPr>
            <w:tcW w:w="10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12,138</w:t>
            </w: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INNOVAGE HOLDING CORP. AND SUBSIDIARIES</w:t>
      </w:r>
    </w:p>
    <w:p>
      <w:pPr>
        <w:spacing w:after="0" w:line="17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60" w:type="dxa"/>
            <w:vAlign w:val="bottom"/>
            <w:gridSpan w:val="5"/>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r>
      <w:tr>
        <w:trPr>
          <w:trHeight w:val="23"/>
        </w:trPr>
        <w:tc>
          <w:tcPr>
            <w:tcW w:w="81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8"/>
        </w:trPr>
        <w:tc>
          <w:tcPr>
            <w:tcW w:w="81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8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9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940" w:type="dxa"/>
            <w:vAlign w:val="bottom"/>
          </w:tcPr>
          <w:p>
            <w:pPr>
              <w:jc w:val="right"/>
              <w:ind w:right="787"/>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(5,710)</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(10,962)</w:t>
            </w: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Provision for uncollectible accounts</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1,077</w:t>
            </w: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4,269</w:t>
            </w: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Operating lease rentals</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1,103</w:t>
            </w: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1,823</w:t>
            </w: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Deferred income taxes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 net</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Changes in operating assets and liabilities, net of acquisitions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Accounts receivable, net</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(20,918)</w:t>
            </w: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Prepaid expenses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w:t>
            </w: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Deposits and other</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w:t>
            </w: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(7,303)</w:t>
            </w: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Reported and estimated claims</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w:t>
            </w: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Due to Medicaid and Medicare</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w:t>
            </w: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(1,048)</w:t>
            </w: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Deferred revenue</w:t>
            </w: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w:t>
            </w:r>
          </w:p>
        </w:tc>
      </w:tr>
      <w:tr>
        <w:trPr>
          <w:trHeight w:val="190"/>
        </w:trPr>
        <w:tc>
          <w:tcPr>
            <w:tcW w:w="81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94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(7,516)</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(32,985)</w:t>
            </w:r>
          </w:p>
        </w:tc>
      </w:tr>
      <w:tr>
        <w:trPr>
          <w:trHeight w:val="18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(2,571)</w:t>
            </w: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Purchases of short-term investments</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w:t>
            </w:r>
          </w:p>
        </w:tc>
      </w:tr>
      <w:tr>
        <w:trPr>
          <w:trHeight w:val="190"/>
        </w:trPr>
        <w:tc>
          <w:tcPr>
            <w:tcW w:w="81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9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(3,141)</w:t>
            </w:r>
          </w:p>
        </w:tc>
      </w:tr>
      <w:tr>
        <w:trPr>
          <w:trHeight w:val="18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9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Payments for finance lease obligations</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w:t>
            </w: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Principal payments on long-term debt</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w:t>
            </w: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Repurchase of equity securities</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Taxes paid related to net settlements of stock-based compensation awards</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w:t>
            </w:r>
          </w:p>
        </w:tc>
      </w:tr>
      <w:tr>
        <w:trPr>
          <w:trHeight w:val="190"/>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9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(2,726)</w:t>
            </w:r>
          </w:p>
        </w:tc>
      </w:tr>
      <w:tr>
        <w:trPr>
          <w:trHeight w:val="203"/>
        </w:trPr>
        <w:tc>
          <w:tcPr>
            <w:tcW w:w="8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9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DECREASE IN CASH, CASH EQUIVALENTS &amp; RESTRICTED CASH</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(17,928)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(38,852)</w:t>
            </w: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&amp; RESTRICTED CASH, BEGINNING OF PERIOD</w:t>
            </w:r>
          </w:p>
        </w:tc>
        <w:tc>
          <w:tcPr>
            <w:tcW w:w="9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56,960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127,265</w:t>
            </w:r>
          </w:p>
        </w:tc>
      </w:tr>
      <w:tr>
        <w:trPr>
          <w:trHeight w:val="202"/>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&amp; RESTRICTED CASH, END OF PERIOD</w:t>
            </w:r>
          </w:p>
        </w:tc>
        <w:tc>
          <w:tcPr>
            <w:tcW w:w="940" w:type="dxa"/>
            <w:vAlign w:val="bottom"/>
            <w:tcBorders>
              <w:bottom w:val="single" w:sz="8" w:color="auto"/>
            </w:tcBorders>
          </w:tcPr>
          <w:p>
            <w:pPr>
              <w:jc w:val="right"/>
              <w:ind w:right="787"/>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39,032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88,413</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3"/>
        </w:trPr>
        <w:tc>
          <w:tcPr>
            <w:tcW w:w="8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9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Cash Flows Information</w:t>
            </w: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paid</w:t>
            </w:r>
          </w:p>
        </w:tc>
        <w:tc>
          <w:tcPr>
            <w:tcW w:w="940" w:type="dxa"/>
            <w:vAlign w:val="bottom"/>
            <w:shd w:val="clear" w:color="auto" w:fill="CCEEFF"/>
          </w:tcPr>
          <w:p>
            <w:pPr>
              <w:jc w:val="right"/>
              <w:ind w:right="787"/>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w:t>
            </w: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taxes paid</w:t>
            </w:r>
          </w:p>
        </w:tc>
        <w:tc>
          <w:tcPr>
            <w:tcW w:w="940" w:type="dxa"/>
            <w:vAlign w:val="bottom"/>
          </w:tcPr>
          <w:p>
            <w:pPr>
              <w:jc w:val="right"/>
              <w:ind w:right="787"/>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Property and equipment included in accounts payable</w:t>
            </w:r>
          </w:p>
        </w:tc>
        <w:tc>
          <w:tcPr>
            <w:tcW w:w="940" w:type="dxa"/>
            <w:vAlign w:val="bottom"/>
            <w:shd w:val="clear" w:color="auto" w:fill="CCEEFF"/>
          </w:tcPr>
          <w:p>
            <w:pPr>
              <w:jc w:val="right"/>
              <w:ind w:right="787"/>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r>
    </w:tbl>
    <w:p>
      <w:pPr>
        <w:spacing w:after="0" w:line="2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INNOVAGE HOLDING CORP. AND SUBSIDIARIES</w:t>
      </w:r>
    </w:p>
    <w:p>
      <w:pPr>
        <w:spacing w:after="0" w:line="22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Business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InnovAge Holding Corp. and its subsidiaries (“InnovAge” or the "Company") are headquartered in Denver, Colorado. The Company’s participant-centered care delivery approach is designed to improve the quality of care the Company’s participants receive, while keeping them in their homes for as long as safely possible. Through the Company’s Program of All-Inclusive Care for the Elderly (“PACE”) program, the Company fulfills a broad range of medical and ancillary services for seniors, including in-center services such as primary care, physical therapy, occupational therapy, speech therapy, dental services, mental health and psychiatric services, meals, and activities; transportation to and from the PACE center and third-party medical appointments; and care management. The Company manages its business as one reportable segment, PACE.</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2024, the Company served approximately 7,210 PACE participants, making it the largest PACE provider in the United States of America (the “U.S.”) based upon participants served, and operated 20 PACE centers across Colorado, California, Florida, New Mexico, Pennsylvania and Virginia.</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PACE is a fully-capitated managed care program, which serves the frail elderly, and predominantly dual-eligible, population in a community-based service model. We define dual-eligible seniors as individuals who are 55+ and qualify for benefits under both Medicare and Medicaid. InnovAge provides all needed healthcare services through an all-inclusive, coordinated model of care, and the Company is at risk for 100% of healthcare costs incurred with respect to the care of its participants. PACE programs receive capitation payments directly from Medicare Parts C and D, Medicaid, Veterans Administration (“VA”), and private pay sources. Additionally, under the Medicare Prescription Drug Plan, the Centers for Medicare and Medicaid Services (“CMS”) share part of the risk for providing prescription medication to the Company’s participants.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common stock is traded on the Nasdaq Stock Market LLC (“NASDAQ”) under the ticker symbol “INNV”.</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described its significant accounting policies in Note 2, “Summary of Significant Accounting Policies” of the Notes to Consolidated Financial Statements in its Annual Report on Form 10-K for the year ended June 30, 2024 (“2024 10-K”). There were no significant changes to those accounting policies during the three months ended September 30,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Preparation and Principles of Consolidation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and accompanying notes have been prepared in accordance with accounting principles generally accepted in the U.S. (“U.S. GAAP”) for interim financial information and with the instructions to Form 10-Q and Article 10 of Regulation S-X. Accordingly, certain information and footnote disclosures normally included in financial statements prepared in accordance with U.S. GAAP have been omitted pursuant to such regulations. These financial statements have been prepared on a basis consistent with the accounting principles applied for the fiscal year ended June 30, 2024. In the opinion of management, all adjustments (consisting of all normal and recurring adjustments) considered necessary for a fair presentation have been included. The condensed consolidated financial statements include the accounts of the Company, its wholly owned subsidiaries and variable interest entities (“VIEs”) for which it is the primary beneficiary and entities for which it is the controlling interest. All intercompany accounts and transactions have been eliminated in consolidation.</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does not have any components of comprehensive income and comprehensive income is equal to net loss reported in the statements of operations for all periods presented.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and equipment were comprised of the following as of September 30, 2024 and June 30, 2024:</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20" w:type="dxa"/>
            <w:vAlign w:val="bottom"/>
          </w:tcPr>
          <w:p>
            <w:pPr>
              <w:spacing w:after="0"/>
              <w:rPr>
                <w:sz w:val="13"/>
                <w:szCs w:val="13"/>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20" w:type="dxa"/>
            <w:vAlign w:val="bottom"/>
          </w:tcPr>
          <w:p>
            <w:pPr>
              <w:spacing w:after="0"/>
              <w:rPr>
                <w:sz w:val="13"/>
                <w:szCs w:val="13"/>
                <w:color w:val="auto"/>
              </w:rPr>
            </w:pPr>
          </w:p>
        </w:tc>
        <w:tc>
          <w:tcPr>
            <w:tcW w:w="126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0" w:type="dxa"/>
            <w:vAlign w:val="bottom"/>
          </w:tcPr>
          <w:p>
            <w:pPr>
              <w:spacing w:after="0"/>
              <w:rPr>
                <w:sz w:val="1"/>
                <w:szCs w:val="1"/>
                <w:color w:val="auto"/>
              </w:rPr>
            </w:pPr>
          </w:p>
        </w:tc>
      </w:tr>
      <w:tr>
        <w:trPr>
          <w:trHeight w:val="195"/>
        </w:trPr>
        <w:tc>
          <w:tcPr>
            <w:tcW w:w="6600" w:type="dxa"/>
            <w:vAlign w:val="bottom"/>
            <w:vMerge w:val="continue"/>
          </w:tcPr>
          <w:p>
            <w:pPr>
              <w:spacing w:after="0"/>
              <w:rPr>
                <w:sz w:val="16"/>
                <w:szCs w:val="16"/>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4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center"/>
              <w:ind w:right="39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11,970</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- 40 years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156,064</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 years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30,678</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and vehicles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- 7 years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69,495</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4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right="58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12,234</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280,441</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(92,552)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(87,419)</w:t>
            </w:r>
          </w:p>
        </w:tc>
        <w:tc>
          <w:tcPr>
            <w:tcW w:w="0" w:type="dxa"/>
            <w:vAlign w:val="bottom"/>
          </w:tcPr>
          <w:p>
            <w:pPr>
              <w:spacing w:after="0"/>
              <w:rPr>
                <w:sz w:val="1"/>
                <w:szCs w:val="1"/>
                <w:color w:val="auto"/>
              </w:rPr>
            </w:pPr>
          </w:p>
        </w:tc>
      </w:tr>
      <w:tr>
        <w:trPr>
          <w:trHeight w:val="223"/>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189,900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193,022</w:t>
            </w:r>
          </w:p>
        </w:tc>
        <w:tc>
          <w:tcPr>
            <w:tcW w:w="0" w:type="dxa"/>
            <w:vAlign w:val="bottom"/>
          </w:tcPr>
          <w:p>
            <w:pPr>
              <w:spacing w:after="0"/>
              <w:rPr>
                <w:sz w:val="1"/>
                <w:szCs w:val="1"/>
                <w:color w:val="auto"/>
              </w:rPr>
            </w:pPr>
          </w:p>
        </w:tc>
      </w:tr>
      <w:tr>
        <w:trPr>
          <w:trHeight w:val="21"/>
        </w:trPr>
        <w:tc>
          <w:tcPr>
            <w:tcW w:w="6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of $5.2 million and $4.1 million was recorded during the three months ended September 30, 2024 and 2023,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ASU 2023-07 improves reportable segment disclosure requirements, primarily through enhanced disclosures about significant segment expenses that are regularly provided to the chief operating decision maker. Additionally, ASU 2023-07 requires that all existing annual segment disclosures be provided on an interim basis and clarifies that single reportable segment entities are subject to the disclosure requirement under Topic 280 in its entirety. ASU 2023-07 will be applied retrospectively and is effective for fiscal years beginning after December 15, 2023 and interim periods beginning after December 15, 2024. The Company is evaluating the impact of ASU 2023-07 on our condensed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ASU 2023-09 requires additional disclosures related to rate reconciliation, income taxes paid, and other disclosures. ASU 2023-09 requires public companies to annually (i) disclose specific categories in the rate reconciliation and (ii) provide additional information for reconciling items that meet a quantitative threshold. Additionally, ASU 2023-09 requires public companies to annually disclose the amount of income taxes paid, disaggregated by federal, state, and foreign taxes, as well as the amount of income taxes paid by individual jurisdiction. For smaller reporting companies, such as us, ASU 2023-09 is effective for annual periods beginning after December 15, 2025. The Company is currently evaluating the impact of ASU 2023-09 on our condensed consolidated financial statements.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do not expect that any other recently issued accounting guidance will have a significant effect on our condensed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Recognition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ASC 606, revenue is recognized when a customer obtains control of promised goods or services, in an amount that reflects the consideration which the entity expects to receive in exchange for those goods or services. To determine revenue recognition,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as the entity satisfies a performance obligation.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Capitation Revenue and Accounts Receivable</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capitation revenue relates to contracts with participants in which our performance obligation is to provide healthcare services to the participants. Revenues are recorded during the period our obligations to provide healthcare services are satisfied as noted below within each service type. The Company contracts directly with Medicare and Medicaid on a per member, per month (“PMPM”) basis. We receive 100% of the pooled capitated payment to directly provide or manage the healthcare needs of our participants.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Fees are recorded gross in revenues because the Company is acting as a principal in providing for or overseeing comprehensive care provided to the participants. Neither the Company nor any of its affiliates is a registered insurance company because state law in the states in which it operates does not require such registration for risk-bearing providers.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general, a participant enrolls in the PACE program and is considered a customer of InnovAge. The Company considers all contracts with participants as a single performance obligation to provide comprehensive medical, health, and social services that integrate acute and long-term care. The Company identified that contracts with customers in the PACE program have similar performance obligations and therefore groups them into one portfolio. This performance obligation is satisfied over time as the Company provides comprehensive care to its participants.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revenues are based on the estimated PMPM amounts we expect to be entitled to receive from the capitated fees per participant that are paid monthly by Medicaid, Medicare, the VA, and private pay sources. Medicaid and Medicare capitation revenues are based on PMPM capitation rates under the PACE program. VA is included in “Private Pay and other” and is also capitated. Private pay includes direct payments from participants who do not qualify for the full capitated rate and have to pay all or a portion of the capitated rate. Costs to obtain contracts consist of sales commissions for new enrollees and are included in Deposits and other on our condensed consolidated balance sheets. These costs are amortized over a three-year period which corresponds to the average time a participant is enrolled in the PACE program. As of September 30, 2024 and June 30, 2024, contract assets included within deposits and other were $3.3 million and $2.8 million, respectively.</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disaggregates capitation revenue from the following sources for the three months ended: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tcPr>
          <w:p>
            <w:pPr>
              <w:spacing w:after="0"/>
              <w:rPr>
                <w:sz w:val="16"/>
                <w:szCs w:val="16"/>
                <w:color w:val="auto"/>
              </w:rPr>
            </w:pPr>
          </w:p>
        </w:tc>
      </w:tr>
      <w:tr>
        <w:trPr>
          <w:trHeight w:val="203"/>
        </w:trPr>
        <w:tc>
          <w:tcPr>
            <w:tcW w:w="8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9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Medicaid</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3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Medicare</w:t>
            </w:r>
          </w:p>
        </w:tc>
        <w:tc>
          <w:tcPr>
            <w:tcW w:w="10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43"/>
        </w:trPr>
        <w:tc>
          <w:tcPr>
            <w:tcW w:w="8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determined the transaction price for these contracts is the amount we expect to be entitled to, which is the most likely amount. For certain capitation payments, the Company is subject to retroactive premium risk adjustment payments according to the CMS risk adjustment payment timeline. Specifically, there is a midyear true up payment based on updated risk score calculations and a final true up payment to allow for complete diagnosis submission. The Company estimates the amount of the adjustment and records it monthly on a straight-line basis. These adjustments are not expected to be material.</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capitation revenues are recognized based on the estimated PMPM transaction price to transfer the service for a distinct increment of the series (i.e. month). We recognize revenue over time in the month in which participants are entitled to receive comprehensive care benefits during the contract term. As the period between the time of service and time of payment is typically one year or less, the Company elected the practical expedient under ASC 606-10-32-18 and did not adjust for the effects of a significant financing component.</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also provides prescription drug benefits in accordance with Medicare Part D. Monthly payments received from CMS and the participants represent the bid amount for providing prescription drug coverage. The portion received from CMS is subject to risk sharing through Medicare Part D risk-sharing corridor provisions. These risk-sharing corridor provisions compare costs targeted in the Company’s bid to actual prescription drug costs. The Company estimates and records a monthly adjustment to Medicare Part D revenues associated with these risk-sharing corridor provisions. Medicare Part D comprised 13% of capitation revenues for each of the three months ended September 30, 2024 and 2023.</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provides comprehensive healthcare services to participants on the basis of capitated or fixed fees per participant that are paid monthly by Medicare, Medicaid, the VA and private pay sources. Our accounts receivable as of September 30, 2024 and June 30, 2024 were primarily from capitation revenue arrangements. The concentration of net receivables from participants and third-party payers was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3"/>
                <w:szCs w:val="13"/>
                <w:color w:val="auto"/>
              </w:rPr>
            </w:pPr>
          </w:p>
        </w:tc>
        <w:tc>
          <w:tcPr>
            <w:tcW w:w="17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79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Medicaid</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Medicare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pay and other</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23"/>
        </w:trPr>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1"/>
        </w:trPr>
        <w:tc>
          <w:tcPr>
            <w:tcW w:w="79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records accounts receivable at net realizable value based upon the estimated amounts the Company expects to be entitled to receive from Medicare, Medicaid, the VA and private pay sources. Estimated reimbursement amounts are adjusted in future periods as final settlements are determined. Accounts are written off as bad debts when they are deemed uncollectible based upon individual credit evaluations and specific circumstances underlying the accounts.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Service Revenue and Accounts Receivable</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service revenue primarily consists of revenues derived from state food grants and rent revenues. Accounts receivable related to other service revenue were not significant as of both September 30, 2024 and June 30, 2024.</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Laws and regulations governing the Medicare and Medicaid programs are complex and subject to change, as well as government review. Failure to comply with these laws can expose the entity to significant regulatory action, including fines, penalties, and exclusion from the Medicare and Medicaid programs. See Note 9, “Commitments and Contingencies.”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Cost and Equity Method Investments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held cost method investments of $2.6 million as of both September 30, 2024 and June 30,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Nonconsolidated Entities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Method Investments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maintains one investment that is accounted for using the cost method. The Company's ownership interest is less than 20% of the voting stock of the investment and the Company does not have the ability to exercise significant influence over the operating and financial policies of the investments. The investment does not have a readily determinable fair value and the Company has elected to record the investments at cost, less impairment, if any, plus or minus any changes resulting from observable price changes in orderly transactions for the identical or similar investment of the same issuer. During the three months ended September 30, 2024 and 2023, there were no observable price changes or impairment recorded.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Jetdoc</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August 2021, the Company acquired a minority interest equal to 806,481 shares of the outstanding common stock of Jetdoc, Inc. (“Jetdoc”), a telehealth and virtual urgent care app dedicated to effectively connecting users with medical professionals, for cash consideration of $2.0 million. We determined that indicators of impairment were present as of December 31, 2023, and recognized an impairment loss of $1.9 million during the three months then ended. During the three months ended March 31, 2024, we determined that the remaining balance of our investment in Jetdoc was impaired and recognized an additional impairment loss of $0.1 million. During the three months ended September 30, 2023, there were no observable price changes or impairments recorded. As of September 30, 2024, the Company did not have any ownership interest in Jetdoc.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DispatchHealth</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June 14, 2019, the Company invested $1.5 million in DispatchHealth Holdings, Inc. ("DispatchHealth"), through the purchase of a portion of its outstanding Series B Preferred Stock. On April 2, 2020, the Company invested an additional</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$1.1 million through the purchase of a portion of its outstanding Series C Preferred Stock. As of September 30, 2024, the balance of the Company’s investment was $2.6 million, which represents the maximum exposure to loss. The investment does not have a readily determinable fair value and the Company has elected to record the investment at cost, less impairment, if any, plus or minus any changes resulting from observable price changes in orderly transactions for the identical or similar investment of the same issuer. During the three months ended September 30, 2024 and 2023, there were no observable price changes or impairments.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Pinewood Lodge</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Through May 2, 2024, the Company’s operations included a Senior Housing unit that primarily included the accounts of Continental Community Housing (“CCH”), a wholly-owned subsidiary of the Company and the general partner of Pinewood Lodge, LLLP (“PWD”), which was organized to develop, construct, own, maintain, and operate certain apartment complexes intended for rental to low-income elderly individuals aged 62 or older.</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PWD was accounted for using the equity method of accounting. As of September 30, 2023, the balance of the Company’s investment in PWD was $0.8 million, which represented the maximum exposure to loss.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13, 2024, PWD entered into a Purchase and Sale Agreement for the sale of all of PWD's property, including the Senior Housing unit. On May 2, 2024, PWD closed on the sale of its Senior Housing property for $9.5 million. Upon completion of the sale, PWD ceased providing senior housing services and in June 2024 was dissolved. Following the dissolution, the remaining proceeds from the sale were distributed in accordance with the partnership agreement and as otherwise agreed by the partners.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Entities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Controlling Interest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InnovAge Florida PACE – Orlando</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28, 2024, the Company entered into a joint venture with Orlando Health (“OHI”) to develop and manage PACE centers to serve communities in Orlando, Florida. In connection with the joint venture, OHI, InnovAge Orlando PACE II, LLC ("InnovAge Orlando"), the joint venture, and the Company entered into a Contribution Agreement pursuant to which OHI made a cash contribution of $2.9 million to InnovAge Orlando for a proportionate 10% interest ownership. The Company's total contribution was $26.1 million for its controlling membership interest of 90%. As a result, the joint venture’s results are consolidated in the Company’s condensed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Housing</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Company’s operations include a 0.01% partnership interest in InnovAge Senior Housing Thornton, LLC (“SH1”), which was organized to develop, construct, own, maintain, and operate certain apartment complexes intended for rental to low-income elderly individuals aged 62 or older.</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SH1 is a VIE. The Company is the primary beneficiary of SH1 and consolidates SH1 as it has the power to direct the activities that are most significant to SH1 and has an obligation to absorb losses or the right to receive benefits from SH1. The most significant activity of SH1 is the operation of the senior housing facility. The Company has provided a subordinated loan to SH1 and has provided a guarantee for a convertible term loan held by SH1.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Redeemable Noncontrolling Interest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InnovAge Sacramento</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18, 2019, in connection with the formation of InnovAge Sacramento, the joint venture with Adventist Health System/West (“Adventist”) and Eskaton Properties, Incorporated (“Eskaton”), the Company contributed $9.0 million in cash and land valued at $4.2 million for a 59.9% membership interest in the joint venture. Adventist contributed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$5.8 million in cash and Eskaton contributed $3.0 million in cash for membership interests of 26.4% and 13.7%, respectively. In fiscal year 2021, the Company made an additional contribution of $0.1 million and obtained an additional 0.1% membership interest in the joint venture, which resulted in the Company obtaining control and consolidating InnovAge Sacramento as of January 1, 2021.</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InnovAge California PACE-Sacramento LLC Limited Liability Company Agreement (the “JV Agreement”) includes numerous provisions whereby, if certain conditions are met, the joint venture may be required to purchase, at fair market value, certain members’ interests or certain members may be required to purchase, at fair market value, the interests of certain other members. The Company’s investment in InnovAge Sacramento includes a put right for the noncontrolling interest holders to require the Company to repurchase the interest of the noncontrolling interest holders at fair value, after the initial term of the management services agreement in 2028. As of September 30, 2024, none of the conditions specified in the JV Agreement had been met. Accordingly, these put rights held by the noncontrolling interests of the joint venture are required to be presented as temporary equity and are recorded as redeemable noncontrolling interests on our condensed consolidated balance sheets. As of September 30, 2024 and June 30, 2024, the Company's redeemable noncontrolling interest was recorded at fair value of $21.7 million and $22.2 million,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Fair Value Measurements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from selling an asset or paid to transfer a liability (an exit price) in the principal or most advantageous market for the asset or liability in an orderly transaction between market participants, at the measurement date. A fair value hierarchy was established that requires an entity to maximize the use of observable inputs and minimize the use of unobservable inputs when measuring fair value. Observable inputs are inputs that reflect the assumptions market participants would use in pricing the asset or liability developed based on market data obtained from sources outside the reporting entity. Unobservable inputs are inputs that reflect the Company’s own assumptions based on market data and assumptions that market participants would use in pricing the asset or liability developed based on the best information available in the circumstances. The sensitivity to changes in inputs and their impact on fair value measurements can be significant.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three levels of inputs that may be used to measure fair value are:</w:t>
      </w:r>
    </w:p>
    <w:p>
      <w:pPr>
        <w:spacing w:after="0" w:line="221" w:lineRule="exact"/>
        <w:rPr>
          <w:sz w:val="20"/>
          <w:szCs w:val="20"/>
          <w:color w:val="auto"/>
        </w:rPr>
      </w:pPr>
    </w:p>
    <w:p>
      <w:pPr>
        <w:ind w:left="1620" w:right="20" w:hanging="809"/>
        <w:spacing w:after="0" w:line="282" w:lineRule="auto"/>
        <w:tabs>
          <w:tab w:leader="none" w:pos="1600" w:val="left"/>
        </w:tabs>
        <w:rPr>
          <w:sz w:val="20"/>
          <w:szCs w:val="20"/>
          <w:color w:val="auto"/>
        </w:rPr>
      </w:pPr>
      <w:r>
        <w:rPr>
          <w:rFonts w:ascii="Times New Roman" w:cs="Times New Roman" w:eastAsia="Times New Roman" w:hAnsi="Times New Roman"/>
          <w:sz w:val="18"/>
          <w:szCs w:val="18"/>
          <w:b w:val="1"/>
          <w:bCs w:val="1"/>
          <w:color w:val="auto"/>
        </w:rPr>
        <w:t>Level 1</w:t>
      </w:r>
      <w:r>
        <w:rPr>
          <w:sz w:val="20"/>
          <w:szCs w:val="20"/>
          <w:color w:val="auto"/>
        </w:rPr>
        <w:tab/>
      </w:r>
      <w:r>
        <w:rPr>
          <w:rFonts w:ascii="Times New Roman" w:cs="Times New Roman" w:eastAsia="Times New Roman" w:hAnsi="Times New Roman"/>
          <w:sz w:val="18"/>
          <w:szCs w:val="18"/>
          <w:color w:val="auto"/>
        </w:rPr>
        <w:t>Unadjusted quoted prices in active markets for identical assets or liabilities that the entity has the ability to access at the measurement date</w:t>
      </w:r>
    </w:p>
    <w:p>
      <w:pPr>
        <w:spacing w:after="0" w:line="162" w:lineRule="exact"/>
        <w:rPr>
          <w:sz w:val="20"/>
          <w:szCs w:val="20"/>
          <w:color w:val="auto"/>
        </w:rPr>
      </w:pPr>
    </w:p>
    <w:p>
      <w:pPr>
        <w:ind w:left="1620" w:right="20" w:hanging="809"/>
        <w:spacing w:after="0" w:line="282" w:lineRule="auto"/>
        <w:tabs>
          <w:tab w:leader="none" w:pos="1600" w:val="left"/>
        </w:tabs>
        <w:rPr>
          <w:sz w:val="20"/>
          <w:szCs w:val="20"/>
          <w:color w:val="auto"/>
        </w:rPr>
      </w:pPr>
      <w:r>
        <w:rPr>
          <w:rFonts w:ascii="Times New Roman" w:cs="Times New Roman" w:eastAsia="Times New Roman" w:hAnsi="Times New Roman"/>
          <w:sz w:val="18"/>
          <w:szCs w:val="18"/>
          <w:b w:val="1"/>
          <w:bCs w:val="1"/>
          <w:color w:val="auto"/>
        </w:rPr>
        <w:t>Level 2</w:t>
      </w:r>
      <w:r>
        <w:rPr>
          <w:sz w:val="20"/>
          <w:szCs w:val="20"/>
          <w:color w:val="auto"/>
        </w:rPr>
        <w:tab/>
      </w:r>
      <w:r>
        <w:rPr>
          <w:rFonts w:ascii="Times New Roman" w:cs="Times New Roman" w:eastAsia="Times New Roman" w:hAnsi="Times New Roman"/>
          <w:sz w:val="18"/>
          <w:szCs w:val="18"/>
          <w:color w:val="auto"/>
        </w:rPr>
        <w:t>Quoted prices in markets that are not active or inputs that are observable, either directly or indirectly, for substantially the full term of the assets or liabilities</w:t>
      </w:r>
    </w:p>
    <w:p>
      <w:pPr>
        <w:spacing w:after="0" w:line="162" w:lineRule="exact"/>
        <w:rPr>
          <w:sz w:val="20"/>
          <w:szCs w:val="20"/>
          <w:color w:val="auto"/>
        </w:rPr>
      </w:pPr>
    </w:p>
    <w:p>
      <w:pPr>
        <w:ind w:left="82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Level 3</w:t>
      </w:r>
      <w:r>
        <w:rPr>
          <w:sz w:val="20"/>
          <w:szCs w:val="20"/>
          <w:color w:val="auto"/>
        </w:rPr>
        <w:tab/>
      </w:r>
      <w:r>
        <w:rPr>
          <w:rFonts w:ascii="Times New Roman" w:cs="Times New Roman" w:eastAsia="Times New Roman" w:hAnsi="Times New Roman"/>
          <w:sz w:val="17"/>
          <w:szCs w:val="17"/>
          <w:color w:val="auto"/>
        </w:rPr>
        <w:t>Unobservable inputs to the valuation techniques that are significant to the fair value measurements of the assets or liabilities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the Company’s cash, cash equivalents and marketable securities by significant investment category as of September 30, 2024 and June 30, 2024:</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80" w:type="dxa"/>
            <w:vAlign w:val="bottom"/>
          </w:tcPr>
          <w:p>
            <w:pPr>
              <w:spacing w:after="0"/>
              <w:rPr>
                <w:sz w:val="11"/>
                <w:szCs w:val="11"/>
                <w:color w:val="auto"/>
              </w:rPr>
            </w:pPr>
          </w:p>
        </w:tc>
        <w:tc>
          <w:tcPr>
            <w:tcW w:w="10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Pr>
          <w:p>
            <w:pPr>
              <w:spacing w:after="0"/>
              <w:rPr>
                <w:sz w:val="11"/>
                <w:szCs w:val="11"/>
                <w:color w:val="auto"/>
              </w:rPr>
            </w:pPr>
          </w:p>
        </w:tc>
        <w:tc>
          <w:tcPr>
            <w:tcW w:w="116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Cash and</w:t>
            </w:r>
          </w:p>
        </w:tc>
        <w:tc>
          <w:tcPr>
            <w:tcW w:w="180" w:type="dxa"/>
            <w:vAlign w:val="bottom"/>
          </w:tcPr>
          <w:p>
            <w:pPr>
              <w:spacing w:after="0"/>
              <w:rPr>
                <w:sz w:val="11"/>
                <w:szCs w:val="11"/>
                <w:color w:val="auto"/>
              </w:rPr>
            </w:pPr>
          </w:p>
        </w:tc>
        <w:tc>
          <w:tcPr>
            <w:tcW w:w="1060" w:type="dxa"/>
            <w:vAlign w:val="bottom"/>
          </w:tcPr>
          <w:p>
            <w:pPr>
              <w:jc w:val="center"/>
              <w:ind w:right="98"/>
              <w:spacing w:after="0" w:line="131" w:lineRule="exact"/>
              <w:rPr>
                <w:sz w:val="20"/>
                <w:szCs w:val="20"/>
                <w:color w:val="auto"/>
              </w:rPr>
            </w:pPr>
            <w:r>
              <w:rPr>
                <w:rFonts w:ascii="Times New Roman" w:cs="Times New Roman" w:eastAsia="Times New Roman" w:hAnsi="Times New Roman"/>
                <w:sz w:val="14"/>
                <w:szCs w:val="14"/>
                <w:b w:val="1"/>
                <w:bCs w:val="1"/>
                <w:color w:val="auto"/>
              </w:rPr>
              <w:t>Short-</w:t>
            </w:r>
          </w:p>
        </w:tc>
        <w:tc>
          <w:tcPr>
            <w:tcW w:w="0" w:type="dxa"/>
            <w:vAlign w:val="bottom"/>
          </w:tcPr>
          <w:p>
            <w:pPr>
              <w:spacing w:after="0"/>
              <w:rPr>
                <w:sz w:val="1"/>
                <w:szCs w:val="1"/>
                <w:color w:val="auto"/>
              </w:rPr>
            </w:pPr>
          </w:p>
        </w:tc>
      </w:tr>
      <w:tr>
        <w:trPr>
          <w:trHeight w:val="146"/>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Cash</w:t>
            </w:r>
          </w:p>
        </w:tc>
        <w:tc>
          <w:tcPr>
            <w:tcW w:w="180" w:type="dxa"/>
            <w:vAlign w:val="bottom"/>
          </w:tcPr>
          <w:p>
            <w:pPr>
              <w:spacing w:after="0"/>
              <w:rPr>
                <w:sz w:val="12"/>
                <w:szCs w:val="12"/>
                <w:color w:val="auto"/>
              </w:rPr>
            </w:pPr>
          </w:p>
        </w:tc>
        <w:tc>
          <w:tcPr>
            <w:tcW w:w="1060" w:type="dxa"/>
            <w:vAlign w:val="bottom"/>
          </w:tcPr>
          <w:p>
            <w:pPr>
              <w:jc w:val="center"/>
              <w:ind w:right="98"/>
              <w:spacing w:after="0" w:line="146" w:lineRule="exact"/>
              <w:rPr>
                <w:sz w:val="20"/>
                <w:szCs w:val="20"/>
                <w:color w:val="auto"/>
              </w:rPr>
            </w:pPr>
            <w:r>
              <w:rPr>
                <w:rFonts w:ascii="Times New Roman" w:cs="Times New Roman" w:eastAsia="Times New Roman" w:hAnsi="Times New Roman"/>
                <w:sz w:val="14"/>
                <w:szCs w:val="14"/>
                <w:b w:val="1"/>
                <w:bCs w:val="1"/>
                <w:color w:val="auto"/>
                <w:w w:val="97"/>
              </w:rPr>
              <w:t>term</w:t>
            </w:r>
          </w:p>
        </w:tc>
        <w:tc>
          <w:tcPr>
            <w:tcW w:w="0" w:type="dxa"/>
            <w:vAlign w:val="bottom"/>
          </w:tcPr>
          <w:p>
            <w:pPr>
              <w:spacing w:after="0"/>
              <w:rPr>
                <w:sz w:val="1"/>
                <w:szCs w:val="1"/>
                <w:color w:val="auto"/>
              </w:rPr>
            </w:pPr>
          </w:p>
        </w:tc>
      </w:tr>
      <w:tr>
        <w:trPr>
          <w:trHeight w:val="198"/>
        </w:trPr>
        <w:tc>
          <w:tcPr>
            <w:tcW w:w="59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80" w:type="dxa"/>
            <w:vAlign w:val="bottom"/>
          </w:tcPr>
          <w:p>
            <w:pPr>
              <w:spacing w:after="0"/>
              <w:rPr>
                <w:sz w:val="17"/>
                <w:szCs w:val="17"/>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80" w:type="dxa"/>
            <w:vAlign w:val="bottom"/>
          </w:tcPr>
          <w:p>
            <w:pPr>
              <w:spacing w:after="0"/>
              <w:rPr>
                <w:sz w:val="17"/>
                <w:szCs w:val="17"/>
                <w:color w:val="auto"/>
              </w:rPr>
            </w:pPr>
          </w:p>
        </w:tc>
        <w:tc>
          <w:tcPr>
            <w:tcW w:w="106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0" w:type="dxa"/>
            <w:vAlign w:val="bottom"/>
          </w:tcPr>
          <w:p>
            <w:pPr>
              <w:spacing w:after="0"/>
              <w:rPr>
                <w:sz w:val="1"/>
                <w:szCs w:val="1"/>
                <w:color w:val="auto"/>
              </w:rPr>
            </w:pPr>
          </w:p>
        </w:tc>
      </w:tr>
      <w:tr>
        <w:trPr>
          <w:trHeight w:val="228"/>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27,540</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1</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Mutual funds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46,659</w:t>
            </w:r>
          </w:p>
        </w:tc>
        <w:tc>
          <w:tcPr>
            <w:tcW w:w="0" w:type="dxa"/>
            <w:vAlign w:val="bottom"/>
          </w:tcPr>
          <w:p>
            <w:pPr>
              <w:spacing w:after="0"/>
              <w:rPr>
                <w:sz w:val="1"/>
                <w:szCs w:val="1"/>
                <w:color w:val="auto"/>
              </w:rPr>
            </w:pPr>
          </w:p>
        </w:tc>
      </w:tr>
      <w:tr>
        <w:trPr>
          <w:trHeight w:val="248"/>
        </w:trPr>
        <w:tc>
          <w:tcPr>
            <w:tcW w:w="59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46,659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5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80" w:type="dxa"/>
            <w:vAlign w:val="bottom"/>
          </w:tcPr>
          <w:p>
            <w:pPr>
              <w:spacing w:after="0"/>
              <w:rPr>
                <w:sz w:val="11"/>
                <w:szCs w:val="11"/>
                <w:color w:val="auto"/>
              </w:rPr>
            </w:pPr>
          </w:p>
        </w:tc>
        <w:tc>
          <w:tcPr>
            <w:tcW w:w="10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Pr>
          <w:p>
            <w:pPr>
              <w:spacing w:after="0"/>
              <w:rPr>
                <w:sz w:val="11"/>
                <w:szCs w:val="11"/>
                <w:color w:val="auto"/>
              </w:rPr>
            </w:pPr>
          </w:p>
        </w:tc>
        <w:tc>
          <w:tcPr>
            <w:tcW w:w="116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Cash and</w:t>
            </w:r>
          </w:p>
        </w:tc>
        <w:tc>
          <w:tcPr>
            <w:tcW w:w="180" w:type="dxa"/>
            <w:vAlign w:val="bottom"/>
          </w:tcPr>
          <w:p>
            <w:pPr>
              <w:spacing w:after="0"/>
              <w:rPr>
                <w:sz w:val="11"/>
                <w:szCs w:val="11"/>
                <w:color w:val="auto"/>
              </w:rPr>
            </w:pPr>
          </w:p>
        </w:tc>
        <w:tc>
          <w:tcPr>
            <w:tcW w:w="1060" w:type="dxa"/>
            <w:vAlign w:val="bottom"/>
          </w:tcPr>
          <w:p>
            <w:pPr>
              <w:jc w:val="center"/>
              <w:ind w:right="98"/>
              <w:spacing w:after="0" w:line="131" w:lineRule="exact"/>
              <w:rPr>
                <w:sz w:val="20"/>
                <w:szCs w:val="20"/>
                <w:color w:val="auto"/>
              </w:rPr>
            </w:pPr>
            <w:r>
              <w:rPr>
                <w:rFonts w:ascii="Times New Roman" w:cs="Times New Roman" w:eastAsia="Times New Roman" w:hAnsi="Times New Roman"/>
                <w:sz w:val="14"/>
                <w:szCs w:val="14"/>
                <w:b w:val="1"/>
                <w:bCs w:val="1"/>
                <w:color w:val="auto"/>
              </w:rPr>
              <w:t>Short-</w:t>
            </w:r>
          </w:p>
        </w:tc>
        <w:tc>
          <w:tcPr>
            <w:tcW w:w="0" w:type="dxa"/>
            <w:vAlign w:val="bottom"/>
          </w:tcPr>
          <w:p>
            <w:pPr>
              <w:spacing w:after="0"/>
              <w:rPr>
                <w:sz w:val="1"/>
                <w:szCs w:val="1"/>
                <w:color w:val="auto"/>
              </w:rPr>
            </w:pPr>
          </w:p>
        </w:tc>
      </w:tr>
      <w:tr>
        <w:trPr>
          <w:trHeight w:val="146"/>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Cash</w:t>
            </w:r>
          </w:p>
        </w:tc>
        <w:tc>
          <w:tcPr>
            <w:tcW w:w="180" w:type="dxa"/>
            <w:vAlign w:val="bottom"/>
          </w:tcPr>
          <w:p>
            <w:pPr>
              <w:spacing w:after="0"/>
              <w:rPr>
                <w:sz w:val="12"/>
                <w:szCs w:val="12"/>
                <w:color w:val="auto"/>
              </w:rPr>
            </w:pPr>
          </w:p>
        </w:tc>
        <w:tc>
          <w:tcPr>
            <w:tcW w:w="1060" w:type="dxa"/>
            <w:vAlign w:val="bottom"/>
          </w:tcPr>
          <w:p>
            <w:pPr>
              <w:jc w:val="center"/>
              <w:ind w:right="98"/>
              <w:spacing w:after="0" w:line="146" w:lineRule="exact"/>
              <w:rPr>
                <w:sz w:val="20"/>
                <w:szCs w:val="20"/>
                <w:color w:val="auto"/>
              </w:rPr>
            </w:pPr>
            <w:r>
              <w:rPr>
                <w:rFonts w:ascii="Times New Roman" w:cs="Times New Roman" w:eastAsia="Times New Roman" w:hAnsi="Times New Roman"/>
                <w:sz w:val="14"/>
                <w:szCs w:val="14"/>
                <w:b w:val="1"/>
                <w:bCs w:val="1"/>
                <w:color w:val="auto"/>
                <w:w w:val="97"/>
              </w:rPr>
              <w:t>term</w:t>
            </w:r>
          </w:p>
        </w:tc>
        <w:tc>
          <w:tcPr>
            <w:tcW w:w="0" w:type="dxa"/>
            <w:vAlign w:val="bottom"/>
          </w:tcPr>
          <w:p>
            <w:pPr>
              <w:spacing w:after="0"/>
              <w:rPr>
                <w:sz w:val="1"/>
                <w:szCs w:val="1"/>
                <w:color w:val="auto"/>
              </w:rPr>
            </w:pPr>
          </w:p>
        </w:tc>
      </w:tr>
      <w:tr>
        <w:trPr>
          <w:trHeight w:val="198"/>
        </w:trPr>
        <w:tc>
          <w:tcPr>
            <w:tcW w:w="59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80" w:type="dxa"/>
            <w:vAlign w:val="bottom"/>
          </w:tcPr>
          <w:p>
            <w:pPr>
              <w:spacing w:after="0"/>
              <w:rPr>
                <w:sz w:val="17"/>
                <w:szCs w:val="17"/>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80" w:type="dxa"/>
            <w:vAlign w:val="bottom"/>
          </w:tcPr>
          <w:p>
            <w:pPr>
              <w:spacing w:after="0"/>
              <w:rPr>
                <w:sz w:val="17"/>
                <w:szCs w:val="17"/>
                <w:color w:val="auto"/>
              </w:rPr>
            </w:pPr>
          </w:p>
        </w:tc>
        <w:tc>
          <w:tcPr>
            <w:tcW w:w="106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0" w:type="dxa"/>
            <w:vAlign w:val="bottom"/>
          </w:tcPr>
          <w:p>
            <w:pPr>
              <w:spacing w:after="0"/>
              <w:rPr>
                <w:sz w:val="1"/>
                <w:szCs w:val="1"/>
                <w:color w:val="auto"/>
              </w:rPr>
            </w:pPr>
          </w:p>
        </w:tc>
      </w:tr>
      <w:tr>
        <w:trPr>
          <w:trHeight w:val="228"/>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25,793</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1</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Mutual funds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45,556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45,833</w:t>
            </w:r>
          </w:p>
        </w:tc>
        <w:tc>
          <w:tcPr>
            <w:tcW w:w="0" w:type="dxa"/>
            <w:vAlign w:val="bottom"/>
          </w:tcPr>
          <w:p>
            <w:pPr>
              <w:spacing w:after="0"/>
              <w:rPr>
                <w:sz w:val="1"/>
                <w:szCs w:val="1"/>
                <w:color w:val="auto"/>
              </w:rPr>
            </w:pPr>
          </w:p>
        </w:tc>
      </w:tr>
      <w:tr>
        <w:trPr>
          <w:trHeight w:val="248"/>
        </w:trPr>
        <w:tc>
          <w:tcPr>
            <w:tcW w:w="59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102,502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45,833</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Measurements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investment in InnovAge Sacramento includes a put right for the noncontrolling interest holders to require the Company to repurchase the interest of the noncontrolling interest holders at fair value, after the initial term of the management services agreement in 2028. As a result, at each fiscal period end the Company reports this put right at the greater of (i) carrying value of the redeemable noncontrolling interest or (ii) fair value of the redeemable noncontrolling interest. Because this asset does not have observable inputs, Level 3 inputs are used to measure fair value. The fair value of the redeemable noncontrolling interest is determined utilizing a discounted cash flow model. As of September 30, 2024 and June 30, 2024, the Company’s redeemable noncontrolling interest was recorded at fair value of $21.7 million and $22.2 million, respectively.</w:t>
      </w:r>
    </w:p>
    <w:p>
      <w:pPr>
        <w:spacing w:after="0" w:line="187"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There were no transfers in and out of Level 3 during the three months ended September 30, 2024 and 2023. The Company’s policy is to recognize transfers as of the actual date of the event or change in circumstances.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Goodwill and Intangible Assets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cost over the fair value of net assets acquired. Goodwill amounted to $139.9 million at each of September 30, 2024 and June 30, 2024. Goodwill is not amortized.</w:t>
      </w:r>
    </w:p>
    <w:p>
      <w:pPr>
        <w:spacing w:after="0" w:line="16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Pursuant to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we review the recoverability of goodwill annually as of April 1 or whenever significant events or changes occur which might impair the recovery of recorded amounts. For purposes of the annual goodwill impairment assessment, the Company identified two reporting units, East and West. There were no indicators of impairment identified and no goodwill impairment recorded during the three months ended September 30, 2024 and 2023.</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Intangible assets consisted of the following as of:</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3"/>
                <w:szCs w:val="13"/>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3"/>
                <w:szCs w:val="13"/>
                <w:color w:val="auto"/>
              </w:rPr>
            </w:pPr>
          </w:p>
        </w:tc>
        <w:tc>
          <w:tcPr>
            <w:tcW w:w="118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5"/>
        </w:trPr>
        <w:tc>
          <w:tcPr>
            <w:tcW w:w="81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Definite-lived intangible 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center"/>
              <w:ind w:left="635"/>
              <w:spacing w:after="0"/>
              <w:rPr>
                <w:sz w:val="20"/>
                <w:szCs w:val="20"/>
                <w:color w:val="auto"/>
              </w:rPr>
            </w:pPr>
            <w:r>
              <w:rPr>
                <w:rFonts w:ascii="Times New Roman" w:cs="Times New Roman" w:eastAsia="Times New Roman" w:hAnsi="Times New Roman"/>
                <w:sz w:val="18"/>
                <w:szCs w:val="18"/>
                <w:color w:val="auto"/>
                <w:w w:val="98"/>
              </w:rPr>
              <w:t>6,600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center"/>
              <w:ind w:left="535"/>
              <w:spacing w:after="0"/>
              <w:rPr>
                <w:sz w:val="20"/>
                <w:szCs w:val="20"/>
                <w:color w:val="auto"/>
              </w:rPr>
            </w:pPr>
            <w:r>
              <w:rPr>
                <w:rFonts w:ascii="Times New Roman" w:cs="Times New Roman" w:eastAsia="Times New Roman" w:hAnsi="Times New Roman"/>
                <w:sz w:val="18"/>
                <w:szCs w:val="18"/>
                <w:color w:val="auto"/>
                <w:w w:val="98"/>
              </w:rPr>
              <w:t>6,600</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635"/>
              <w:spacing w:after="0"/>
              <w:rPr>
                <w:sz w:val="20"/>
                <w:szCs w:val="20"/>
                <w:color w:val="auto"/>
              </w:rPr>
            </w:pPr>
            <w:r>
              <w:rPr>
                <w:rFonts w:ascii="Times New Roman" w:cs="Times New Roman" w:eastAsia="Times New Roman" w:hAnsi="Times New Roman"/>
                <w:sz w:val="18"/>
                <w:szCs w:val="18"/>
                <w:color w:val="auto"/>
                <w:w w:val="98"/>
              </w:rPr>
              <w:t>2,000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535"/>
              <w:spacing w:after="0"/>
              <w:rPr>
                <w:sz w:val="20"/>
                <w:szCs w:val="20"/>
                <w:color w:val="auto"/>
              </w:rPr>
            </w:pPr>
            <w:r>
              <w:rPr>
                <w:rFonts w:ascii="Times New Roman" w:cs="Times New Roman" w:eastAsia="Times New Roman" w:hAnsi="Times New Roman"/>
                <w:sz w:val="18"/>
                <w:szCs w:val="18"/>
                <w:color w:val="auto"/>
                <w:w w:val="98"/>
              </w:rPr>
              <w:t>2,000</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intangible assets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635"/>
              <w:spacing w:after="0"/>
              <w:rPr>
                <w:sz w:val="20"/>
                <w:szCs w:val="20"/>
                <w:color w:val="auto"/>
              </w:rPr>
            </w:pPr>
            <w:r>
              <w:rPr>
                <w:rFonts w:ascii="Times New Roman" w:cs="Times New Roman" w:eastAsia="Times New Roman" w:hAnsi="Times New Roman"/>
                <w:sz w:val="18"/>
                <w:szCs w:val="18"/>
                <w:color w:val="auto"/>
                <w:w w:val="98"/>
              </w:rPr>
              <w:t>8,600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535"/>
              <w:spacing w:after="0"/>
              <w:rPr>
                <w:sz w:val="20"/>
                <w:szCs w:val="20"/>
                <w:color w:val="auto"/>
              </w:rPr>
            </w:pPr>
            <w:r>
              <w:rPr>
                <w:rFonts w:ascii="Times New Roman" w:cs="Times New Roman" w:eastAsia="Times New Roman" w:hAnsi="Times New Roman"/>
                <w:sz w:val="18"/>
                <w:szCs w:val="18"/>
                <w:color w:val="auto"/>
                <w:w w:val="98"/>
              </w:rPr>
              <w:t>8,600</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Accumulated amortization</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615"/>
              <w:spacing w:after="0"/>
              <w:rPr>
                <w:sz w:val="20"/>
                <w:szCs w:val="20"/>
                <w:color w:val="auto"/>
              </w:rPr>
            </w:pPr>
            <w:r>
              <w:rPr>
                <w:rFonts w:ascii="Times New Roman" w:cs="Times New Roman" w:eastAsia="Times New Roman" w:hAnsi="Times New Roman"/>
                <w:sz w:val="18"/>
                <w:szCs w:val="18"/>
                <w:color w:val="auto"/>
              </w:rPr>
              <w:t>(4,227)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515"/>
              <w:spacing w:after="0"/>
              <w:rPr>
                <w:sz w:val="20"/>
                <w:szCs w:val="20"/>
                <w:color w:val="auto"/>
              </w:rPr>
            </w:pPr>
            <w:r>
              <w:rPr>
                <w:rFonts w:ascii="Times New Roman" w:cs="Times New Roman" w:eastAsia="Times New Roman" w:hAnsi="Times New Roman"/>
                <w:sz w:val="18"/>
                <w:szCs w:val="18"/>
                <w:color w:val="auto"/>
              </w:rPr>
              <w:t>(4,062)</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Balance as of end of period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center"/>
              <w:ind w:left="635"/>
              <w:spacing w:after="0"/>
              <w:rPr>
                <w:sz w:val="20"/>
                <w:szCs w:val="20"/>
                <w:color w:val="auto"/>
              </w:rPr>
            </w:pPr>
            <w:r>
              <w:rPr>
                <w:rFonts w:ascii="Times New Roman" w:cs="Times New Roman" w:eastAsia="Times New Roman" w:hAnsi="Times New Roman"/>
                <w:sz w:val="18"/>
                <w:szCs w:val="18"/>
                <w:color w:val="auto"/>
                <w:w w:val="98"/>
              </w:rPr>
              <w:t>4,373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center"/>
              <w:ind w:left="535"/>
              <w:spacing w:after="0"/>
              <w:rPr>
                <w:sz w:val="20"/>
                <w:szCs w:val="20"/>
                <w:color w:val="auto"/>
              </w:rPr>
            </w:pPr>
            <w:r>
              <w:rPr>
                <w:rFonts w:ascii="Times New Roman" w:cs="Times New Roman" w:eastAsia="Times New Roman" w:hAnsi="Times New Roman"/>
                <w:sz w:val="18"/>
                <w:szCs w:val="18"/>
                <w:color w:val="auto"/>
                <w:w w:val="98"/>
              </w:rPr>
              <w:t>4,538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Intangible assets consist primarily of customer relationships acquired through business acquisitions. The Company recorded amortization expense of $0.2 million for each of the three months ended September 30, 2024 and 2023.</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review the recoverability of other intangible assets in conjunction with long-lived assets whenever events or changes in circumstances indicate the carrying amount of such assets may not be recoverable. There were no intangible asset impairments recorded during the three months ended September 30, 2024 and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Leases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Leasing Arrangements as Lessee</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leases certain property and equipment under various third-party operating and finance lease agreements. The Company determines if an arrangement is or contains a lease at the lease inception date by evaluating whether the arrangement conveys the right to use an identified asset and whether the Company obtains substantially all of the economic benefits from and has the ability to direct the use of the asset. The leases are noncancelable and expire on various terms from 2024 through 2037. We determine if an arrangement is a lease upon commencement of the contract. If an arrangement is determined to be a long-term lease (greater than 12 months), we recognize a right-of-use ("ROU") asset and lease liability based on the present value of the future minimum lease payments over the lease term at the commencement date. As most of our leases do not provide an implicit rate, we use our incremental borrowing rate based on the information available at commencement date in determining the present value of future payments. Our lease terms may also include options to extend or terminate the lease when it is reasonably certain that we will exercise those options. Lease expense for minimum lease payments is recognized on a straight-line basis over the lease term.</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elected to apply the short-term lease exception for contracts that have a lease term of twelve months or less and do not include an option to purchase the underlying asset. Therefore, we do not recognize a ROU asset or lease liability for such contracts. We recognize short-term lease payments as expense on a straight-line basis over the lease term. Variable lease payments that do not depend on an index or rate are recognized as expense. Certain leases include escalations based on inflation indexes and fair market value adjustments. Operating lease liabilities are calculated using the prevailing index or rate at lease commencement for such leases.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components of our ROU assets and their classification in our Balance Sheet as of:</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 of Lease Balances</w:t>
            </w:r>
          </w:p>
        </w:tc>
        <w:tc>
          <w:tcPr>
            <w:tcW w:w="494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Balance Sheet Line Items</w:t>
            </w:r>
          </w:p>
        </w:tc>
        <w:tc>
          <w:tcPr>
            <w:tcW w:w="18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8"/>
                <w:szCs w:val="18"/>
                <w:color w:val="auto"/>
              </w:rPr>
            </w:pPr>
          </w:p>
        </w:tc>
        <w:tc>
          <w:tcPr>
            <w:tcW w:w="128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0" w:type="dxa"/>
            <w:vAlign w:val="bottom"/>
          </w:tcPr>
          <w:p>
            <w:pPr>
              <w:spacing w:after="0"/>
              <w:rPr>
                <w:sz w:val="1"/>
                <w:szCs w:val="1"/>
                <w:color w:val="auto"/>
              </w:rPr>
            </w:pPr>
          </w:p>
        </w:tc>
      </w:tr>
      <w:tr>
        <w:trPr>
          <w:trHeight w:val="203"/>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9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40" w:type="dxa"/>
            <w:vAlign w:val="bottom"/>
            <w:vMerge w:val="continue"/>
          </w:tcPr>
          <w:p>
            <w:pPr>
              <w:spacing w:after="0"/>
              <w:rPr>
                <w:sz w:val="18"/>
                <w:szCs w:val="18"/>
                <w:color w:val="auto"/>
              </w:rPr>
            </w:pPr>
          </w:p>
        </w:tc>
        <w:tc>
          <w:tcPr>
            <w:tcW w:w="4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49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Operating lease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27,385</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28,416</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49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15,908</w:t>
            </w:r>
          </w:p>
        </w:tc>
        <w:tc>
          <w:tcPr>
            <w:tcW w:w="0" w:type="dxa"/>
            <w:vAlign w:val="bottom"/>
          </w:tcPr>
          <w:p>
            <w:pPr>
              <w:spacing w:after="0"/>
              <w:rPr>
                <w:sz w:val="1"/>
                <w:szCs w:val="1"/>
                <w:color w:val="auto"/>
              </w:rPr>
            </w:pPr>
          </w:p>
        </w:tc>
      </w:tr>
      <w:tr>
        <w:trPr>
          <w:trHeight w:val="223"/>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leased assets</w:t>
            </w:r>
          </w:p>
        </w:tc>
        <w:tc>
          <w:tcPr>
            <w:tcW w:w="49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41,938</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44,324</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4940" w:type="dxa"/>
            <w:vAlign w:val="bottom"/>
            <w:vMerge w:val="restart"/>
          </w:tcPr>
          <w:p>
            <w:pPr>
              <w:jc w:val="right"/>
              <w:ind w:right="237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3240" w:type="dxa"/>
            <w:vAlign w:val="bottom"/>
          </w:tcPr>
          <w:p>
            <w:pPr>
              <w:spacing w:after="0"/>
              <w:rPr>
                <w:sz w:val="24"/>
                <w:szCs w:val="24"/>
                <w:color w:val="auto"/>
              </w:rPr>
            </w:pPr>
          </w:p>
        </w:tc>
        <w:tc>
          <w:tcPr>
            <w:tcW w:w="49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40" w:type="dxa"/>
            <w:vAlign w:val="bottom"/>
            <w:tcBorders>
              <w:bottom w:val="single" w:sz="8" w:color="9A9A9A"/>
            </w:tcBorders>
          </w:tcPr>
          <w:p>
            <w:pPr>
              <w:spacing w:after="0"/>
              <w:rPr>
                <w:sz w:val="10"/>
                <w:szCs w:val="10"/>
                <w:color w:val="auto"/>
              </w:rPr>
            </w:pPr>
          </w:p>
        </w:tc>
        <w:tc>
          <w:tcPr>
            <w:tcW w:w="49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of our lease cost and the classification of such costs in our condensed consolidated statements of operations for the three months ended September 30:</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Component of Lease Cost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lease cost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Finance lease expense:</w:t>
      </w:r>
    </w:p>
    <w:p>
      <w:pPr>
        <w:spacing w:after="0" w:line="23" w:lineRule="exact"/>
        <w:rPr>
          <w:sz w:val="20"/>
          <w:szCs w:val="20"/>
          <w:color w:val="auto"/>
        </w:rPr>
      </w:pPr>
    </w:p>
    <w:p>
      <w:pPr>
        <w:ind w:left="140" w:right="1040"/>
        <w:spacing w:after="0" w:line="323" w:lineRule="auto"/>
        <w:rPr>
          <w:sz w:val="20"/>
          <w:szCs w:val="20"/>
          <w:color w:val="auto"/>
        </w:rPr>
      </w:pPr>
      <w:r>
        <w:rPr>
          <w:rFonts w:ascii="Times New Roman" w:cs="Times New Roman" w:eastAsia="Times New Roman" w:hAnsi="Times New Roman"/>
          <w:sz w:val="17"/>
          <w:szCs w:val="17"/>
          <w:color w:val="auto"/>
        </w:rPr>
        <w:t>Amortization of leased assets Interest on lease liabilities</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Variable lease cost</w:t>
      </w:r>
    </w:p>
    <w:p>
      <w:pPr>
        <w:spacing w:after="0" w:line="212" w:lineRule="exact"/>
        <w:rPr>
          <w:sz w:val="20"/>
          <w:szCs w:val="20"/>
          <w:color w:val="auto"/>
        </w:rPr>
      </w:pPr>
    </w:p>
    <w:p>
      <w:pPr>
        <w:jc w:val="right"/>
        <w:ind w:right="1740"/>
        <w:spacing w:after="0"/>
        <w:rPr>
          <w:sz w:val="20"/>
          <w:szCs w:val="20"/>
          <w:color w:val="auto"/>
        </w:rPr>
      </w:pPr>
      <w:r>
        <w:rPr>
          <w:rFonts w:ascii="Times New Roman" w:cs="Times New Roman" w:eastAsia="Times New Roman" w:hAnsi="Times New Roman"/>
          <w:sz w:val="17"/>
          <w:szCs w:val="17"/>
          <w:color w:val="auto"/>
        </w:rPr>
        <w:t>Short-term lease cost</w:t>
      </w:r>
    </w:p>
    <w:p>
      <w:pPr>
        <w:spacing w:after="0" w:line="71" w:lineRule="exact"/>
        <w:rPr>
          <w:sz w:val="20"/>
          <w:szCs w:val="20"/>
          <w:color w:val="auto"/>
        </w:rPr>
      </w:pPr>
    </w:p>
    <w:p>
      <w:pPr>
        <w:jc w:val="right"/>
        <w:ind w:right="1700"/>
        <w:spacing w:after="0"/>
        <w:rPr>
          <w:sz w:val="20"/>
          <w:szCs w:val="20"/>
          <w:color w:val="auto"/>
        </w:rPr>
      </w:pPr>
      <w:r>
        <w:rPr>
          <w:rFonts w:ascii="Times New Roman" w:cs="Times New Roman" w:eastAsia="Times New Roman" w:hAnsi="Times New Roman"/>
          <w:sz w:val="18"/>
          <w:szCs w:val="18"/>
          <w:b w:val="1"/>
          <w:bCs w:val="1"/>
          <w:color w:val="auto"/>
        </w:rPr>
        <w:t>Total lease expense</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4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 Line Items</w:t>
            </w:r>
          </w:p>
        </w:tc>
        <w:tc>
          <w:tcPr>
            <w:tcW w:w="200" w:type="dxa"/>
            <w:vAlign w:val="bottom"/>
          </w:tcPr>
          <w:p>
            <w:pPr>
              <w:spacing w:after="0"/>
              <w:rPr>
                <w:sz w:val="18"/>
                <w:szCs w:val="18"/>
                <w:color w:val="auto"/>
              </w:rPr>
            </w:pPr>
          </w:p>
        </w:tc>
        <w:tc>
          <w:tcPr>
            <w:tcW w:w="2880" w:type="dxa"/>
            <w:vAlign w:val="bottom"/>
            <w:gridSpan w:val="4"/>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0" w:type="dxa"/>
            <w:vAlign w:val="bottom"/>
          </w:tcPr>
          <w:p>
            <w:pPr>
              <w:spacing w:after="0"/>
              <w:rPr>
                <w:sz w:val="1"/>
                <w:szCs w:val="1"/>
                <w:color w:val="auto"/>
              </w:rPr>
            </w:pPr>
          </w:p>
        </w:tc>
      </w:tr>
      <w:tr>
        <w:trPr>
          <w:trHeight w:val="235"/>
        </w:trPr>
        <w:tc>
          <w:tcPr>
            <w:tcW w:w="4060" w:type="dxa"/>
            <w:vAlign w:val="bottom"/>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372"/>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Cost of care excluding depreciation and amortization</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and Corporate, general and administrative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0" w:type="dxa"/>
            <w:vAlign w:val="bottom"/>
          </w:tcPr>
          <w:p>
            <w:pPr>
              <w:spacing w:after="0"/>
              <w:rPr>
                <w:sz w:val="1"/>
                <w:szCs w:val="1"/>
                <w:color w:val="auto"/>
              </w:rPr>
            </w:pPr>
          </w:p>
        </w:tc>
      </w:tr>
      <w:tr>
        <w:trPr>
          <w:trHeight w:val="45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80"/>
        </w:trPr>
        <w:tc>
          <w:tcPr>
            <w:tcW w:w="40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Cost of care excluding depreciation and amortization</w:t>
            </w: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and Corporate, general and administrative</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0"/>
        </w:trPr>
        <w:tc>
          <w:tcPr>
            <w:tcW w:w="40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Cost of care excluding depreciation and amortization</w:t>
            </w: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and Corporate, general and administrative</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3"/>
        </w:trPr>
        <w:tc>
          <w:tcPr>
            <w:tcW w:w="40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-1422400</wp:posOffset>
            </wp:positionV>
            <wp:extent cx="7063740" cy="2660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63740" cy="26606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-1010920</wp:posOffset>
            </wp:positionV>
            <wp:extent cx="706374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63740" cy="14541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-719455</wp:posOffset>
            </wp:positionV>
            <wp:extent cx="7063740" cy="265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63740" cy="26543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-187960</wp:posOffset>
            </wp:positionV>
            <wp:extent cx="706374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6374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80" w:space="720"/>
            <w:col w:w="7240"/>
          </w:cols>
          <w:pgMar w:left="320" w:top="121" w:right="339" w:bottom="1440" w:gutter="0" w:footer="0" w:header="0"/>
          <w:type w:val="continuous"/>
        </w:sectPr>
      </w:pPr>
    </w:p>
    <w:p>
      <w:pPr>
        <w:spacing w:after="0" w:line="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includes the weighted-average lease terms and discount rates for operating and finance leases as of September 30: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w:t>
            </w:r>
          </w:p>
        </w:tc>
        <w:tc>
          <w:tcPr>
            <w:tcW w:w="1580" w:type="dxa"/>
            <w:vAlign w:val="bottom"/>
            <w:gridSpan w:val="4"/>
          </w:tcPr>
          <w:p>
            <w:pPr>
              <w:ind w:left="2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80" w:type="dxa"/>
            <w:vAlign w:val="bottom"/>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3"/>
        </w:trPr>
        <w:tc>
          <w:tcPr>
            <w:tcW w:w="79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3"/>
        </w:trPr>
        <w:tc>
          <w:tcPr>
            <w:tcW w:w="8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48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8"/>
              </w:rPr>
              <w:t>7.5 years</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years</w:t>
            </w:r>
          </w:p>
        </w:tc>
      </w:tr>
      <w:tr>
        <w:trPr>
          <w:trHeight w:val="234"/>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1580" w:type="dxa"/>
            <w:vAlign w:val="bottom"/>
            <w:gridSpan w:val="4"/>
          </w:tcPr>
          <w:p>
            <w:pPr>
              <w:ind w:left="820"/>
              <w:spacing w:after="0"/>
              <w:rPr>
                <w:sz w:val="20"/>
                <w:szCs w:val="20"/>
                <w:color w:val="auto"/>
              </w:rPr>
            </w:pPr>
            <w:r>
              <w:rPr>
                <w:rFonts w:ascii="Times New Roman" w:cs="Times New Roman" w:eastAsia="Times New Roman" w:hAnsi="Times New Roman"/>
                <w:sz w:val="18"/>
                <w:szCs w:val="18"/>
                <w:color w:val="auto"/>
              </w:rPr>
              <w:t>3.3 years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years</w:t>
            </w:r>
          </w:p>
        </w:tc>
      </w:tr>
      <w:tr>
        <w:trPr>
          <w:trHeight w:val="495"/>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158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8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3"/>
        </w:trPr>
        <w:tc>
          <w:tcPr>
            <w:tcW w:w="79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3"/>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7"/>
              </w:rPr>
              <w:t>6.85 %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6.62 %</w:t>
            </w:r>
          </w:p>
        </w:tc>
      </w:tr>
      <w:tr>
        <w:trPr>
          <w:trHeight w:val="234"/>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13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7"/>
              </w:rPr>
              <w:t>7.82 %</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7.87 %</w:t>
            </w:r>
          </w:p>
        </w:tc>
      </w:tr>
    </w:tbl>
    <w:p>
      <w:pPr>
        <w:spacing w:after="0" w:line="2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includes the future maturities of lease payments for operating leases and finance leases for periods subsequent to September 30, 2024:</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300" w:type="dxa"/>
            <w:vAlign w:val="bottom"/>
          </w:tcPr>
          <w:p>
            <w:pPr>
              <w:spacing w:after="0"/>
              <w:rPr>
                <w:sz w:val="13"/>
                <w:szCs w:val="13"/>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340" w:type="dxa"/>
            <w:vAlign w:val="bottom"/>
          </w:tcPr>
          <w:p>
            <w:pPr>
              <w:spacing w:after="0"/>
              <w:rPr>
                <w:sz w:val="13"/>
                <w:szCs w:val="13"/>
                <w:color w:val="auto"/>
              </w:rPr>
            </w:pPr>
          </w:p>
        </w:tc>
        <w:tc>
          <w:tcPr>
            <w:tcW w:w="114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260" w:type="dxa"/>
            <w:vAlign w:val="bottom"/>
            <w:vMerge w:val="continue"/>
          </w:tcPr>
          <w:p>
            <w:pPr>
              <w:spacing w:after="0"/>
              <w:rPr>
                <w:sz w:val="16"/>
                <w:szCs w:val="16"/>
                <w:color w:val="auto"/>
              </w:rPr>
            </w:pPr>
          </w:p>
        </w:tc>
        <w:tc>
          <w:tcPr>
            <w:tcW w:w="2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Lease</w:t>
            </w:r>
          </w:p>
        </w:tc>
        <w:tc>
          <w:tcPr>
            <w:tcW w:w="3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Lease</w:t>
            </w: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remaining in 2025</w:t>
            </w:r>
          </w:p>
        </w:tc>
        <w:tc>
          <w:tcPr>
            <w:tcW w:w="23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12,638</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11,377</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10,256</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7,413</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4,652</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11,582</w:t>
            </w:r>
          </w:p>
        </w:tc>
        <w:tc>
          <w:tcPr>
            <w:tcW w:w="0" w:type="dxa"/>
            <w:vAlign w:val="bottom"/>
          </w:tcPr>
          <w:p>
            <w:pPr>
              <w:spacing w:after="0"/>
              <w:rPr>
                <w:sz w:val="1"/>
                <w:szCs w:val="1"/>
                <w:color w:val="auto"/>
              </w:rPr>
            </w:pPr>
          </w:p>
        </w:tc>
      </w:tr>
      <w:tr>
        <w:trPr>
          <w:trHeight w:val="223"/>
        </w:trPr>
        <w:tc>
          <w:tcPr>
            <w:tcW w:w="42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payments</w:t>
            </w:r>
          </w:p>
        </w:tc>
        <w:tc>
          <w:tcPr>
            <w:tcW w:w="23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57,918</w:t>
            </w:r>
          </w:p>
        </w:tc>
        <w:tc>
          <w:tcPr>
            <w:tcW w:w="0" w:type="dxa"/>
            <w:vAlign w:val="bottom"/>
          </w:tcPr>
          <w:p>
            <w:pPr>
              <w:spacing w:after="0"/>
              <w:rPr>
                <w:sz w:val="1"/>
                <w:szCs w:val="1"/>
                <w:color w:val="auto"/>
              </w:rPr>
            </w:pPr>
          </w:p>
        </w:tc>
      </w:tr>
      <w:tr>
        <w:trPr>
          <w:trHeight w:val="230"/>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liability accretion / imputed interest</w:t>
            </w:r>
          </w:p>
        </w:tc>
        <w:tc>
          <w:tcPr>
            <w:tcW w:w="23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(12,397)</w:t>
            </w:r>
          </w:p>
        </w:tc>
        <w:tc>
          <w:tcPr>
            <w:tcW w:w="0" w:type="dxa"/>
            <w:vAlign w:val="bottom"/>
          </w:tcPr>
          <w:p>
            <w:pPr>
              <w:spacing w:after="0"/>
              <w:rPr>
                <w:sz w:val="1"/>
                <w:szCs w:val="1"/>
                <w:color w:val="auto"/>
              </w:rPr>
            </w:pPr>
          </w:p>
        </w:tc>
      </w:tr>
      <w:tr>
        <w:trPr>
          <w:trHeight w:val="223"/>
        </w:trPr>
        <w:tc>
          <w:tcPr>
            <w:tcW w:w="4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liabilities</w:t>
            </w:r>
          </w:p>
        </w:tc>
        <w:tc>
          <w:tcPr>
            <w:tcW w:w="2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45,521</w:t>
            </w:r>
          </w:p>
        </w:tc>
        <w:tc>
          <w:tcPr>
            <w:tcW w:w="0" w:type="dxa"/>
            <w:vAlign w:val="bottom"/>
          </w:tcPr>
          <w:p>
            <w:pPr>
              <w:spacing w:after="0"/>
              <w:rPr>
                <w:sz w:val="1"/>
                <w:szCs w:val="1"/>
                <w:color w:val="auto"/>
              </w:rPr>
            </w:pPr>
          </w:p>
        </w:tc>
      </w:tr>
      <w:tr>
        <w:trPr>
          <w:trHeight w:val="230"/>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lease liabilities</w:t>
            </w:r>
          </w:p>
        </w:tc>
        <w:tc>
          <w:tcPr>
            <w:tcW w:w="23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9,676</w:t>
            </w:r>
          </w:p>
        </w:tc>
        <w:tc>
          <w:tcPr>
            <w:tcW w:w="0" w:type="dxa"/>
            <w:vAlign w:val="bottom"/>
          </w:tcPr>
          <w:p>
            <w:pPr>
              <w:spacing w:after="0"/>
              <w:rPr>
                <w:sz w:val="1"/>
                <w:szCs w:val="1"/>
                <w:color w:val="auto"/>
              </w:rPr>
            </w:pPr>
          </w:p>
        </w:tc>
      </w:tr>
      <w:tr>
        <w:trPr>
          <w:trHeight w:val="248"/>
        </w:trPr>
        <w:tc>
          <w:tcPr>
            <w:tcW w:w="42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long-term lease liabilities</w:t>
            </w:r>
          </w:p>
        </w:tc>
        <w:tc>
          <w:tcPr>
            <w:tcW w:w="2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35,845</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bottom w:val="single" w:sz="8" w:color="CCEEFF"/>
            </w:tcBorders>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26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6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Long-Term Debt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Long-term debt consisted of the following at September 30, 2024 and June 30, 2024: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00" w:type="dxa"/>
            <w:vAlign w:val="bottom"/>
          </w:tcPr>
          <w:p>
            <w:pPr>
              <w:spacing w:after="0"/>
              <w:rPr>
                <w:sz w:val="16"/>
                <w:szCs w:val="16"/>
                <w:color w:val="auto"/>
              </w:rPr>
            </w:pPr>
          </w:p>
        </w:tc>
        <w:tc>
          <w:tcPr>
            <w:tcW w:w="108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4"/>
        </w:trPr>
        <w:tc>
          <w:tcPr>
            <w:tcW w:w="8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6"/>
        </w:trPr>
        <w:tc>
          <w:tcPr>
            <w:tcW w:w="8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80" w:type="dxa"/>
            <w:vAlign w:val="bottom"/>
          </w:tcPr>
          <w:p>
            <w:pPr>
              <w:spacing w:after="0"/>
              <w:rPr>
                <w:sz w:val="17"/>
                <w:szCs w:val="17"/>
                <w:color w:val="auto"/>
              </w:rPr>
            </w:pPr>
          </w:p>
        </w:tc>
      </w:tr>
      <w:tr>
        <w:trPr>
          <w:trHeight w:val="23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borrowings: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63,750</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Convertible term loan</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2,239</w:t>
            </w:r>
          </w:p>
        </w:tc>
      </w:tr>
      <w:tr>
        <w:trPr>
          <w:trHeight w:val="223"/>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debt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65,989</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w:t>
            </w:r>
          </w:p>
        </w:tc>
      </w:tr>
      <w:tr>
        <w:trPr>
          <w:trHeight w:val="22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Noncurrent maturities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60,637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61,478</w:t>
            </w:r>
          </w:p>
        </w:tc>
      </w:tr>
      <w:tr>
        <w:trPr>
          <w:trHeight w:val="20"/>
        </w:trPr>
        <w:tc>
          <w:tcPr>
            <w:tcW w:w="8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Credit Agreement</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March 8, 2021, the Company entered into a credit agreement (as amended, the “2021 Credit Agreement”) that replaced its prior credit agreement. The 2021 Credit Agreement consists of a senior secured term loan (the “Term Loan Facility”) of $75.0 million principal amount and a revolving credit facility (the “Revolving Credit Facility”) of $100.0 million maximum borrowing capacity, each with a maturity date of March 8, 2026. Borrowing capacity under the Revolving Credit Facility is subject to (i) any issued amounts under our letters of credit, which as of September 30, 2024 was $5.2 million, and</w:t>
      </w:r>
    </w:p>
    <w:p>
      <w:pPr>
        <w:spacing w:after="0" w:line="3" w:lineRule="exact"/>
        <w:rPr>
          <w:sz w:val="20"/>
          <w:szCs w:val="20"/>
          <w:color w:val="auto"/>
        </w:rPr>
      </w:pPr>
    </w:p>
    <w:p>
      <w:pPr>
        <w:jc w:val="both"/>
        <w:ind w:firstLine="8"/>
        <w:spacing w:after="0" w:line="255" w:lineRule="auto"/>
        <w:tabs>
          <w:tab w:leader="none" w:pos="27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covenant compliance restrictions and any other conditions precedent to borrowing. Loans under the 2021 Credit Agreement are secured by substantially all of the Company’s assets. Principal on the Term Loan Facility is paid each calendar quarter in an amount equal to 1.25% of the initial term loan on closing date.</w:t>
      </w:r>
    </w:p>
    <w:p>
      <w:pPr>
        <w:spacing w:after="0" w:line="18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Outstanding principal amounts under the 2021 Credit Agreement accrue interest at a variable interest rate. As of September 30, 2024, the interest rate on the Term Loan Facility was 6.94%. Under the terms of the 2021 Credit Agreement, the Revolving Credit Facility fee accrues at 0.25% of the average daily unused amount and is paid quarterly. As of September 30, 2024, we had no borrowings outstanding, $5.2 million of letters of credit issued, and $94.8 million of remaining capacity under the Revolving Credit Facility.</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2021 Credit Agreement requires the Company to meet certain operational and reporting requirements, including, but not limited to, a secured net leverage ratio. Additionally, annual capital expenditures and permitted investments, including acquisitions, are limited to amounts specified in the 2021 Credit Agreement. The 2021 Credit Agreement also provides certain restrictions on dividend payments and other equity transactions and requires the Company to make prepayments under specified circumstances. As of September 30, 2024, the Company was in compliance with the covenants of the 2021 Credit Agreement.</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deferred financing costs of $2.0 million are amortized over the term of the underlying debt and unamortized amounts have been offset against long-term debt in the condensed consolidated balance sheets. Total amortization of deferred financing costs was $0.1 million for each of the three months ended September 30, 2024 and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Term Loan</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June 29, 2015, SH1 entered into a convertible term loan. Principal and interest payments of $0.02 million are due monthly. The loan bears interest at an annual rate of 6.68%, with the remaining principal balance due upon maturity at August 20, 2030. The loan is secured by a deed of trust to Public Trustee, assignment of leases and rents, security agreements, and SH1’s fixture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Liability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pays fixed premiums for annual professional liability insurance coverage under a claims-made policy. Under such policy, only claims made and reported to the insurer are covered during the policy term, regardless of when the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incident giving rise to the claim occurred. The Company records claim liabilities and expected recoveries, if any, at gross amounts. The Company is not currently aware of any unasserted claims or unreported incidents that are expected to exceed medical malpractice insurance coverage limits.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involved in various legal proceedings and be subject to claims. The Company regularly evaluates the status of claims and legal proceedings in which it is involved in order to assess whether a loss is probable or there is a reasonable possibility that a loss may have been incurred, and to determine whether accruals are appropriate. The Company expenses legal costs as such costs are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Civil Investigative Demands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July 2021, the Company received a civil investigative demand from the Attorney General for the State of Colorado under the Colorado Medicaid False Claims Act. The demand requested information and documents regarding Medicaid billing, patient services and referrals in connection with the Company’s PACE program in Colorado. We continue to fully cooperate with the Attorney General.</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February 2022, the Company received a civil investigative demand from the Department of Justice (“DOJ”) under the Federal False Claims Act on similar subject matter. The demand requested information and documents regarding audits, billing, orders tracking, and quality and timeliness of patient services in connection with the Company’s PACE programs in the states where the Company operated as of 2022 (California, Colorado, New Mexico, Pennsylvania, and Virginia). In December 2022, the Company received a supplemental civil investigative demand requesting supplemental information on the same matters. The Company continues to fully cooperate with the DOJ.</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October 2024, the Company received a civil investigative demand from the DOJ under the Federal False Claims Act on a similar subject matter. The demand requests information and documents regarding the Company's relationship as a PACE provider with residential care facilities in California and Colorado, related housing costs, and enrollment practices. The Company is fully cooperating with the DOJ and producing the requested information and documentation.</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currently unable to predict the outcome of these investigations.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Lawsuits</w:t>
      </w:r>
    </w:p>
    <w:p>
      <w:pPr>
        <w:spacing w:after="0" w:line="256"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18"/>
          <w:szCs w:val="18"/>
          <w:color w:val="auto"/>
        </w:rPr>
        <w:t>On October 14, 2021, and subsequently amended on June 21, 2022, the Company was named as a defendant in a putative class action complaint filed in the District Court for the District of Colorado on behalf of individuals who purchased or acquired shares of the Company’s common stock during a specified period (the "Securities Action"). Through the complaint, plaintiffs are asserting claims against the Company, certain of the Company’s officers and directors, Apax Partners, L.P., Welsh, Carson, Anderson &amp; Stowe and the underwriters in the Company’s IPO, alleging violations of Sections 11, 12(a)</w:t>
      </w:r>
    </w:p>
    <w:p>
      <w:pPr>
        <w:spacing w:after="0" w:line="2" w:lineRule="exact"/>
        <w:rPr>
          <w:sz w:val="20"/>
          <w:szCs w:val="20"/>
          <w:color w:val="auto"/>
        </w:rPr>
      </w:pPr>
    </w:p>
    <w:p>
      <w:pPr>
        <w:jc w:val="both"/>
        <w:ind w:firstLine="8"/>
        <w:spacing w:after="0" w:line="259" w:lineRule="auto"/>
        <w:tabs>
          <w:tab w:leader="none" w:pos="28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and 15 of the Securities Act of 1933 and Sections 10(b) and 20(a) of the Securities Exchange Act of 1934 for making allegedly inaccurate and misleading statements and omissions in connection with the Company’s IPO and subsequent earnings calls and public filings, and seeking compensatory damages, among other things. On September 13, 2022, the Company and the officer and director defendants and Apax Partners, L.P. and Welsh, Carson, Anderson &amp; Stowe filed a motion to dismiss the amended complaint for failure to state a claim upon which relief can be granted. On December 22, 2023, the District Court granted in part and denied in part the motion to dismiss. On September 17, 2024, plaintiffs filed a second amended complaint to add four additional defendants, WCAS Management Corporation, WCAS Management, L.P., WCAS Management, LLC, and TCO Group Holdings, L.P., renames Apax Partners, L.P. as Apax Partners US LLC and drops Welsh, Carson, Anderson &amp; Stowe as a defendant. The action is currently stayed as to WCAS Management Corporation, WCAS Management L.P., WCAS Management, LLC and TCO Group Holdings, L.P. but otherwise continues to be in discovery.</w:t>
      </w:r>
    </w:p>
    <w:p>
      <w:pPr>
        <w:spacing w:after="0" w:line="16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April 20, 2022, the Board of Directors of the Company received a books and records demand pursuant to Section 220 of the Delaware General Corporation Law, from a purported stockholder of the Company, Brian Hall, in connection with the stockholder’s investigation of, among other matters, potential breaches of fiduciary duty, mismanagement, self-dealing, corporate waste or other violations of law by the Company’s Board with respect to these matters. On May 15, 2023, Mr. Hall filed a lawsuit in the Delaware Court of Chancery asserting derivative claims for breach of fiduciary duty against certain of the Company’s current and former officers and directors generally relating to alleged failures by the defendants to take remedial actions to address the matters that resulted in sanctions by CMS at certain of the Company’s centers, and alleged misstatements in the Company’s public filings relating to those matters. On June 28, 2023, upon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stipulation of the parties, the court entered an order staying the litigation pending the resolution of the motion to dismiss in the Securities Action or upon fifteen days’ notice by any party to the litigation. On January 22, 2024, upon stipulation of the parties, the court entered an order further staying the litigation pending the close of fact discovery in the Securities Action.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currently unable to predict the outcome of these matters.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Because the results of legal proceedings and claims are inherently unpredictable and uncertain, we are currently unable to predict whether the legal proceedings we are involved in will, either individually or in the aggregate, have a material adverse effect on our business, financial condition, or cash flows. The outcomes of legal proceedings and claims could be material to the Company’s operating results for any particular period, depending in part, upon the operating results of such period. Regardless of the outcome, litigation has the potential to have an adverse impact on us due to any related defense and settlement costs, diversion of management resources, and other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Stock-based Compensation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summary of our aggregate stock-based compensation expense is set forth below. Stock-based compensation expense is included in corporate, general and administrative expenses on our condensed consolidated statements of operations.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80" w:type="dxa"/>
            <w:vAlign w:val="bottom"/>
          </w:tcPr>
          <w:p>
            <w:pPr>
              <w:spacing w:after="0"/>
              <w:rPr>
                <w:sz w:val="18"/>
                <w:szCs w:val="18"/>
                <w:color w:val="auto"/>
              </w:rPr>
            </w:pPr>
          </w:p>
        </w:tc>
        <w:tc>
          <w:tcPr>
            <w:tcW w:w="3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520" w:type="dxa"/>
            <w:vAlign w:val="bottom"/>
            <w:tcBorders>
              <w:bottom w:val="single" w:sz="8" w:color="auto"/>
            </w:tcBorders>
          </w:tcPr>
          <w:p>
            <w:pPr>
              <w:spacing w:after="0"/>
              <w:rPr>
                <w:sz w:val="18"/>
                <w:szCs w:val="18"/>
                <w:color w:val="auto"/>
              </w:rPr>
            </w:pPr>
          </w:p>
        </w:tc>
      </w:tr>
      <w:tr>
        <w:trPr>
          <w:trHeight w:val="211"/>
        </w:trPr>
        <w:tc>
          <w:tcPr>
            <w:tcW w:w="7680" w:type="dxa"/>
            <w:vAlign w:val="bottom"/>
          </w:tcPr>
          <w:p>
            <w:pPr>
              <w:spacing w:after="0"/>
              <w:rPr>
                <w:sz w:val="18"/>
                <w:szCs w:val="18"/>
                <w:color w:val="auto"/>
              </w:rPr>
            </w:pPr>
          </w:p>
        </w:tc>
        <w:tc>
          <w:tcPr>
            <w:tcW w:w="11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r>
      <w:tr>
        <w:trPr>
          <w:trHeight w:val="208"/>
        </w:trPr>
        <w:tc>
          <w:tcPr>
            <w:tcW w:w="7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00" w:type="dxa"/>
            <w:vAlign w:val="bottom"/>
            <w:gridSpan w:val="3"/>
          </w:tcPr>
          <w:p>
            <w:pPr>
              <w:jc w:val="right"/>
              <w:ind w:right="753"/>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20" w:type="dxa"/>
            <w:vAlign w:val="bottom"/>
          </w:tcPr>
          <w:p>
            <w:pPr>
              <w:spacing w:after="0"/>
              <w:rPr>
                <w:sz w:val="18"/>
                <w:szCs w:val="18"/>
                <w:color w:val="auto"/>
              </w:rPr>
            </w:pPr>
          </w:p>
        </w:tc>
      </w:tr>
      <w:tr>
        <w:trPr>
          <w:trHeight w:val="274"/>
        </w:trPr>
        <w:tc>
          <w:tcPr>
            <w:tcW w:w="76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140" w:type="dxa"/>
            <w:vAlign w:val="bottom"/>
            <w:shd w:val="clear" w:color="auto" w:fill="CCEEFF"/>
          </w:tcPr>
          <w:p>
            <w:pPr>
              <w:jc w:val="right"/>
              <w:ind w:right="93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Profits interests units</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r>
      <w:tr>
        <w:trPr>
          <w:trHeight w:val="223"/>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140" w:type="dxa"/>
            <w:vAlign w:val="bottom"/>
            <w:tcBorders>
              <w:bottom w:val="single" w:sz="8" w:color="auto"/>
            </w:tcBorders>
          </w:tcPr>
          <w:p>
            <w:pPr>
              <w:jc w:val="right"/>
              <w:ind w:right="93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ind w:right="101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w:t>
            </w:r>
          </w:p>
        </w:tc>
      </w:tr>
      <w:tr>
        <w:trPr>
          <w:trHeight w:val="20"/>
        </w:trPr>
        <w:tc>
          <w:tcPr>
            <w:tcW w:w="76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Equity Incentive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Profits Interests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TCO Group Holdings, L.P. (the “LP”), the Company’s largest shareholder and prior to the IPO, the Company’s parent, maintains the TCO Group Holdings, L.P. Equity Incentive Plan (the "2020 Equity Incentive Plan") pursuant to which interests in the LP in the form of Class B Units (profits interests) may be granted to employees, directors, consultants, advisers, and other services providers (including partners) of the LP or any of its affiliates, including the Company. A maximum number of 16,162,177 Class B Units are authorized for grant under the 2020 Equity Incentive Plan. Both performance-based and time-based units have been issued under the plan. As of September 30, 2024, a total of 15,222,837 profits interests units had been granted under the 2020 Equity Incentive Plan.</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used the Monte Carlo option model to determine the fair value of the granted profits interests units at the time of the grant. Expected stock price volatility is based on consideration of indications observed from several publicly traded peer companies. The risk-free interest rate is based on a treasury instrument whose term is consistent with the expected life of the unit. The dividend yield percentage is zero because the Company neither currently pays dividends nor intends to do so during the expected term. The expected term of the units represents the time the units are expected to be outstanding. A total of 1,963,700 Class B Units were awarded during the three months ended September 30, 2023 to the Company's Chief Executive Officer and Chief Financial Officer. There were no Class B Units awarded during the three months ended September 30, 2024.</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profits interests activity for the three months ended September 30, 2024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Time-based unit awards</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214"/>
        </w:trPr>
        <w:tc>
          <w:tcPr>
            <w:tcW w:w="8180" w:type="dxa"/>
            <w:vAlign w:val="bottom"/>
            <w:gridSpan w:val="2"/>
            <w:vMerge w:val="continue"/>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0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grant date fair value</w:t>
            </w:r>
          </w:p>
        </w:tc>
        <w:tc>
          <w:tcPr>
            <w:tcW w:w="0" w:type="dxa"/>
            <w:vAlign w:val="bottom"/>
          </w:tcPr>
          <w:p>
            <w:pPr>
              <w:spacing w:after="0"/>
              <w:rPr>
                <w:sz w:val="1"/>
                <w:szCs w:val="1"/>
                <w:color w:val="auto"/>
              </w:rPr>
            </w:pPr>
          </w:p>
        </w:tc>
      </w:tr>
      <w:tr>
        <w:trPr>
          <w:trHeight w:val="252"/>
        </w:trPr>
        <w:tc>
          <w:tcPr>
            <w:tcW w:w="8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June 30, 2024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1,287,113</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30"/>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(379,917)</w:t>
            </w:r>
          </w:p>
        </w:tc>
        <w:tc>
          <w:tcPr>
            <w:tcW w:w="2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September 30,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907,196</w:t>
            </w:r>
          </w:p>
        </w:tc>
        <w:tc>
          <w:tcPr>
            <w:tcW w:w="2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Performance-based unit awards</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214"/>
        </w:trPr>
        <w:tc>
          <w:tcPr>
            <w:tcW w:w="8180" w:type="dxa"/>
            <w:vAlign w:val="bottom"/>
            <w:gridSpan w:val="2"/>
            <w:vMerge w:val="continue"/>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0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grant date fair value</w:t>
            </w:r>
          </w:p>
        </w:tc>
        <w:tc>
          <w:tcPr>
            <w:tcW w:w="0" w:type="dxa"/>
            <w:vAlign w:val="bottom"/>
          </w:tcPr>
          <w:p>
            <w:pPr>
              <w:spacing w:after="0"/>
              <w:rPr>
                <w:sz w:val="1"/>
                <w:szCs w:val="1"/>
                <w:color w:val="auto"/>
              </w:rPr>
            </w:pPr>
          </w:p>
        </w:tc>
      </w:tr>
      <w:tr>
        <w:trPr>
          <w:trHeight w:val="252"/>
        </w:trPr>
        <w:tc>
          <w:tcPr>
            <w:tcW w:w="8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June 30, 2024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1,371,671</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29"/>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September 30,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1,371,671</w:t>
            </w:r>
          </w:p>
        </w:tc>
        <w:tc>
          <w:tcPr>
            <w:tcW w:w="2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total unrecognized compensation cost related to profits interests units outstanding as of September 30, 2024 was $3.7 million, comprised (i) $1.6 million related to time-based unit awards expected to be recognized over a weighted-average period of 3.2 years and (ii) $2.1 million related to performance-based unit awards, which will be recorded when it is probable that the performance-based criteria will be met.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Omnibus Incentive Plan</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March 2021, the Compensation Committee of the Board of Directors approved the InnovAge Holding Corp. 2021 Omnibus Incentive Plan (“2021 Omnibus Incentive Plan”), pursuant to which various stock-based awards may be granted to employees, directors, consultants, and advisers. The total number of shares of the Company’s common stock authorized under the 2021 Omnibus Incentive Plan is 14,700,000. The Company has issued time-based restricted stock units under this plan to its employees which generally vest over a three-year period with one-third vesting on each anniversary of the date of grant. Certain other vesting periods have also been used. The grant date fair value of restricted stock units with time-based vesting is based on the closing market price of our common stock on the date of grant. Certain other awards under this plan, including units and stock options, vest upon achieving specific share price performance criteria and are determined to have performance-based vesting conditions. The Company has also issued time-based vesting stock options under this plan to its employees which generally vest in equal parts over a three-year period.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time-based vesting restricted stock units activity for the three months ended September 30, 2024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8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vMerge w:val="restart"/>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260" w:type="dxa"/>
            <w:vAlign w:val="bottom"/>
          </w:tcPr>
          <w:p>
            <w:pPr>
              <w:spacing w:after="0"/>
              <w:rPr>
                <w:sz w:val="14"/>
                <w:szCs w:val="14"/>
                <w:color w:val="auto"/>
              </w:rPr>
            </w:pPr>
          </w:p>
        </w:tc>
        <w:tc>
          <w:tcPr>
            <w:tcW w:w="1320" w:type="dxa"/>
            <w:vAlign w:val="bottom"/>
          </w:tcPr>
          <w:p>
            <w:pPr>
              <w:jc w:val="center"/>
              <w:ind w:right="94"/>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Restricted stock units - time based</w:t>
            </w:r>
          </w:p>
        </w:tc>
        <w:tc>
          <w:tcPr>
            <w:tcW w:w="14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center"/>
              <w:ind w:right="94"/>
              <w:spacing w:after="0" w:line="162" w:lineRule="exact"/>
              <w:rPr>
                <w:sz w:val="20"/>
                <w:szCs w:val="20"/>
                <w:color w:val="auto"/>
              </w:rPr>
            </w:pPr>
            <w:r>
              <w:rPr>
                <w:rFonts w:ascii="Times New Roman" w:cs="Times New Roman" w:eastAsia="Times New Roman" w:hAnsi="Times New Roman"/>
                <w:sz w:val="16"/>
                <w:szCs w:val="16"/>
                <w:b w:val="1"/>
                <w:bCs w:val="1"/>
                <w:color w:val="auto"/>
              </w:rPr>
              <w:t>grant-date fair</w:t>
            </w:r>
          </w:p>
        </w:tc>
        <w:tc>
          <w:tcPr>
            <w:tcW w:w="0" w:type="dxa"/>
            <w:vAlign w:val="bottom"/>
          </w:tcPr>
          <w:p>
            <w:pPr>
              <w:spacing w:after="0"/>
              <w:rPr>
                <w:sz w:val="1"/>
                <w:szCs w:val="1"/>
                <w:color w:val="auto"/>
              </w:rPr>
            </w:pPr>
          </w:p>
        </w:tc>
      </w:tr>
      <w:tr>
        <w:trPr>
          <w:trHeight w:val="214"/>
        </w:trPr>
        <w:tc>
          <w:tcPr>
            <w:tcW w:w="8180" w:type="dxa"/>
            <w:vAlign w:val="bottom"/>
            <w:gridSpan w:val="2"/>
            <w:vMerge w:val="continue"/>
          </w:tcPr>
          <w:p>
            <w:pPr>
              <w:spacing w:after="0"/>
              <w:rPr>
                <w:sz w:val="18"/>
                <w:szCs w:val="18"/>
                <w:color w:val="auto"/>
              </w:rPr>
            </w:pPr>
          </w:p>
        </w:tc>
        <w:tc>
          <w:tcPr>
            <w:tcW w:w="148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260" w:type="dxa"/>
            <w:vAlign w:val="bottom"/>
          </w:tcPr>
          <w:p>
            <w:pPr>
              <w:spacing w:after="0"/>
              <w:rPr>
                <w:sz w:val="18"/>
                <w:szCs w:val="18"/>
                <w:color w:val="auto"/>
              </w:rPr>
            </w:pPr>
          </w:p>
        </w:tc>
        <w:tc>
          <w:tcPr>
            <w:tcW w:w="132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rPr>
              <w:t>value per share</w:t>
            </w:r>
          </w:p>
        </w:tc>
        <w:tc>
          <w:tcPr>
            <w:tcW w:w="0" w:type="dxa"/>
            <w:vAlign w:val="bottom"/>
          </w:tcPr>
          <w:p>
            <w:pPr>
              <w:spacing w:after="0"/>
              <w:rPr>
                <w:sz w:val="1"/>
                <w:szCs w:val="1"/>
                <w:color w:val="auto"/>
              </w:rPr>
            </w:pPr>
          </w:p>
        </w:tc>
      </w:tr>
      <w:tr>
        <w:trPr>
          <w:trHeight w:val="252"/>
        </w:trPr>
        <w:tc>
          <w:tcPr>
            <w:tcW w:w="8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June 30, 2024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2,864,319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29"/>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132,559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(45,846)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(341,622)</w:t>
            </w:r>
          </w:p>
        </w:tc>
        <w:tc>
          <w:tcPr>
            <w:tcW w:w="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September 30,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2,609,410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total unrecognized compensation cost related to time based restricted stock units outstanding as of September 30, 2024 was $9.1 million and is expected to be recognized over a weighted-average period of 4.2 years.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performance based vesting restricted stock units activity for the three months ended September 30, 2024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8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vMerge w:val="restart"/>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94"/>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Restricted stock units - performance based</w:t>
            </w: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94"/>
              <w:spacing w:after="0" w:line="162" w:lineRule="exact"/>
              <w:rPr>
                <w:sz w:val="20"/>
                <w:szCs w:val="20"/>
                <w:color w:val="auto"/>
              </w:rPr>
            </w:pPr>
            <w:r>
              <w:rPr>
                <w:rFonts w:ascii="Times New Roman" w:cs="Times New Roman" w:eastAsia="Times New Roman" w:hAnsi="Times New Roman"/>
                <w:sz w:val="16"/>
                <w:szCs w:val="16"/>
                <w:b w:val="1"/>
                <w:bCs w:val="1"/>
                <w:color w:val="auto"/>
              </w:rPr>
              <w:t>grant-date fair</w:t>
            </w:r>
          </w:p>
        </w:tc>
        <w:tc>
          <w:tcPr>
            <w:tcW w:w="0" w:type="dxa"/>
            <w:vAlign w:val="bottom"/>
          </w:tcPr>
          <w:p>
            <w:pPr>
              <w:spacing w:after="0"/>
              <w:rPr>
                <w:sz w:val="1"/>
                <w:szCs w:val="1"/>
                <w:color w:val="auto"/>
              </w:rPr>
            </w:pPr>
          </w:p>
        </w:tc>
      </w:tr>
      <w:tr>
        <w:trPr>
          <w:trHeight w:val="214"/>
        </w:trPr>
        <w:tc>
          <w:tcPr>
            <w:tcW w:w="8180" w:type="dxa"/>
            <w:vAlign w:val="bottom"/>
            <w:gridSpan w:val="2"/>
            <w:vMerge w:val="continue"/>
          </w:tcPr>
          <w:p>
            <w:pPr>
              <w:spacing w:after="0"/>
              <w:rPr>
                <w:sz w:val="18"/>
                <w:szCs w:val="18"/>
                <w:color w:val="auto"/>
              </w:rPr>
            </w:pPr>
          </w:p>
        </w:tc>
        <w:tc>
          <w:tcPr>
            <w:tcW w:w="148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rPr>
              <w:t>value per share</w:t>
            </w:r>
          </w:p>
        </w:tc>
        <w:tc>
          <w:tcPr>
            <w:tcW w:w="0" w:type="dxa"/>
            <w:vAlign w:val="bottom"/>
          </w:tcPr>
          <w:p>
            <w:pPr>
              <w:spacing w:after="0"/>
              <w:rPr>
                <w:sz w:val="1"/>
                <w:szCs w:val="1"/>
                <w:color w:val="auto"/>
              </w:rPr>
            </w:pPr>
          </w:p>
        </w:tc>
      </w:tr>
      <w:tr>
        <w:trPr>
          <w:trHeight w:val="252"/>
        </w:trPr>
        <w:tc>
          <w:tcPr>
            <w:tcW w:w="8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June 30, 2024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258,767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30"/>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September 30,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258,767</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total unrecognized compensation cost related to performance based vesting restricted stock units outstanding as of September 30, 2024 was $0.3 million and is expected to be recognized over a weighted-average period of 1.3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Nonqualified Stock Options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time-based vesting stock option activity for the three months ended September 30, 2024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vMerge w:val="restart"/>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93"/>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Stock options - time based</w:t>
            </w:r>
          </w:p>
        </w:tc>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93"/>
              <w:spacing w:after="0" w:line="162" w:lineRule="exact"/>
              <w:rPr>
                <w:sz w:val="20"/>
                <w:szCs w:val="20"/>
                <w:color w:val="auto"/>
              </w:rPr>
            </w:pPr>
            <w:r>
              <w:rPr>
                <w:rFonts w:ascii="Times New Roman" w:cs="Times New Roman" w:eastAsia="Times New Roman" w:hAnsi="Times New Roman"/>
                <w:sz w:val="16"/>
                <w:szCs w:val="16"/>
                <w:b w:val="1"/>
                <w:bCs w:val="1"/>
                <w:color w:val="auto"/>
              </w:rPr>
              <w:t>grant-date fair</w:t>
            </w:r>
          </w:p>
        </w:tc>
        <w:tc>
          <w:tcPr>
            <w:tcW w:w="0" w:type="dxa"/>
            <w:vAlign w:val="bottom"/>
          </w:tcPr>
          <w:p>
            <w:pPr>
              <w:spacing w:after="0"/>
              <w:rPr>
                <w:sz w:val="1"/>
                <w:szCs w:val="1"/>
                <w:color w:val="auto"/>
              </w:rPr>
            </w:pPr>
          </w:p>
        </w:tc>
      </w:tr>
      <w:tr>
        <w:trPr>
          <w:trHeight w:val="214"/>
        </w:trPr>
        <w:tc>
          <w:tcPr>
            <w:tcW w:w="4280" w:type="dxa"/>
            <w:vAlign w:val="bottom"/>
            <w:tcBorders>
              <w:bottom w:val="single" w:sz="8" w:color="auto"/>
            </w:tcBorders>
            <w:vMerge w:val="continue"/>
          </w:tcPr>
          <w:p>
            <w:pPr>
              <w:spacing w:after="0"/>
              <w:rPr>
                <w:sz w:val="18"/>
                <w:szCs w:val="18"/>
                <w:color w:val="auto"/>
              </w:rPr>
            </w:pPr>
          </w:p>
        </w:tc>
        <w:tc>
          <w:tcPr>
            <w:tcW w:w="3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value per share</w:t>
            </w:r>
          </w:p>
        </w:tc>
        <w:tc>
          <w:tcPr>
            <w:tcW w:w="0" w:type="dxa"/>
            <w:vAlign w:val="bottom"/>
          </w:tcPr>
          <w:p>
            <w:pPr>
              <w:spacing w:after="0"/>
              <w:rPr>
                <w:sz w:val="1"/>
                <w:szCs w:val="1"/>
                <w:color w:val="auto"/>
              </w:rPr>
            </w:pPr>
          </w:p>
        </w:tc>
      </w:tr>
      <w:tr>
        <w:trPr>
          <w:trHeight w:val="252"/>
        </w:trPr>
        <w:tc>
          <w:tcPr>
            <w:tcW w:w="428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June 30, 2024</w:t>
            </w:r>
          </w:p>
        </w:tc>
        <w:tc>
          <w:tcPr>
            <w:tcW w:w="5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554,499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30"/>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3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3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3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3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balance, September 30, 2024</w:t>
            </w:r>
          </w:p>
        </w:tc>
        <w:tc>
          <w:tcPr>
            <w:tcW w:w="5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554,499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80" w:type="dxa"/>
            <w:vAlign w:val="bottom"/>
            <w:shd w:val="clear" w:color="auto" w:fill="CCEEFF"/>
          </w:tcPr>
          <w:p>
            <w:pPr>
              <w:spacing w:after="0"/>
              <w:rPr>
                <w:sz w:val="20"/>
                <w:szCs w:val="20"/>
                <w:color w:val="auto"/>
              </w:rPr>
            </w:pPr>
          </w:p>
        </w:tc>
        <w:tc>
          <w:tcPr>
            <w:tcW w:w="3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balance, September 30, 2024</w:t>
            </w:r>
          </w:p>
        </w:tc>
        <w:tc>
          <w:tcPr>
            <w:tcW w:w="5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381,216</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900"/>
        </w:trPr>
        <w:tc>
          <w:tcPr>
            <w:tcW w:w="4280" w:type="dxa"/>
            <w:vAlign w:val="bottom"/>
          </w:tcPr>
          <w:p>
            <w:pPr>
              <w:spacing w:after="0"/>
              <w:rPr>
                <w:sz w:val="24"/>
                <w:szCs w:val="24"/>
                <w:color w:val="auto"/>
              </w:rPr>
            </w:pPr>
          </w:p>
        </w:tc>
        <w:tc>
          <w:tcPr>
            <w:tcW w:w="3800" w:type="dxa"/>
            <w:vAlign w:val="bottom"/>
          </w:tcPr>
          <w:p>
            <w:pPr>
              <w:jc w:val="right"/>
              <w:ind w:right="227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total unrecognized compensation costs related to time-based vesting stock options outstanding as of September 30, 2024 was $0.07 million and is expected to be recognized over a weighted-average period of 1.6 years.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performance-based vesting stock option activity for the three months ended September 30, 2024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8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vMerge w:val="restart"/>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94"/>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Stock options - performance based</w:t>
            </w: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94"/>
              <w:spacing w:after="0" w:line="162" w:lineRule="exact"/>
              <w:rPr>
                <w:sz w:val="20"/>
                <w:szCs w:val="20"/>
                <w:color w:val="auto"/>
              </w:rPr>
            </w:pPr>
            <w:r>
              <w:rPr>
                <w:rFonts w:ascii="Times New Roman" w:cs="Times New Roman" w:eastAsia="Times New Roman" w:hAnsi="Times New Roman"/>
                <w:sz w:val="16"/>
                <w:szCs w:val="16"/>
                <w:b w:val="1"/>
                <w:bCs w:val="1"/>
                <w:color w:val="auto"/>
              </w:rPr>
              <w:t>grant-date fair</w:t>
            </w:r>
          </w:p>
        </w:tc>
        <w:tc>
          <w:tcPr>
            <w:tcW w:w="0" w:type="dxa"/>
            <w:vAlign w:val="bottom"/>
          </w:tcPr>
          <w:p>
            <w:pPr>
              <w:spacing w:after="0"/>
              <w:rPr>
                <w:sz w:val="1"/>
                <w:szCs w:val="1"/>
                <w:color w:val="auto"/>
              </w:rPr>
            </w:pPr>
          </w:p>
        </w:tc>
      </w:tr>
      <w:tr>
        <w:trPr>
          <w:trHeight w:val="214"/>
        </w:trPr>
        <w:tc>
          <w:tcPr>
            <w:tcW w:w="8180" w:type="dxa"/>
            <w:vAlign w:val="bottom"/>
            <w:gridSpan w:val="2"/>
            <w:vMerge w:val="continue"/>
          </w:tcPr>
          <w:p>
            <w:pPr>
              <w:spacing w:after="0"/>
              <w:rPr>
                <w:sz w:val="18"/>
                <w:szCs w:val="18"/>
                <w:color w:val="auto"/>
              </w:rPr>
            </w:pPr>
          </w:p>
        </w:tc>
        <w:tc>
          <w:tcPr>
            <w:tcW w:w="148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rPr>
              <w:t>value per share</w:t>
            </w:r>
          </w:p>
        </w:tc>
        <w:tc>
          <w:tcPr>
            <w:tcW w:w="0" w:type="dxa"/>
            <w:vAlign w:val="bottom"/>
          </w:tcPr>
          <w:p>
            <w:pPr>
              <w:spacing w:after="0"/>
              <w:rPr>
                <w:sz w:val="1"/>
                <w:szCs w:val="1"/>
                <w:color w:val="auto"/>
              </w:rPr>
            </w:pPr>
          </w:p>
        </w:tc>
      </w:tr>
      <w:tr>
        <w:trPr>
          <w:trHeight w:val="252"/>
        </w:trPr>
        <w:tc>
          <w:tcPr>
            <w:tcW w:w="8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June 30, 2024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776,299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29"/>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September 30,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776,299</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total unrecognized compensation cost related to performance-based vesting stock options outstanding as of September 30, 2024 was $0.6 million and is expected to be recognized over a weighted-average period of 1.4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Acquisitions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December 1, 2023, the Company acquired all of the issued and outstanding membership interests of two California-based PACE programs, ConcertoCare PACE of Bakersfield, LLC and ConcertoHealth PACE of Los Angeles, LLC (collectively "Concerto"), from Perfect Health, Inc. d/b/a ConcertoCare, a tech-enabled, value-based provider of at-home, comprehensive care for seniors and other adults with unmet health and social needs, for $23.9 million. We believe the Concerto acquisition complements our California PACE centers. The acquisition was funded through cash on hand. Results of operations from the acquired centers are included in our condensed consolidated statements of operations for the three months ended September 30, 2024 and were not significant to our results. Costs related to the acquisition during the three months ended September 30, 2024 were insignificant. Acquisition related costs were expensed as incurred and have been recorded in corporate, general and administrative expenses in our condensed consolidated statements of operations.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Concerto acquisition was accounted for using the purchase method of accounting. The purchase price has been preliminarily allocated to the assets acquired and liabilities assumed based on their estimated fair values at the date of acquisition. During the measurement period, which is up to one year from the acquisition date, we may adjust provisional amounts that were recognized at the acquisition date to reflect new information obtained about facts and circumstances that existed as of the acquisition date. The fair values of assets acquired and liabilities assumed may change as the valuation of intangible assets, working capital adjustments, and overall purchase price allocation are being finalized. Goodwill represents the excess of the purchase price over the fair value of net assets acquired. Goodwill recognized represents the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future economic benefits arising from expected growth opportunities for the Company and is not deductible for income tax purposes.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preliminary allocation of the purchase price to the assets acquired and liabilities assumed as of the acquisition date, measurement period adjustments and the allocation as of September 30, 2024:</w:t>
      </w:r>
    </w:p>
    <w:p>
      <w:pPr>
        <w:spacing w:after="0" w:line="175"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6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Preliminary</w:t>
            </w:r>
          </w:p>
        </w:tc>
        <w:tc>
          <w:tcPr>
            <w:tcW w:w="200" w:type="dxa"/>
            <w:vAlign w:val="bottom"/>
          </w:tcPr>
          <w:p>
            <w:pPr>
              <w:spacing w:after="0"/>
              <w:rPr>
                <w:sz w:val="17"/>
                <w:szCs w:val="17"/>
                <w:color w:val="auto"/>
              </w:rPr>
            </w:pPr>
          </w:p>
        </w:tc>
        <w:tc>
          <w:tcPr>
            <w:tcW w:w="140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9"/>
              </w:rPr>
              <w:t>Measurement</w:t>
            </w:r>
          </w:p>
        </w:tc>
        <w:tc>
          <w:tcPr>
            <w:tcW w:w="280" w:type="dxa"/>
            <w:vAlign w:val="bottom"/>
          </w:tcPr>
          <w:p>
            <w:pPr>
              <w:spacing w:after="0"/>
              <w:rPr>
                <w:sz w:val="17"/>
                <w:szCs w:val="17"/>
                <w:color w:val="auto"/>
              </w:rPr>
            </w:pPr>
          </w:p>
        </w:tc>
        <w:tc>
          <w:tcPr>
            <w:tcW w:w="13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w:t>
            </w:r>
          </w:p>
        </w:tc>
      </w:tr>
      <w:tr>
        <w:trPr>
          <w:trHeight w:val="241"/>
        </w:trPr>
        <w:tc>
          <w:tcPr>
            <w:tcW w:w="6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allocation</w:t>
            </w:r>
          </w:p>
        </w:tc>
        <w:tc>
          <w:tcPr>
            <w:tcW w:w="16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period adjustments</w:t>
            </w: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allocation</w:t>
            </w:r>
          </w:p>
        </w:tc>
      </w:tr>
      <w:tr>
        <w:trPr>
          <w:trHeight w:val="208"/>
        </w:trPr>
        <w:tc>
          <w:tcPr>
            <w:tcW w:w="6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center"/>
              <w:ind w:right="91"/>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74"/>
        </w:trPr>
        <w:tc>
          <w:tcPr>
            <w:tcW w:w="6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80" w:type="dxa"/>
            <w:vAlign w:val="bottom"/>
            <w:gridSpan w:val="2"/>
          </w:tcPr>
          <w:p>
            <w:pPr>
              <w:spacing w:after="0"/>
              <w:rPr>
                <w:sz w:val="23"/>
                <w:szCs w:val="23"/>
                <w:color w:val="auto"/>
              </w:rPr>
            </w:pPr>
          </w:p>
        </w:tc>
        <w:tc>
          <w:tcPr>
            <w:tcW w:w="1320" w:type="dxa"/>
            <w:vAlign w:val="bottom"/>
          </w:tcPr>
          <w:p>
            <w:pPr>
              <w:spacing w:after="0"/>
              <w:rPr>
                <w:sz w:val="23"/>
                <w:szCs w:val="23"/>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Consideration</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23,916</w:t>
            </w:r>
          </w:p>
        </w:tc>
      </w:tr>
      <w:tr>
        <w:trPr>
          <w:trHeight w:val="223"/>
        </w:trPr>
        <w:tc>
          <w:tcPr>
            <w:tcW w:w="6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Consideration</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23,916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23,916</w:t>
            </w: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7"/>
        </w:trPr>
        <w:tc>
          <w:tcPr>
            <w:tcW w:w="6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29"/>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3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r>
      <w:tr>
        <w:trPr>
          <w:trHeight w:val="229"/>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7,969</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7,969</w:t>
            </w:r>
          </w:p>
        </w:tc>
      </w:tr>
      <w:tr>
        <w:trPr>
          <w:trHeight w:val="23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6,892</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7,815</w:t>
            </w:r>
          </w:p>
        </w:tc>
      </w:tr>
      <w:tr>
        <w:trPr>
          <w:trHeight w:val="229"/>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17,348</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15,732</w:t>
            </w:r>
          </w:p>
        </w:tc>
      </w:tr>
      <w:tr>
        <w:trPr>
          <w:trHeight w:val="22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 and other</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3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2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and estimated claims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9"/>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(8,941)</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(8,941)</w:t>
            </w:r>
          </w:p>
        </w:tc>
      </w:tr>
      <w:tr>
        <w:trPr>
          <w:trHeight w:val="23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3"/>
        </w:trPr>
        <w:tc>
          <w:tcPr>
            <w:tcW w:w="6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Fair value of assets and liabilities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23,916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23,916</w:t>
            </w:r>
          </w:p>
        </w:tc>
      </w:tr>
      <w:tr>
        <w:trPr>
          <w:trHeight w:val="21"/>
        </w:trPr>
        <w:tc>
          <w:tcPr>
            <w:tcW w:w="6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Since the preliminary allocation, we recognized a measurement period adjustment for lease incentives related to tenant improvements. The adjustment resulted in an increase of $0.7 million to prepaid expenses and $0.9 million to operating lease assets, a decrease of $0.1 million to accounts receivable and $0.1 million to accounts payable and accrued expenses, and a corresponding decrease of $1.6 million to goodwill. The Company does not expect any additional adjustments.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Income Taxes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recorded an income tax expense of $0.4 million and an income tax expense of $0.2 million for the three months ended September 30, 2024 and 2023, respectively. This represents an effective tax rate of (7.6)% and (2.1)% for the three months ended September 30, 2024 and 2023, respectively.</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effective rate for the three months ended September 30, 2024 was different from the federal statutory rate primarily due to the Company’s book loss offset partially by disallowed officers’ compensation under Internal Revenue Code (“IRC”) Section 162(m), disallowed stock options related to the profit interest units, exclusion of losses from entities not subject to tax, lobbying expenses, a change to the Pennsylvania tax rate, and the increase in the Company's valuation allowance against net operating losses which occurred during the three-month period.</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assesses the valuation allowance recorded against deferred tax assets at each reporting date. The determination of whether a valuation allowance for deferred tax assets is appropriate requires the evaluation of positive and negative evidence that can be objectively verified. Consideration must be given to all sources of taxable income available to realize deferred tax assets, including, as applicable, the future reversal of existing temporary differences, future taxable income forecasts exclusive of the reversal of temporary differences and carryforwards, taxable income in carryback years and tax planning strategies. In estimating income taxes, the Company assesses the relative merits and risks of the appropriate income tax treatment of transactions taking into account statutory, judicial, and regulatory guidance. As of the three-month period ended September 30, 2024, the Company determined that it is not “more likely than not” that the deferred tax assets associated with certain state net operating losses will be realized and as such continues to maintain a valuation allowance against these state deferred tax assets. The Company also determined it is not "more likely than not"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that the deferred tax assets associated with certain federal net operating losses will be realized and as such has included a valuation allowance against these federal deferred tax assets. The Company has provided $20.3 million at September 30, 2024 and $15.9 million at June 30, 2024, as a valuation allowance against its deferred tax assets for federal and state net operating losses and state 163(j) interest expense limitations where there is not sufficient positive evidence to substantiate that these deferred tax assets will be realized at a more-likely-than-not level of assurance.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Earnings per Share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Basic earnings (loss) per share (“EPS”) is computed using the weighted-average number of common shares outstanding during the period. Diluted EPS is computed using the weighted-average number of common shares outstanding during the period, plus the dilutive effect of outstanding options and other equity awards, using the treasury stock method and the average market price of the Company’s common stock during the applicable period. When a loss from continuing operations exists, all dilutive securities and potentially dilutive securities are anti-dilutive and are therefore excluded from the computation of diluted EPS. When net income from continuing operations exists, performance-based units are omitted from the calculation of diluted EPS until it is determined that the performance criteria has been met at the end of the reporting period. For the three months ended September 30, 2024 and 2023, there were 102,985 and 348,090, respectively, performance-based awards excluded from the calculation of diluted EPS.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common share: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40" w:type="dxa"/>
            <w:vAlign w:val="bottom"/>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0" w:type="dxa"/>
            <w:vAlign w:val="bottom"/>
          </w:tcPr>
          <w:p>
            <w:pPr>
              <w:spacing w:after="0"/>
              <w:rPr>
                <w:sz w:val="1"/>
                <w:szCs w:val="1"/>
                <w:color w:val="auto"/>
              </w:rPr>
            </w:pPr>
          </w:p>
        </w:tc>
      </w:tr>
      <w:tr>
        <w:trPr>
          <w:trHeight w:val="23"/>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values</w:t>
            </w: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InnovAge Holding Corp.</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(10,304)</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135,769,835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135,790,401</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EPS (basic)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shares</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135,769,835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135,790,401</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EPS (diluted)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Segment Reporting</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applies ASC Topic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which establishes requirements to report selected segment information quarterly and to report annually entity-wide disclosures about operations, major customers and the geographies in which the entity holds material assets and reports revenue. An operating segment is defined as a component that engages in business activities whose operating results are reviewed by the Company’s chief executive officer, who is the chief operating decision maker (“CODM”), and for which discrete financial information is available. The Company has determined that it has three operating segments, two of which are related to the Company’s PACE offering. The PACE-related operating segments are based on two geographic divisions, which are East and West. Due to the similar economic characteristics, nature of services, and customers, we have aggregated our East and West operating segments into one reportable segment for PACE. The Company’s remaining operating segment primarily relates to Senior Housing, which is an immaterial operating segment, and shown below as "Other" along with certain corporate unallocated expenses.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evaluates performance and allocates capital resources to each segment based on an operating model that is designed to maximize the quality of care provided and profitability. The Company does not review assets by segment and therefore assets by segment are not disclosed below. For the periods presented, all of the Company’s long-lived assets were located in the United States and all revenue was earned in the United States.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CODM uses Center-level Contribution Margin as the measure for assessing performance of its operating segments. Center-level Contribution Margin is defined as total segment revenues less external provider costs and cost of care (excluding depreciation and amortization). The Company allocates corporate level expenses to its segments with a majority of the allocation going to the PACE segment.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operating results regularly provided to the CODM by segment for the three months ended September 30, 2024 and 2023:</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360" w:type="dxa"/>
            <w:vAlign w:val="bottom"/>
            <w:vMerge w:val="continue"/>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PACE</w:t>
            </w: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ind w:left="100"/>
              <w:spacing w:after="0" w:line="196" w:lineRule="exact"/>
              <w:rPr>
                <w:sz w:val="20"/>
                <w:szCs w:val="20"/>
                <w:color w:val="auto"/>
              </w:rPr>
            </w:pPr>
            <w:r>
              <w:rPr>
                <w:rFonts w:ascii="Times New Roman" w:cs="Times New Roman" w:eastAsia="Times New Roman" w:hAnsi="Times New Roman"/>
                <w:sz w:val="14"/>
                <w:szCs w:val="14"/>
                <w:b w:val="1"/>
                <w:bCs w:val="1"/>
                <w:color w:val="auto"/>
              </w:rPr>
              <w:t>All other</w:t>
            </w:r>
            <w:r>
              <w:rPr>
                <w:rFonts w:ascii="Times New Roman" w:cs="Times New Roman" w:eastAsia="Times New Roman" w:hAnsi="Times New Roman"/>
                <w:sz w:val="18"/>
                <w:szCs w:val="18"/>
                <w:b w:val="1"/>
                <w:bCs w:val="1"/>
                <w:color w:val="auto"/>
                <w:vertAlign w:val="superscript"/>
              </w:rPr>
              <w:t>(a)</w:t>
            </w: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PACE</w:t>
            </w: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ind w:left="80"/>
              <w:spacing w:after="0" w:line="196" w:lineRule="exact"/>
              <w:rPr>
                <w:sz w:val="20"/>
                <w:szCs w:val="20"/>
                <w:color w:val="auto"/>
              </w:rPr>
            </w:pPr>
            <w:r>
              <w:rPr>
                <w:rFonts w:ascii="Times New Roman" w:cs="Times New Roman" w:eastAsia="Times New Roman" w:hAnsi="Times New Roman"/>
                <w:sz w:val="14"/>
                <w:szCs w:val="14"/>
                <w:b w:val="1"/>
                <w:bCs w:val="1"/>
                <w:color w:val="auto"/>
              </w:rPr>
              <w:t>All other</w:t>
            </w:r>
            <w:r>
              <w:rPr>
                <w:rFonts w:ascii="Times New Roman" w:cs="Times New Roman" w:eastAsia="Times New Roman" w:hAnsi="Times New Roman"/>
                <w:sz w:val="18"/>
                <w:szCs w:val="18"/>
                <w:b w:val="1"/>
                <w:bCs w:val="1"/>
                <w:color w:val="auto"/>
                <w:vertAlign w:val="superscript"/>
              </w:rPr>
              <w:t>(a)</w:t>
            </w: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Capitation revenue</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182,173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182,173</w:t>
            </w:r>
          </w:p>
        </w:tc>
        <w:tc>
          <w:tcPr>
            <w:tcW w:w="0" w:type="dxa"/>
            <w:vAlign w:val="bottom"/>
          </w:tcPr>
          <w:p>
            <w:pPr>
              <w:spacing w:after="0"/>
              <w:rPr>
                <w:sz w:val="1"/>
                <w:szCs w:val="1"/>
                <w:color w:val="auto"/>
              </w:rPr>
            </w:pPr>
          </w:p>
        </w:tc>
      </w:tr>
      <w:tr>
        <w:trPr>
          <w:trHeight w:val="229"/>
        </w:trPr>
        <w:tc>
          <w:tcPr>
            <w:tcW w:w="3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service revenue</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182,485</w:t>
            </w:r>
          </w:p>
        </w:tc>
        <w:tc>
          <w:tcPr>
            <w:tcW w:w="0" w:type="dxa"/>
            <w:vAlign w:val="bottom"/>
          </w:tcPr>
          <w:p>
            <w:pPr>
              <w:spacing w:after="0"/>
              <w:rPr>
                <w:sz w:val="1"/>
                <w:szCs w:val="1"/>
                <w:color w:val="auto"/>
              </w:rPr>
            </w:pPr>
          </w:p>
        </w:tc>
      </w:tr>
      <w:tr>
        <w:trPr>
          <w:trHeight w:val="229"/>
        </w:trPr>
        <w:tc>
          <w:tcPr>
            <w:tcW w:w="3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External provider costs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99,358</w:t>
            </w:r>
          </w:p>
        </w:tc>
        <w:tc>
          <w:tcPr>
            <w:tcW w:w="0" w:type="dxa"/>
            <w:vAlign w:val="bottom"/>
          </w:tcPr>
          <w:p>
            <w:pPr>
              <w:spacing w:after="0"/>
              <w:rPr>
                <w:sz w:val="1"/>
                <w:szCs w:val="1"/>
                <w:color w:val="auto"/>
              </w:rPr>
            </w:pPr>
          </w:p>
        </w:tc>
      </w:tr>
      <w:tr>
        <w:trPr>
          <w:trHeight w:val="176"/>
        </w:trPr>
        <w:tc>
          <w:tcPr>
            <w:tcW w:w="33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Cost of care, excluding depreciation and</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63,234</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63,387</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55,097</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55,250</w:t>
            </w:r>
          </w:p>
        </w:tc>
        <w:tc>
          <w:tcPr>
            <w:tcW w:w="0" w:type="dxa"/>
            <w:vAlign w:val="bottom"/>
          </w:tcPr>
          <w:p>
            <w:pPr>
              <w:spacing w:after="0"/>
              <w:rPr>
                <w:sz w:val="1"/>
                <w:szCs w:val="1"/>
                <w:color w:val="auto"/>
              </w:rPr>
            </w:pPr>
          </w:p>
        </w:tc>
      </w:tr>
      <w:tr>
        <w:trPr>
          <w:trHeight w:val="223"/>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Center-Level Contribution Margin</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34,448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34,541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27,804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27,877</w:t>
            </w: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140"/>
              <w:spacing w:after="0" w:line="223" w:lineRule="exact"/>
              <w:rPr>
                <w:sz w:val="20"/>
                <w:szCs w:val="20"/>
                <w:color w:val="auto"/>
              </w:rPr>
            </w:pPr>
            <w:r>
              <w:rPr>
                <w:rFonts w:ascii="Times New Roman" w:cs="Times New Roman" w:eastAsia="Times New Roman" w:hAnsi="Times New Roman"/>
                <w:sz w:val="18"/>
                <w:szCs w:val="18"/>
                <w:color w:val="auto"/>
              </w:rPr>
              <w:t>Overhead costs</w:t>
            </w:r>
            <w:r>
              <w:rPr>
                <w:rFonts w:ascii="Times New Roman" w:cs="Times New Roman" w:eastAsia="Times New Roman" w:hAnsi="Times New Roman"/>
                <w:sz w:val="23"/>
                <w:szCs w:val="23"/>
                <w:color w:val="auto"/>
                <w:vertAlign w:val="superscript"/>
              </w:rPr>
              <w:t>(b)</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34,326</w:t>
            </w:r>
          </w:p>
        </w:tc>
        <w:tc>
          <w:tcPr>
            <w:tcW w:w="0" w:type="dxa"/>
            <w:vAlign w:val="bottom"/>
          </w:tcPr>
          <w:p>
            <w:pPr>
              <w:spacing w:after="0"/>
              <w:rPr>
                <w:sz w:val="1"/>
                <w:szCs w:val="1"/>
                <w:color w:val="auto"/>
              </w:rPr>
            </w:pPr>
          </w:p>
        </w:tc>
      </w:tr>
      <w:tr>
        <w:trPr>
          <w:trHeight w:val="230"/>
        </w:trPr>
        <w:tc>
          <w:tcPr>
            <w:tcW w:w="3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4,269</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229"/>
        </w:trPr>
        <w:tc>
          <w:tcPr>
            <w:tcW w:w="3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(10,736)</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27" w:lineRule="exact"/>
        <w:rPr>
          <w:sz w:val="20"/>
          <w:szCs w:val="20"/>
          <w:color w:val="auto"/>
        </w:rPr>
      </w:pPr>
    </w:p>
    <w:p>
      <w:pPr>
        <w:ind w:left="660" w:hanging="652"/>
        <w:spacing w:after="0" w:line="249" w:lineRule="auto"/>
        <w:tabs>
          <w:tab w:leader="none" w:pos="651"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Center-level Contribution Margin from a segment below the quantitative thresholds is attributable to the Senior Housing operating segment of the Company. This segment has never met any of the quantitative thresholds for determining reportable segments.</w:t>
      </w:r>
    </w:p>
    <w:p>
      <w:pPr>
        <w:ind w:left="660" w:hanging="652"/>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Overhead consists of the Sales and marketing and Corporate, general and administrative financial statement line items.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Related Party Transactions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PWD Amended and Restated Agreement of Limited Partnership, CCH helped fund operating deficits and shortfalls of PWD in the form of a loan (the “PWD Loan”). The PWD Loan did not accrue interest. Additionally, CCH was paid an administration fee of less than $0.1 million per year. On March 13, 2024, PWD entered into a Purchase and Sale Agreement for the sale of all of PWD's property, including the Senior Housing unit.</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On May 2, 2024, PWD closed on the sale of its Senior Housing property for $9.5 million. Upon completion of the sale, PWD ceased providing senior housing services and was dissolved. Following the dissolution, the remaining proceeds from the sale were distributed in accordance with the partnership agreement and as otherwise agreed by the partners. The Company received net proceeds of $4.8 million in connection with the dissolution.</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Share Repurchase Program</w:t>
      </w:r>
    </w:p>
    <w:p>
      <w:pPr>
        <w:spacing w:after="0" w:line="243"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On June 10, 2024, the Board announced the authorization of a share repurchase program of up to $5.0 million of the Company's common stock. On September 26, 2024, the Board announced the authorization of an additional $2.5 million shares of the Company's common stock. During the three months ended September 30, 2024, the Company repurchased 801,287 shares of its common stock for approximately $4.8 million, of which 800,813 were placed in Treasury.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Subsequent Events</w:t>
      </w:r>
    </w:p>
    <w:p>
      <w:pPr>
        <w:spacing w:after="0" w:line="243"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through November 5, 2024, the date on which the condensed consolidated financial statements were issued and noted there were none except as disclosed in Note 9, "Commitments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consolidated financial statements and the related notes included elsewhere in this Quarterly Report on Form 10-Q. The discussion contains forward-looking statements that are based on the beliefs of management, as well as assumptions made by, and information currently available to our management. Readers are cautioned not to place undue reliance on any forward-looking statements, as forward-looking statements are not guarantees of future performance and the Company’s actual results may differ significantly due to numerous known and unknown risks and uncertainties, including those discussed below and in the section entitled “Cautionary Note on Forward-Looking Statements.” Those known risks and uncertainties include, but are not limited to, the risk factors identified in the section titled “Risk Factors” in our Annual Report on Form 10-K for the fiscal year ended June 30, 2024 (“2024 10-K”).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InnovAge Holding Corp. (“InnovAge”) became a public company in March 2021. As of September 30, 2024, the Company served approximately 7,210 PACE participants, and operated 20 PACE centers across California, Colorado, Florida, New Mexico, Pennsylvania, and Virginia.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Uncertainties Affecting the Company</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Increased cost of care. </w:t>
      </w:r>
      <w:r>
        <w:rPr>
          <w:rFonts w:ascii="Times New Roman" w:cs="Times New Roman" w:eastAsia="Times New Roman" w:hAnsi="Times New Roman"/>
          <w:sz w:val="18"/>
          <w:szCs w:val="18"/>
          <w:color w:val="auto"/>
        </w:rPr>
        <w:t>In the first quarter of fiscal year 2025, operating expenses increased $16.8 million, or 8.7%, compared to the first quarter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year 2024 due to census growth and increased cost of care per participant primarily as a result of increased salaries, wages and benefits associated with increased headcount and higher wage rates. Additionally, total external provider costs increased in the three month period ended September 30, 2024 compared to 2023 due to census growth partially offset by a reduction in cost per participant as a result of efforts to mitigate the effects of rising costs. In fiscal year 2024 and the first quarter of fiscal year 2025, we continued to strengthen our payer capabilities and reduced external provider costs per participant, which we believe to be a result of our maturing clinical value initiatives, which we began implementing in fiscal year 2023, and our operational value initiatives, which we began implementing in fiscal year 2024. While we expect to continue to experience elevated operating expenses through fiscal year 2025 for the reasons stated above, we also expect that our clinical value initiatives and operational value initiatives will help offset increasing cost of care.</w:t>
      </w:r>
    </w:p>
    <w:p>
      <w:pPr>
        <w:spacing w:after="0" w:line="18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Census and capitation revenue. </w:t>
      </w:r>
      <w:r>
        <w:rPr>
          <w:rFonts w:ascii="Times New Roman" w:cs="Times New Roman" w:eastAsia="Times New Roman" w:hAnsi="Times New Roman"/>
          <w:sz w:val="18"/>
          <w:szCs w:val="18"/>
          <w:color w:val="auto"/>
        </w:rPr>
        <w:t>We experienced increased gaps of eligibility with redetermination applications during fiscal year 2024 as a result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regulatory agencies processing delays. These gaps of eligibility began to ease during the first quarter of fiscal year 2025 and we continue to partner with State administrators with the intent to further reduce delays through the remainder of the fiscal year. There has not been a material effect on the Company's financial statements or operations due to this situation. The Company expects to continue mitigating measures, which include utilizing State approved third-party eligibility partners to expedite applications, escalate delayed cases to State administrators, and pursue safe discharges for individuals who are truly ineligible, during fiscal year 2025, and will continue to assess the situation as it evolves.</w:t>
      </w:r>
    </w:p>
    <w:p>
      <w:pPr>
        <w:spacing w:after="0" w:line="1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Labor market</w:t>
      </w:r>
      <w:r>
        <w:rPr>
          <w:rFonts w:ascii="Times New Roman" w:cs="Times New Roman" w:eastAsia="Times New Roman" w:hAnsi="Times New Roman"/>
          <w:sz w:val="18"/>
          <w:szCs w:val="18"/>
          <w:color w:val="auto"/>
        </w:rPr>
        <w:t>. The healthcare sector continues to experience a complex set of challenges in hiring additional professionals. Specifically, the demand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healthcare services has been steadily increasing due to an aging population and a greater focus on health and wellness in society. In addition, there are systemic challenges related to workforce training and the pipeline of qualified professionals, which have not kept pace with this growing demand. Wage pressure in the healthcare industry is a significant concern. Wage pressure arises when there is a high demand for healthcare services but a limited supply of qualified professionals, leading to increased competition for workers and upward pressure on wages. The rapidly aging population has increased the demand for healthcare services, especially for geriatrics. Simultaneously, many experienced healthcare workers are reaching retirement age, reducing the workforce supply.</w:t>
      </w:r>
    </w:p>
    <w:p>
      <w:pPr>
        <w:spacing w:after="0" w:line="1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an aging population combined with a shortage of clinicians, creates pressures and increased demand on the limited number of residential facilities. There is uncertainty regarding the access of our participants to residential facilities. The high demand for such facilities may lead such facilities prioritizing patients who are private payors to avoid the frequently changing Medicare and Medicaid program reimbursement rates and rules, annual caps and regulatory requirements.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Additionally, as a result of the adoption of California Senate Bill No. 525 ("SB 525"), which raises minimum wage for many California healthcare workers and will impact many of our contractors and other third-party providers, combined with other macroeconomic factors, our California centers have received provider requests to increase rates to cover their increased labor costs. As a result of competition generated by SB 525 and other California market conditions, we have increased our wages for healthcare workers and other comparable market positions in the California market. These increases did not have a material impact on our labor costs, financial statements or operations for fiscal year 2024 or the three months ended September 30, 2024. We will continue to evaluate the impact of this legislation on our business.</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additional information on the various risks posed by macroeconomic events, regulation, and employee matters, please see the section entitled “Risk Factors” included in Part I, Item 1A of our 2024 10-K.</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Key Factors Affecting Our Performance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historical financial performance has been, and we expect our financial performance in the future to be, driven by the following factors:</w:t>
      </w:r>
    </w:p>
    <w:p>
      <w:pPr>
        <w:spacing w:after="0" w:line="223" w:lineRule="exact"/>
        <w:rPr>
          <w:sz w:val="20"/>
          <w:szCs w:val="20"/>
          <w:color w:val="auto"/>
        </w:rPr>
      </w:pPr>
    </w:p>
    <w:p>
      <w:pPr>
        <w:jc w:val="both"/>
        <w:ind w:left="980" w:hanging="324"/>
        <w:spacing w:after="0" w:line="253"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participants. </w:t>
      </w:r>
      <w:r>
        <w:rPr>
          <w:rFonts w:ascii="Times New Roman" w:cs="Times New Roman" w:eastAsia="Times New Roman" w:hAnsi="Times New Roman"/>
          <w:sz w:val="18"/>
          <w:szCs w:val="18"/>
          <w:color w:val="auto"/>
        </w:rPr>
        <w:t>We focus on providing all-inclusive care to frail, high-cost, dual-eligible seniors. We directly contract with government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payors, such as Medicare and Medicaid, through PACE and receive a capitated risk-adjusted payment to manage the totality of a participant’s medical care across all settings. InnovAge manages participants that are, on average, more complex and medically fragile than other Medicare-eligible patients, including those in Medicare Advantage (“MA”) programs. As a result, we receive larger payments for our participants compared to MA participants. This is driven by two factors: (i) we believe we manage a higher acuity population, with an average risk adjustment factor (“RAF”) score of 2.57 based on InnovAge data as of September 30, 2024; and (ii) we have Medicaid spend in addition to Medicare. Our participants are managed on a capitated, or at-risk basis, where InnovAge is financially responsible for all participant medical costs. Our comprehensive care model and globally capitated payments are designed to cover participants from enrollment until the end of life, including coverage for participants requiring hospice and palliative care. For dual-eligible participants, we receive per member, per month (“PMPM”) payments directly from Medicare and Medicaid, which provides recurring revenue streams and significant visibility into our revenue. The Medicare portion of our capitated payment is risk-based on the underlying medical conditions and frailty of each participant. We continue to strengthen our expanding payer capabilities so that our revenue more accurately reflects the acuity of the populations we serve.</w:t>
      </w:r>
    </w:p>
    <w:p>
      <w:pPr>
        <w:spacing w:after="0" w:line="187" w:lineRule="exact"/>
        <w:rPr>
          <w:rFonts w:ascii="Times New Roman" w:cs="Times New Roman" w:eastAsia="Times New Roman" w:hAnsi="Times New Roman"/>
          <w:sz w:val="18"/>
          <w:szCs w:val="18"/>
          <w:color w:val="auto"/>
        </w:rPr>
      </w:pPr>
    </w:p>
    <w:p>
      <w:pPr>
        <w:jc w:val="both"/>
        <w:ind w:left="980" w:right="20" w:hanging="324"/>
        <w:spacing w:after="0" w:line="267"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ability to grow enrollment and capacity within existing centers. </w:t>
      </w:r>
      <w:r>
        <w:rPr>
          <w:rFonts w:ascii="Times New Roman" w:cs="Times New Roman" w:eastAsia="Times New Roman" w:hAnsi="Times New Roman"/>
          <w:sz w:val="18"/>
          <w:szCs w:val="18"/>
          <w:color w:val="auto"/>
        </w:rPr>
        <w:t>We believe all seniors should have access to the type of all-inclusive 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offered by the PACE model. Several factors can affect our ability to grow enrollment and capacity within existing centers, including sanctions issued by regulators or suspensions of State attestations required to open new de novo centers.</w:t>
      </w:r>
    </w:p>
    <w:p>
      <w:pPr>
        <w:spacing w:after="0" w:line="173"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ability to maintain high participant satisfaction and retention. </w:t>
      </w:r>
      <w:r>
        <w:rPr>
          <w:rFonts w:ascii="Times New Roman" w:cs="Times New Roman" w:eastAsia="Times New Roman" w:hAnsi="Times New Roman"/>
          <w:sz w:val="18"/>
          <w:szCs w:val="18"/>
          <w:color w:val="auto"/>
        </w:rPr>
        <w:t>Our comprehensive individualized care model and frequency of interaction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participants generates high levels of participant satisfaction. Our average participant tenure was 3.1 years as of September 30, 2024, measured as tenure from enrollment to disenrollment, among our centers that have been operated by us for at least five years. Furthermore, we experience low levels of voluntary disenrollment, averaging 6.9% annually over the last three fiscal years.</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57"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Effectively managing the cost of care for our participants</w:t>
      </w:r>
      <w:r>
        <w:rPr>
          <w:rFonts w:ascii="Times New Roman" w:cs="Times New Roman" w:eastAsia="Times New Roman" w:hAnsi="Times New Roman"/>
          <w:sz w:val="18"/>
          <w:szCs w:val="18"/>
          <w:color w:val="auto"/>
        </w:rPr>
        <w:t>. We receive capitated payments to manage the totality of a participant’s medical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care across all settings. The risk pool of our population became more acute in fiscal year 2023 as we were not able to replenish our population mix with newer, lower-acuity participants as a result of State sanctions. Together with the factors disclosed above (increased salaries, wages and benefits, increased fleet and contract transportation costs, annual increases in assisted living and nursing facility unit cost and general medical inflation) our external provider costs and cost of care, excluding depreciation and amortization, represented approximately 83% of our revenue in the three months ended September 30, 2024.</w:t>
      </w:r>
    </w:p>
    <w:p>
      <w:pPr>
        <w:spacing w:after="0" w:line="182" w:lineRule="exact"/>
        <w:rPr>
          <w:rFonts w:ascii="Times New Roman" w:cs="Times New Roman" w:eastAsia="Times New Roman" w:hAnsi="Times New Roman"/>
          <w:sz w:val="18"/>
          <w:szCs w:val="18"/>
          <w:color w:val="auto"/>
        </w:rPr>
      </w:pPr>
    </w:p>
    <w:p>
      <w:pPr>
        <w:jc w:val="both"/>
        <w:ind w:left="980" w:hanging="324"/>
        <w:spacing w:after="0" w:line="267"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Center-level Contribution Margin</w:t>
      </w:r>
      <w:r>
        <w:rPr>
          <w:rFonts w:ascii="Times New Roman" w:cs="Times New Roman" w:eastAsia="Times New Roman" w:hAnsi="Times New Roman"/>
          <w:sz w:val="18"/>
          <w:szCs w:val="18"/>
          <w:color w:val="auto"/>
        </w:rPr>
        <w:t>. The Company's management uses Center-level Contribution Margin as the measure for assessing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of its operating segments. As we serve more participants in existing centers, we expect to leverage our fixed cost base at those centers and increase the value of a center to our business increases over time.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980" w:hanging="324"/>
        <w:spacing w:after="0" w:line="254"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ability to expand via de novo centers within existing and new markets. </w:t>
      </w:r>
      <w:r>
        <w:rPr>
          <w:rFonts w:ascii="Times New Roman" w:cs="Times New Roman" w:eastAsia="Times New Roman" w:hAnsi="Times New Roman"/>
          <w:sz w:val="18"/>
          <w:szCs w:val="18"/>
          <w:color w:val="auto"/>
        </w:rPr>
        <w:t>Several factors can affect our ability to open de novo centers,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sanctions issued by regulators, legal, community or other obstacles in the construction of such centers, and our ability to hire and train enough workers to ramp up these centers to maturity. In response to an audit to our Sacramento center and a medical review of our San Bernardino center, which have been previously disclosed, the California Department of Health Care Services (“DHCS") notified us that it was suspending its attestations in support of the planned de novo center in Downey and the recently acquired planned de novo center in Bakersfield. CMS has closed its process and DHCS's process is ongoing. While the planned California de novo centers are precluded from opening at this time, DHCS notified us that it would consider restoring the State Attestations upon our successful remediation of the deficiencies raised in our Sacramento center and its completion of the medical review (and any potential resultant remediation that may be required) in our San Bernardino center.</w:t>
      </w:r>
    </w:p>
    <w:p>
      <w:pPr>
        <w:spacing w:after="0" w:line="215" w:lineRule="exact"/>
        <w:rPr>
          <w:rFonts w:ascii="Times New Roman" w:cs="Times New Roman" w:eastAsia="Times New Roman" w:hAnsi="Times New Roman"/>
          <w:sz w:val="18"/>
          <w:szCs w:val="18"/>
          <w:color w:val="auto"/>
        </w:rPr>
      </w:pPr>
    </w:p>
    <w:p>
      <w:pPr>
        <w:jc w:val="both"/>
        <w:ind w:left="980" w:hanging="324"/>
        <w:spacing w:after="0" w:line="245"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Execute tuck-in acquisitions and partnerships. </w:t>
      </w:r>
      <w:r>
        <w:rPr>
          <w:rFonts w:ascii="Times New Roman" w:cs="Times New Roman" w:eastAsia="Times New Roman" w:hAnsi="Times New Roman"/>
          <w:sz w:val="18"/>
          <w:szCs w:val="18"/>
          <w:color w:val="auto"/>
        </w:rPr>
        <w:t>Since fiscal year 2019, we have acquired and integrated four PACE organizations for a total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eight operational centers (excluding the PACE center in Bakersfield, California, which is not yet operational). These acquisitions represent expansion of our InnovAge Platform into one new state and five new markets. By bringing acquired organizations under the InnovAge Platform, we hope to further realize revenue growth and improve operational efficiency and care delivery post-integration. We also have pursued and intend to continue pursuing additional relationships with key stakeholders, existing organizations and other care providers in order to form partnerships in target geography, such as the joint venture we entered into at our Orlando PACE center with Orlando Health during the fourth quarter of fiscal year 2024.</w:t>
      </w:r>
    </w:p>
    <w:p>
      <w:pPr>
        <w:spacing w:after="0" w:line="181" w:lineRule="exact"/>
        <w:rPr>
          <w:rFonts w:ascii="Times New Roman" w:cs="Times New Roman" w:eastAsia="Times New Roman" w:hAnsi="Times New Roman"/>
          <w:sz w:val="18"/>
          <w:szCs w:val="18"/>
          <w:color w:val="auto"/>
        </w:rPr>
      </w:pPr>
    </w:p>
    <w:p>
      <w:pPr>
        <w:ind w:left="980" w:right="20" w:hanging="324"/>
        <w:spacing w:after="0" w:line="284"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maintain high quality of regulatory compliance</w:t>
      </w:r>
      <w:r>
        <w:rPr>
          <w:rFonts w:ascii="Times New Roman" w:cs="Times New Roman" w:eastAsia="Times New Roman" w:hAnsi="Times New Roman"/>
          <w:sz w:val="18"/>
          <w:szCs w:val="18"/>
          <w:color w:val="auto"/>
        </w:rPr>
        <w:t>. The Company's priority is to continue to maintain high quality of regulatory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in all its centers.</w:t>
      </w:r>
    </w:p>
    <w:p>
      <w:pPr>
        <w:spacing w:after="0" w:line="158"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7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Contracting with government payors</w:t>
      </w:r>
      <w:r>
        <w:rPr>
          <w:rFonts w:ascii="Times New Roman" w:cs="Times New Roman" w:eastAsia="Times New Roman" w:hAnsi="Times New Roman"/>
          <w:sz w:val="18"/>
          <w:szCs w:val="18"/>
          <w:color w:val="auto"/>
        </w:rPr>
        <w:t>. Our economic model relies on our capitated arrangements with government payors, namely Medicare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Medicaid. We view the government not only as a payor but also as a key partner in our efforts to expand into new geographies and access more participants in our existing markets. Maintaining, supporting and growing these relationships in existing markets as well as new geographies, is critical to our long-term success.</w:t>
      </w:r>
    </w:p>
    <w:p>
      <w:pPr>
        <w:spacing w:after="0" w:line="179" w:lineRule="exact"/>
        <w:rPr>
          <w:rFonts w:ascii="Times New Roman" w:cs="Times New Roman" w:eastAsia="Times New Roman" w:hAnsi="Times New Roman"/>
          <w:sz w:val="18"/>
          <w:szCs w:val="18"/>
          <w:i w:val="1"/>
          <w:iCs w:val="1"/>
          <w:color w:val="auto"/>
        </w:rPr>
      </w:pPr>
    </w:p>
    <w:p>
      <w:pPr>
        <w:jc w:val="both"/>
        <w:ind w:left="980" w:hanging="324"/>
        <w:spacing w:after="0" w:line="256"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Investing to support growth</w:t>
      </w:r>
      <w:r>
        <w:rPr>
          <w:rFonts w:ascii="Times New Roman" w:cs="Times New Roman" w:eastAsia="Times New Roman" w:hAnsi="Times New Roman"/>
          <w:sz w:val="18"/>
          <w:szCs w:val="18"/>
          <w:color w:val="auto"/>
        </w:rPr>
        <w:t>. We intend to continue investing in our centers, value-based care model, and sales and marketing organization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 long-term growth. We expect our expenses to increase in absolute dollars for the foreseeable future to support our growth due, partially, to additional costs we incur in connection with our audits to our centers, remediation plans and current and potential legal and regulatory proceedings. We plan to invest in future growth judiciously and maintain focus on managing our results of operations. We are investing to increase our sophistication as a payor to drive clinical value, improve outcomes, and manage cost trends. Accordingly, in the short term, we expect the activities noted above to increase our expenses as a percentage of revenue, but in the longer term, we anticipate that these investments will positively impact our business and results of operations.</w:t>
      </w:r>
    </w:p>
    <w:p>
      <w:pPr>
        <w:spacing w:after="0" w:line="182" w:lineRule="exact"/>
        <w:rPr>
          <w:rFonts w:ascii="Times New Roman" w:cs="Times New Roman" w:eastAsia="Times New Roman" w:hAnsi="Times New Roman"/>
          <w:sz w:val="18"/>
          <w:szCs w:val="18"/>
          <w:color w:val="auto"/>
        </w:rPr>
      </w:pPr>
    </w:p>
    <w:p>
      <w:pPr>
        <w:jc w:val="both"/>
        <w:ind w:left="980" w:hanging="324"/>
        <w:spacing w:after="0" w:line="26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Seasonality of our business</w:t>
      </w:r>
      <w:r>
        <w:rPr>
          <w:rFonts w:ascii="Times New Roman" w:cs="Times New Roman" w:eastAsia="Times New Roman" w:hAnsi="Times New Roman"/>
          <w:sz w:val="18"/>
          <w:szCs w:val="18"/>
          <w:color w:val="auto"/>
        </w:rPr>
        <w:t>. Our operational and financial results, including medical costs and per-participant revenue true-ups,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some variability depending upon the time of year in which they are measured. Medical costs vary most significantly as a result of</w:t>
      </w:r>
    </w:p>
    <w:p>
      <w:pPr>
        <w:jc w:val="both"/>
        <w:ind w:left="980"/>
        <w:spacing w:after="0" w:line="251" w:lineRule="auto"/>
        <w:tabs>
          <w:tab w:leader="none" w:pos="120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weather, with certain illnesses, such as the influenza and COVID-19 viruses, being more prevalent during colder months of the year, which generally increases per-participant costs, and (ii) the number of business days in a period, with shorter periods generally having lower medical costs, all else equal. Per-participant revenue true-ups represent the difference between our estimate of per-participant capitation revenue to be received and actual revenue received from CMS, which is based on CMS’s determination of a participant’s RAF score as measured twice per year and is based on the evolving acuity of a participant. Where there is a difference between our estimate and the final determination from CMS, we may record either an increase or decrease in true-up revenue. Historically, these true-up payments typically occur between May and August, but the timing of these payments is determined by CMS, and we have neither visibility into nor control over the timing of such payments. The variability of participant enrollments during the open enrollment period has also been impacted by additional offerings by MA and other competitors. We believe that, as a result of these additional offerings, we experienced higher than expected disenrollments during the third quarter of fiscal 2024.</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7"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Capitation Revenue</w:t>
      </w:r>
      <w:r>
        <w:rPr>
          <w:rFonts w:ascii="Times New Roman" w:cs="Times New Roman" w:eastAsia="Times New Roman" w:hAnsi="Times New Roman"/>
          <w:sz w:val="18"/>
          <w:szCs w:val="18"/>
          <w:color w:val="auto"/>
        </w:rPr>
        <w:t>. In order to provide comprehensive services to manage the totality of a participant’s medical care across all settings, we receive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fixed or capitated fees per participant that are paid monthly by Medicare, Medicaid, Veterans Affairs (“VA”) and private pay sources.</w:t>
      </w:r>
    </w:p>
    <w:p>
      <w:pPr>
        <w:spacing w:after="0" w:line="16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Medicaid and Medicare capitation revenues are based on PMPM capitation rates under the PACE program. The PACE state contracts between us and the respective state Medicaid administering agency are renewed annually each June 30 in all states other than California and Pennsylvania, which contract on a calendar-year basis. We are currently operating in good standing under each of our PACE state contracts. For a discussion of our revenue recognition policies, please see </w:t>
      </w:r>
      <w:r>
        <w:rPr>
          <w:rFonts w:ascii="Times New Roman" w:cs="Times New Roman" w:eastAsia="Times New Roman" w:hAnsi="Times New Roman"/>
          <w:sz w:val="18"/>
          <w:szCs w:val="18"/>
          <w:i w:val="1"/>
          <w:iCs w:val="1"/>
          <w:color w:val="auto"/>
        </w:rPr>
        <w:t>Critical Accounting Estimates</w:t>
      </w:r>
      <w:r>
        <w:rPr>
          <w:rFonts w:ascii="Times New Roman" w:cs="Times New Roman" w:eastAsia="Times New Roman" w:hAnsi="Times New Roman"/>
          <w:sz w:val="18"/>
          <w:szCs w:val="18"/>
          <w:color w:val="auto"/>
        </w:rPr>
        <w:t xml:space="preserve"> below and Note 2 “Summary of Significant Accounting Policies” to our consolidated financial statements included in our 2024 10-K.</w:t>
      </w:r>
    </w:p>
    <w:p>
      <w:pPr>
        <w:spacing w:after="0" w:line="181"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Service Revenue. </w:t>
      </w:r>
      <w:r>
        <w:rPr>
          <w:rFonts w:ascii="Times New Roman" w:cs="Times New Roman" w:eastAsia="Times New Roman" w:hAnsi="Times New Roman"/>
          <w:sz w:val="18"/>
          <w:szCs w:val="18"/>
          <w:color w:val="auto"/>
        </w:rPr>
        <w:t>Other service revenue primarily consists of revenues derived from state food grants and rent revenues. For a discussion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revenue recognition policies, please see </w:t>
      </w:r>
      <w:r>
        <w:rPr>
          <w:rFonts w:ascii="Times New Roman" w:cs="Times New Roman" w:eastAsia="Times New Roman" w:hAnsi="Times New Roman"/>
          <w:sz w:val="18"/>
          <w:szCs w:val="18"/>
          <w:i w:val="1"/>
          <w:iCs w:val="1"/>
          <w:color w:val="auto"/>
        </w:rPr>
        <w:t>Critical Accounting Estimates</w:t>
      </w:r>
      <w:r>
        <w:rPr>
          <w:rFonts w:ascii="Times New Roman" w:cs="Times New Roman" w:eastAsia="Times New Roman" w:hAnsi="Times New Roman"/>
          <w:sz w:val="18"/>
          <w:szCs w:val="18"/>
          <w:color w:val="auto"/>
        </w:rPr>
        <w:t xml:space="preserve"> below and Note 2, “Summary of Significant Accounting Policies” to our consolidated financial statements included in our 2024 10-K.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External Provider Costs. </w:t>
      </w:r>
      <w:r>
        <w:rPr>
          <w:rFonts w:ascii="Times New Roman" w:cs="Times New Roman" w:eastAsia="Times New Roman" w:hAnsi="Times New Roman"/>
          <w:sz w:val="18"/>
          <w:szCs w:val="18"/>
          <w:color w:val="auto"/>
        </w:rPr>
        <w:t>External provider costs consist primarily of the costs for medical care provided by non-InnovAge providers. We separate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external provider costs into four categories: inpatient (e.g., hospital), housing (e.g., assisted living and skilled nursing facility), outpatient and pharmacy. In aggregate, external provider costs represent the largest portion of our expenses.</w:t>
      </w:r>
    </w:p>
    <w:p>
      <w:pPr>
        <w:spacing w:after="0" w:line="17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Cost of Care, Excluding Depreciation and Amortization. </w:t>
      </w:r>
      <w:r>
        <w:rPr>
          <w:rFonts w:ascii="Times New Roman" w:cs="Times New Roman" w:eastAsia="Times New Roman" w:hAnsi="Times New Roman"/>
          <w:sz w:val="18"/>
          <w:szCs w:val="18"/>
          <w:color w:val="auto"/>
        </w:rPr>
        <w:t>Cost of care, excluding depreciation and amortization, includes the costs we incur to operate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care delivery model. This includes costs related to salaries, wages and benefits for IDT and other center-level staff, participant transportation, medical supplies, occupancy, insurance and other operating costs. IDT employees include medical doctors, registered nurses, social workers, physical, occupational, and speech therapists, nursing assistants, and transportation workers. Other center-level employees include clinic managers, dieticians, activity assistants and certified nursing assistants. Cost of care excludes any expenses associated with sales and marketing activities incurred at a local level as well as any allocation of our corporate, general and administrative expenses. A portion of our cost of care, including our employee-related costs, is directly related to the number of participants cared for in a center. The remainder of our cost of care is fixed relative to the number of participants we serve, such as occupancy and insurance expenses. As a result, as revenue increases due to census growth, cost of care, excluding depreciation and amortization, moderately decreases as a percentage of revenue. As we open new centers, we expect cost of care, excluding depreciation and amortization, to increase in absolute dollars due to higher census and facility related costs.</w:t>
      </w:r>
    </w:p>
    <w:p>
      <w:pPr>
        <w:spacing w:after="0" w:line="1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consist of employee-related expenses, including salaries, commissions, and employee benefits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for all employees engaged in marketing, sales, community outreach and sales support as well as financial eligibility support for both prospective and existing participants. These employee-related expenses capture all costs for both our field-based and corporate sales and marketing teams. Sales and marketing expenses also include local and centralized advertising costs, as well as the infrastructure required to support our marketing efforts. We expect these costs to increase in absolute dollars over time as we continue to grow our participant census. We evaluate our sales and marketing expenses relative to our participant growth and will invest more heavily in sales and marketing from time-to-time to the extent we believe such investment can accelerate our growth without negatively affecting profitability.</w:t>
      </w:r>
    </w:p>
    <w:p>
      <w:pPr>
        <w:spacing w:after="0" w:line="18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Corporate, General and Administrative Expenses. </w:t>
      </w:r>
      <w:r>
        <w:rPr>
          <w:rFonts w:ascii="Times New Roman" w:cs="Times New Roman" w:eastAsia="Times New Roman" w:hAnsi="Times New Roman"/>
          <w:sz w:val="18"/>
          <w:szCs w:val="18"/>
          <w:color w:val="auto"/>
        </w:rPr>
        <w:t>Corporate, general and administrative expenses include employee-related expenses,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salaries and related costs. In addition, general and administrative expenses include all corporate technology and occupancy costs associated with our corporate office. We expect our general and administrative expenses to increase in absolute dollars due to the additional legal, accounting, insurance, investor relations and other costs that we incur as a public company, as well as other costs associated with compliance and continuing to grow our business. However, we anticipate general and administrative expenses to decrease as a percentage of revenue over the long term, although such expenses may fluctuate as a percentage of revenue from period to period due to the timing and amount of these expenses.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expenses are primarily attributable to our buildings and leasehold improvements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equipment and vehicles. Depreciation and amortization are recorded using the straight-line method over the shorter of estimated useful life or lease terms, to the extent the assets are being leased.</w:t>
      </w:r>
    </w:p>
    <w:p>
      <w:pPr>
        <w:spacing w:after="0" w:line="173"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For more information relating to the components of our results of operations, see </w:t>
      </w:r>
      <w:r>
        <w:rPr>
          <w:rFonts w:ascii="Times New Roman" w:cs="Times New Roman" w:eastAsia="Times New Roman" w:hAnsi="Times New Roman"/>
          <w:sz w:val="18"/>
          <w:szCs w:val="18"/>
          <w:i w:val="1"/>
          <w:iCs w:val="1"/>
          <w:color w:val="auto"/>
        </w:rPr>
        <w:t>Results of Operations</w:t>
      </w:r>
      <w:r>
        <w:rPr>
          <w:rFonts w:ascii="Times New Roman" w:cs="Times New Roman" w:eastAsia="Times New Roman" w:hAnsi="Times New Roman"/>
          <w:sz w:val="18"/>
          <w:szCs w:val="18"/>
          <w:color w:val="auto"/>
        </w:rPr>
        <w:t xml:space="preserve"> below and Note 2 “Summary of Significant Accounting Policies” to our consolidated financial statements included in our 2024 10-K.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consolidated results of operations for the periods presented: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40" w:type="dxa"/>
            <w:vAlign w:val="bottom"/>
            <w:gridSpan w:val="9"/>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3"/>
        </w:trPr>
        <w:tc>
          <w:tcPr>
            <w:tcW w:w="64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Capitation revenue</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204,800</w:t>
            </w:r>
          </w:p>
        </w:tc>
        <w:tc>
          <w:tcPr>
            <w:tcW w:w="100" w:type="dxa"/>
            <w:vAlign w:val="bottom"/>
          </w:tcPr>
          <w:p>
            <w:pPr>
              <w:spacing w:after="0"/>
              <w:rPr>
                <w:sz w:val="21"/>
                <w:szCs w:val="21"/>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182,173</w:t>
            </w:r>
          </w:p>
        </w:tc>
        <w:tc>
          <w:tcPr>
            <w:tcW w:w="0" w:type="dxa"/>
            <w:vAlign w:val="bottom"/>
          </w:tcPr>
          <w:p>
            <w:pPr>
              <w:spacing w:after="0"/>
              <w:rPr>
                <w:sz w:val="1"/>
                <w:szCs w:val="1"/>
                <w:color w:val="auto"/>
              </w:rPr>
            </w:pPr>
          </w:p>
        </w:tc>
      </w:tr>
      <w:tr>
        <w:trPr>
          <w:trHeight w:val="243"/>
        </w:trPr>
        <w:tc>
          <w:tcPr>
            <w:tcW w:w="64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service revenue</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0" w:type="dxa"/>
            <w:vAlign w:val="bottom"/>
          </w:tcPr>
          <w:p>
            <w:pPr>
              <w:spacing w:after="0"/>
              <w:rPr>
                <w:sz w:val="1"/>
                <w:szCs w:val="1"/>
                <w:color w:val="auto"/>
              </w:rPr>
            </w:pPr>
          </w:p>
        </w:tc>
      </w:tr>
      <w:tr>
        <w:trPr>
          <w:trHeight w:val="204"/>
        </w:trPr>
        <w:tc>
          <w:tcPr>
            <w:tcW w:w="64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revenues</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205,142</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182,485</w:t>
            </w:r>
          </w:p>
        </w:tc>
        <w:tc>
          <w:tcPr>
            <w:tcW w:w="0" w:type="dxa"/>
            <w:vAlign w:val="bottom"/>
          </w:tcPr>
          <w:p>
            <w:pPr>
              <w:spacing w:after="0"/>
              <w:rPr>
                <w:sz w:val="1"/>
                <w:szCs w:val="1"/>
                <w:color w:val="auto"/>
              </w:rPr>
            </w:pPr>
          </w:p>
        </w:tc>
      </w:tr>
      <w:tr>
        <w:trPr>
          <w:trHeight w:val="33"/>
        </w:trPr>
        <w:tc>
          <w:tcPr>
            <w:tcW w:w="6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External provider costs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107,214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99,358</w:t>
            </w:r>
          </w:p>
        </w:tc>
        <w:tc>
          <w:tcPr>
            <w:tcW w:w="0" w:type="dxa"/>
            <w:vAlign w:val="bottom"/>
          </w:tcPr>
          <w:p>
            <w:pPr>
              <w:spacing w:after="0"/>
              <w:rPr>
                <w:sz w:val="1"/>
                <w:szCs w:val="1"/>
                <w:color w:val="auto"/>
              </w:rPr>
            </w:pPr>
          </w:p>
        </w:tc>
      </w:tr>
      <w:tr>
        <w:trPr>
          <w:trHeight w:val="33"/>
        </w:trPr>
        <w:tc>
          <w:tcPr>
            <w:tcW w:w="6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4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Cost of care, excluding depreciation and amortization</w:t>
            </w: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63,387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55,250</w:t>
            </w:r>
          </w:p>
        </w:tc>
        <w:tc>
          <w:tcPr>
            <w:tcW w:w="0" w:type="dxa"/>
            <w:vAlign w:val="bottom"/>
          </w:tcPr>
          <w:p>
            <w:pPr>
              <w:spacing w:after="0"/>
              <w:rPr>
                <w:sz w:val="1"/>
                <w:szCs w:val="1"/>
                <w:color w:val="auto"/>
              </w:rPr>
            </w:pPr>
          </w:p>
        </w:tc>
      </w:tr>
      <w:tr>
        <w:trPr>
          <w:trHeight w:val="210"/>
        </w:trPr>
        <w:tc>
          <w:tcPr>
            <w:tcW w:w="6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Sales and marketing</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5,379</w:t>
            </w:r>
          </w:p>
        </w:tc>
        <w:tc>
          <w:tcPr>
            <w:tcW w:w="0" w:type="dxa"/>
            <w:vAlign w:val="bottom"/>
          </w:tcPr>
          <w:p>
            <w:pPr>
              <w:spacing w:after="0"/>
              <w:rPr>
                <w:sz w:val="1"/>
                <w:szCs w:val="1"/>
                <w:color w:val="auto"/>
              </w:rPr>
            </w:pPr>
          </w:p>
        </w:tc>
      </w:tr>
      <w:tr>
        <w:trPr>
          <w:trHeight w:val="33"/>
        </w:trPr>
        <w:tc>
          <w:tcPr>
            <w:tcW w:w="6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4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Corporate, general and administrative</w:t>
            </w: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27,535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28,947</w:t>
            </w:r>
          </w:p>
        </w:tc>
        <w:tc>
          <w:tcPr>
            <w:tcW w:w="0" w:type="dxa"/>
            <w:vAlign w:val="bottom"/>
          </w:tcPr>
          <w:p>
            <w:pPr>
              <w:spacing w:after="0"/>
              <w:rPr>
                <w:sz w:val="1"/>
                <w:szCs w:val="1"/>
                <w:color w:val="auto"/>
              </w:rPr>
            </w:pPr>
          </w:p>
        </w:tc>
      </w:tr>
      <w:tr>
        <w:trPr>
          <w:trHeight w:val="210"/>
        </w:trPr>
        <w:tc>
          <w:tcPr>
            <w:tcW w:w="6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4,269</w:t>
            </w:r>
          </w:p>
        </w:tc>
        <w:tc>
          <w:tcPr>
            <w:tcW w:w="0" w:type="dxa"/>
            <w:vAlign w:val="bottom"/>
          </w:tcPr>
          <w:p>
            <w:pPr>
              <w:spacing w:after="0"/>
              <w:rPr>
                <w:sz w:val="1"/>
                <w:szCs w:val="1"/>
                <w:color w:val="auto"/>
              </w:rPr>
            </w:pPr>
          </w:p>
        </w:tc>
      </w:tr>
      <w:tr>
        <w:trPr>
          <w:trHeight w:val="33"/>
        </w:trPr>
        <w:tc>
          <w:tcPr>
            <w:tcW w:w="64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expenses</w:t>
            </w: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210,038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193,203</w:t>
            </w:r>
          </w:p>
        </w:tc>
        <w:tc>
          <w:tcPr>
            <w:tcW w:w="0" w:type="dxa"/>
            <w:vAlign w:val="bottom"/>
          </w:tcPr>
          <w:p>
            <w:pPr>
              <w:spacing w:after="0"/>
              <w:rPr>
                <w:sz w:val="1"/>
                <w:szCs w:val="1"/>
                <w:color w:val="auto"/>
              </w:rPr>
            </w:pPr>
          </w:p>
        </w:tc>
      </w:tr>
      <w:tr>
        <w:trPr>
          <w:trHeight w:val="204"/>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(4,896)</w:t>
            </w:r>
          </w:p>
        </w:tc>
        <w:tc>
          <w:tcPr>
            <w:tcW w:w="100" w:type="dxa"/>
            <w:vAlign w:val="bottom"/>
          </w:tcPr>
          <w:p>
            <w:pPr>
              <w:spacing w:after="0"/>
              <w:rPr>
                <w:sz w:val="17"/>
                <w:szCs w:val="17"/>
                <w:color w:val="auto"/>
              </w:rPr>
            </w:pPr>
          </w:p>
        </w:tc>
        <w:tc>
          <w:tcPr>
            <w:tcW w:w="320" w:type="dxa"/>
            <w:vAlign w:val="bottom"/>
            <w:tcBorders>
              <w:top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(10,718)</w:t>
            </w:r>
          </w:p>
        </w:tc>
        <w:tc>
          <w:tcPr>
            <w:tcW w:w="0" w:type="dxa"/>
            <w:vAlign w:val="bottom"/>
          </w:tcPr>
          <w:p>
            <w:pPr>
              <w:spacing w:after="0"/>
              <w:rPr>
                <w:sz w:val="1"/>
                <w:szCs w:val="1"/>
                <w:color w:val="auto"/>
              </w:rPr>
            </w:pPr>
          </w:p>
        </w:tc>
      </w:tr>
      <w:tr>
        <w:trPr>
          <w:trHeight w:val="33"/>
        </w:trPr>
        <w:tc>
          <w:tcPr>
            <w:tcW w:w="64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4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6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4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 expense, net</w:t>
            </w: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0" w:type="dxa"/>
            <w:vAlign w:val="bottom"/>
          </w:tcPr>
          <w:p>
            <w:pPr>
              <w:spacing w:after="0"/>
              <w:rPr>
                <w:sz w:val="1"/>
                <w:szCs w:val="1"/>
                <w:color w:val="auto"/>
              </w:rPr>
            </w:pPr>
          </w:p>
        </w:tc>
      </w:tr>
      <w:tr>
        <w:trPr>
          <w:trHeight w:val="210"/>
        </w:trPr>
        <w:tc>
          <w:tcPr>
            <w:tcW w:w="6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income</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0" w:type="dxa"/>
            <w:vAlign w:val="bottom"/>
          </w:tcPr>
          <w:p>
            <w:pPr>
              <w:spacing w:after="0"/>
              <w:rPr>
                <w:sz w:val="1"/>
                <w:szCs w:val="1"/>
                <w:color w:val="auto"/>
              </w:rPr>
            </w:pPr>
          </w:p>
        </w:tc>
      </w:tr>
      <w:tr>
        <w:trPr>
          <w:trHeight w:val="33"/>
        </w:trPr>
        <w:tc>
          <w:tcPr>
            <w:tcW w:w="64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4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other expense</w:t>
            </w: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04"/>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Loss Before Income Taxes</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(5,306)</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(10,736)</w:t>
            </w:r>
          </w:p>
        </w:tc>
        <w:tc>
          <w:tcPr>
            <w:tcW w:w="0" w:type="dxa"/>
            <w:vAlign w:val="bottom"/>
          </w:tcPr>
          <w:p>
            <w:pPr>
              <w:spacing w:after="0"/>
              <w:rPr>
                <w:sz w:val="1"/>
                <w:szCs w:val="1"/>
                <w:color w:val="auto"/>
              </w:rPr>
            </w:pPr>
          </w:p>
        </w:tc>
      </w:tr>
      <w:tr>
        <w:trPr>
          <w:trHeight w:val="33"/>
        </w:trPr>
        <w:tc>
          <w:tcPr>
            <w:tcW w:w="6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Provision (Benefit) for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0" w:type="dxa"/>
            <w:vAlign w:val="bottom"/>
          </w:tcPr>
          <w:p>
            <w:pPr>
              <w:spacing w:after="0"/>
              <w:rPr>
                <w:sz w:val="1"/>
                <w:szCs w:val="1"/>
                <w:color w:val="auto"/>
              </w:rPr>
            </w:pPr>
          </w:p>
        </w:tc>
      </w:tr>
      <w:tr>
        <w:trPr>
          <w:trHeight w:val="204"/>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(5,710)</w:t>
            </w:r>
          </w:p>
        </w:tc>
        <w:tc>
          <w:tcPr>
            <w:tcW w:w="100" w:type="dxa"/>
            <w:vAlign w:val="bottom"/>
          </w:tcPr>
          <w:p>
            <w:pPr>
              <w:spacing w:after="0"/>
              <w:rPr>
                <w:sz w:val="17"/>
                <w:szCs w:val="17"/>
                <w:color w:val="auto"/>
              </w:rPr>
            </w:pPr>
          </w:p>
        </w:tc>
        <w:tc>
          <w:tcPr>
            <w:tcW w:w="320" w:type="dxa"/>
            <w:vAlign w:val="bottom"/>
            <w:tcBorders>
              <w:top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(10,962)</w:t>
            </w:r>
          </w:p>
        </w:tc>
        <w:tc>
          <w:tcPr>
            <w:tcW w:w="0" w:type="dxa"/>
            <w:vAlign w:val="bottom"/>
          </w:tcPr>
          <w:p>
            <w:pPr>
              <w:spacing w:after="0"/>
              <w:rPr>
                <w:sz w:val="1"/>
                <w:szCs w:val="1"/>
                <w:color w:val="auto"/>
              </w:rPr>
            </w:pPr>
          </w:p>
        </w:tc>
      </w:tr>
      <w:tr>
        <w:trPr>
          <w:trHeight w:val="33"/>
        </w:trPr>
        <w:tc>
          <w:tcPr>
            <w:tcW w:w="64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Less: net loss attributable to noncontrolling interests</w:t>
            </w: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Attributable to InnovAge Holding Corp.</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(4,929)</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(10,304)</w:t>
            </w:r>
          </w:p>
        </w:tc>
        <w:tc>
          <w:tcPr>
            <w:tcW w:w="0" w:type="dxa"/>
            <w:vAlign w:val="bottom"/>
          </w:tcPr>
          <w:p>
            <w:pPr>
              <w:spacing w:after="0"/>
              <w:rPr>
                <w:sz w:val="1"/>
                <w:szCs w:val="1"/>
                <w:color w:val="auto"/>
              </w:rPr>
            </w:pPr>
          </w:p>
        </w:tc>
      </w:tr>
      <w:tr>
        <w:trPr>
          <w:trHeight w:val="27"/>
        </w:trPr>
        <w:tc>
          <w:tcPr>
            <w:tcW w:w="6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64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6480" w:type="dxa"/>
            <w:vAlign w:val="bottom"/>
          </w:tcPr>
          <w:p>
            <w:pPr>
              <w:spacing w:after="0"/>
              <w:rPr>
                <w:sz w:val="24"/>
                <w:szCs w:val="24"/>
                <w:color w:val="auto"/>
              </w:rPr>
            </w:pPr>
          </w:p>
        </w:tc>
        <w:tc>
          <w:tcPr>
            <w:tcW w:w="23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64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Capitation revenue</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204,800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182,173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CCEEFF"/>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22,627</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12.4 %</w:t>
            </w:r>
          </w:p>
        </w:tc>
        <w:tc>
          <w:tcPr>
            <w:tcW w:w="0" w:type="dxa"/>
            <w:vAlign w:val="bottom"/>
          </w:tcPr>
          <w:p>
            <w:pPr>
              <w:spacing w:after="0"/>
              <w:rPr>
                <w:sz w:val="1"/>
                <w:szCs w:val="1"/>
                <w:color w:val="auto"/>
              </w:rPr>
            </w:pPr>
          </w:p>
        </w:tc>
      </w:tr>
      <w:tr>
        <w:trPr>
          <w:trHeight w:val="237"/>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service revenue</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9.6 %</w:t>
            </w:r>
          </w:p>
        </w:tc>
        <w:tc>
          <w:tcPr>
            <w:tcW w:w="0" w:type="dxa"/>
            <w:vAlign w:val="bottom"/>
          </w:tcPr>
          <w:p>
            <w:pPr>
              <w:spacing w:after="0"/>
              <w:rPr>
                <w:sz w:val="1"/>
                <w:szCs w:val="1"/>
                <w:color w:val="auto"/>
              </w:rPr>
            </w:pPr>
          </w:p>
        </w:tc>
      </w:tr>
      <w:tr>
        <w:trPr>
          <w:trHeight w:val="265"/>
        </w:trPr>
        <w:tc>
          <w:tcPr>
            <w:tcW w:w="64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 revenues</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205,142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182,485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22,657</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12.4 %</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Capitation revenue. </w:t>
      </w:r>
      <w:r>
        <w:rPr>
          <w:rFonts w:ascii="Times New Roman" w:cs="Times New Roman" w:eastAsia="Times New Roman" w:hAnsi="Times New Roman"/>
          <w:sz w:val="18"/>
          <w:szCs w:val="18"/>
          <w:color w:val="auto"/>
        </w:rPr>
        <w:t>Capitation revenue was $204.8 million for the three months ended September 30, 2024, an increase of $22.6 million, or 12.4%,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$182.2 million for the three months ended September 30, 2023. This increase was driven by a $5.4 million, or 2.7%, increase in capitation rates coupled with $17.2 million, or 9.4%, increase in member months. The increase in capitation rates was primarily driven by (i) a 4.3% annual increase in Medicaid capitation rates as determined by the States and (ii) a 0.8% increase in Medicare capitation rates as a result of increased risk score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county rates. The increase in member months is primarily due to growth in our California and Colorado centers and to a lesser extent due to the addition of de novo centers in Florida and the Concerto acquisition.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7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6"/>
                <w:szCs w:val="16"/>
                <w:color w:val="auto"/>
              </w:rPr>
            </w:pPr>
          </w:p>
        </w:tc>
        <w:tc>
          <w:tcPr>
            <w:tcW w:w="110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7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72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7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External provider costs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107,214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99,358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33"/>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care (excluding depreciation and amortization)</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63,387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0" w:type="dxa"/>
            <w:vAlign w:val="bottom"/>
          </w:tcPr>
          <w:p>
            <w:pPr>
              <w:spacing w:after="0"/>
              <w:rPr>
                <w:sz w:val="1"/>
                <w:szCs w:val="1"/>
                <w:color w:val="auto"/>
              </w:rPr>
            </w:pPr>
          </w:p>
        </w:tc>
      </w:tr>
      <w:tr>
        <w:trPr>
          <w:trHeight w:val="233"/>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20.7 %</w:t>
            </w:r>
          </w:p>
        </w:tc>
        <w:tc>
          <w:tcPr>
            <w:tcW w:w="0" w:type="dxa"/>
            <w:vAlign w:val="bottom"/>
          </w:tcPr>
          <w:p>
            <w:pPr>
              <w:spacing w:after="0"/>
              <w:rPr>
                <w:sz w:val="1"/>
                <w:szCs w:val="1"/>
                <w:color w:val="auto"/>
              </w:rPr>
            </w:pPr>
          </w:p>
        </w:tc>
      </w:tr>
      <w:tr>
        <w:trPr>
          <w:trHeight w:val="233"/>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general, and administrative</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27,535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28,947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46"/>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5,410</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4,269</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0" w:type="dxa"/>
            <w:vAlign w:val="bottom"/>
          </w:tcPr>
          <w:p>
            <w:pPr>
              <w:spacing w:after="0"/>
              <w:rPr>
                <w:sz w:val="1"/>
                <w:szCs w:val="1"/>
                <w:color w:val="auto"/>
              </w:rPr>
            </w:pPr>
          </w:p>
        </w:tc>
      </w:tr>
      <w:tr>
        <w:trPr>
          <w:trHeight w:val="240"/>
        </w:trPr>
        <w:tc>
          <w:tcPr>
            <w:tcW w:w="72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210,038</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193,203</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16,835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7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External provider costs. </w:t>
      </w:r>
      <w:r>
        <w:rPr>
          <w:rFonts w:ascii="Times New Roman" w:cs="Times New Roman" w:eastAsia="Times New Roman" w:hAnsi="Times New Roman"/>
          <w:sz w:val="18"/>
          <w:szCs w:val="18"/>
          <w:color w:val="auto"/>
        </w:rPr>
        <w:t>External provider costs were $107.2 million for the three months ended September 30, 2024, an increase of $7.9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7.9%, compared to $99.4 million for the three months ended September 30, 2023. The increase was primarily driven by an increase of $9.4 million, or</w:t>
      </w:r>
    </w:p>
    <w:p>
      <w:pPr>
        <w:jc w:val="both"/>
        <w:spacing w:after="0" w:line="253" w:lineRule="auto"/>
        <w:rPr>
          <w:sz w:val="20"/>
          <w:szCs w:val="20"/>
          <w:color w:val="auto"/>
        </w:rPr>
      </w:pPr>
      <w:r>
        <w:rPr>
          <w:rFonts w:ascii="Times New Roman" w:cs="Times New Roman" w:eastAsia="Times New Roman" w:hAnsi="Times New Roman"/>
          <w:sz w:val="18"/>
          <w:szCs w:val="18"/>
          <w:color w:val="auto"/>
        </w:rPr>
        <w:t>9.4%, in member months partially offset by a decrease of $1.5 million, or 1.4% in cost per participant. The decrease in cost per participant was primarily driven by a decrease in permanent nursing facility utilization and a decrease in external hospice care associated with the transition of this function to internal clinical resources. This is partially offset by an annual increase in pharmacy cost, and an annual increase in assisted living and permanent nursing facility unit cost.</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Cost of care (excluding depreciation and amortization). </w:t>
      </w:r>
      <w:r>
        <w:rPr>
          <w:rFonts w:ascii="Times New Roman" w:cs="Times New Roman" w:eastAsia="Times New Roman" w:hAnsi="Times New Roman"/>
          <w:sz w:val="18"/>
          <w:szCs w:val="18"/>
          <w:color w:val="auto"/>
        </w:rPr>
        <w:t>Cost of care (excluding depreciation and amortization) expense was $63.4 million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2024, an increase of $8.1 million, or 14.7%, compared to $55.3 million for the three months ended September 30, 2023, primarily due to an increase of $2.9 million, or 4.8%, in cost per participant coupled with an increase of $5.2 million, or 9.4%, in member months. The increase was primarily driven by (i) a $5.6 million increase in salaries, wages and benefits associated with increased headcount and higher wage rates, (ii) $0.8 million in increased software license fees, (iii) $0.6 million in contract provider expense in California associated with growth, (iv) $0.5 million in contract provider recruiting and (v) $0.8 million in de novo occupancy and administrative expense associated with opening centers in Florida and the Concerto acquisition, partially offset by $0.8 million reduction in contract transportation associated with transition of services to internal transportation resources.</w:t>
      </w:r>
    </w:p>
    <w:p>
      <w:pPr>
        <w:spacing w:after="0" w:line="185"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were $6.5 million for the three months ended September 30, 2024, an increase of $1.1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20.7%, compared to $5.4 million for the three months ended September 30, 2023, primarily due to increased headcount to support growth.</w:t>
      </w:r>
    </w:p>
    <w:p>
      <w:pPr>
        <w:spacing w:after="0" w:line="15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Corporate, general and administrative. </w:t>
      </w:r>
      <w:r>
        <w:rPr>
          <w:rFonts w:ascii="Times New Roman" w:cs="Times New Roman" w:eastAsia="Times New Roman" w:hAnsi="Times New Roman"/>
          <w:sz w:val="18"/>
          <w:szCs w:val="18"/>
          <w:color w:val="auto"/>
        </w:rPr>
        <w:t>Corporate, general and administrative expenses were $27.5 million for the three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a decrease of $1.4 million, or 4.9%, compared to $28.9 million for the three months ended September 30, 2023. The decrease was primarily due to (i) $0.5 million reduction in insurance expense, (ii) $2.7 million reduction in consulting expense associated with improving organizational capabilities including the transition to a new electronic medical record ("EMR") system, and (iii) $0.4 million reduction in consulting costs associated with Sarbanes-Oxley Act of 2002 compliance and internal audit. These decreases in cost were partially offset by a $2.4 million increase in employee compensation and benefits as the result of an increase in headcount to support compliance and bolster organizational capabilities.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80" w:type="dxa"/>
            <w:vAlign w:val="bottom"/>
          </w:tcPr>
          <w:p>
            <w:pPr>
              <w:spacing w:after="0"/>
              <w:rPr>
                <w:sz w:val="16"/>
                <w:szCs w:val="16"/>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122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6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65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Interest expense, net</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0" w:type="dxa"/>
            <w:vAlign w:val="bottom"/>
          </w:tcPr>
          <w:p>
            <w:pPr>
              <w:spacing w:after="0"/>
              <w:rPr>
                <w:sz w:val="1"/>
                <w:szCs w:val="1"/>
                <w:color w:val="auto"/>
              </w:rPr>
            </w:pPr>
          </w:p>
        </w:tc>
      </w:tr>
      <w:tr>
        <w:trPr>
          <w:trHeight w:val="237"/>
        </w:trPr>
        <w:tc>
          <w:tcPr>
            <w:tcW w:w="65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Other income</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0" w:type="dxa"/>
            <w:vAlign w:val="bottom"/>
          </w:tcPr>
          <w:p>
            <w:pPr>
              <w:spacing w:after="0"/>
              <w:rPr>
                <w:sz w:val="1"/>
                <w:szCs w:val="1"/>
                <w:color w:val="auto"/>
              </w:rPr>
            </w:pPr>
          </w:p>
        </w:tc>
      </w:tr>
      <w:tr>
        <w:trPr>
          <w:trHeight w:val="268"/>
        </w:trPr>
        <w:tc>
          <w:tcPr>
            <w:tcW w:w="65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 other expense</w:t>
            </w: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Interest expense, net, consists primarily of interest payments on our outstanding borrowings, net of interest income earned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and cash equivalents and restricted cash. Interest expense, net was $1.2 million for the three months ended September 30, 2024, an increase of $0.6 million, or 88.0%, compared to $0.7 million for the three months ended September 30, 2023. The increase was primarily due to interest expense of $1.7 million, which was offset by interest income of $0.5 million from money market funds for the three months ended September 30, 2024. Interest expense of $1.7 million was offset by interest income of $1.1 million during the three months ended September 30, 2023.</w:t>
      </w:r>
    </w:p>
    <w:p>
      <w:pPr>
        <w:spacing w:after="0" w:line="183" w:lineRule="exact"/>
        <w:rPr>
          <w:sz w:val="20"/>
          <w:szCs w:val="20"/>
          <w:color w:val="auto"/>
        </w:rPr>
      </w:pPr>
    </w:p>
    <w:p>
      <w:pPr>
        <w:jc w:val="both"/>
        <w:ind w:left="120" w:firstLine="324"/>
        <w:spacing w:after="0" w:line="261" w:lineRule="auto"/>
        <w:rPr>
          <w:sz w:val="20"/>
          <w:szCs w:val="20"/>
          <w:color w:val="auto"/>
        </w:rPr>
      </w:pPr>
      <w:r>
        <w:rPr>
          <w:rFonts w:ascii="Times New Roman" w:cs="Times New Roman" w:eastAsia="Times New Roman" w:hAnsi="Times New Roman"/>
          <w:sz w:val="18"/>
          <w:szCs w:val="18"/>
          <w:color w:val="auto"/>
        </w:rPr>
        <w:t>Other income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Other income consists primarily of the net proceeds received from the sale of or disposal of property and equipment, unrealized gains and losses and investment income related to short-term investments. Other income for the three months ended September 30, 2024 increased $0.2 million, or 29.5%, when compared to the three months ended September 30, 2023. The increase was primarily due to unrealized gains of $0.2 million for the three months ended September 30,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and its subsidiaries calculate federal and state income taxes currently payable and for deferred income taxes arising from temporary differences between the financial statement carrying amounts of existing assets and liabilities and their respective tax bases. Deferred tax assets and liabilities are measured pursuant to enacted tax laws and rates applicable to periods in which those temporary differences are expected to be recovered or settled. The impact on deferred tax assets and liabilities of a change in tax rates is recognized in income in the period that includes the date of enactment. The members of InnovAge Senior Housing Thornton, LLC ("SH1") and InnovAge Sacramento have elected to be taxed as partnerships, and no provision (benefit) for income taxes for SH1 or InnovAge Sacramento is included in the condensed consolidated financial statements. Further, the Company entered into a joint venture called InnovAge Florida PACE – Orlando on May 28, 2024 and its members elected to be taxed as a partnership. No provision (benefit) for income taxes for InnovAge Orlando is included in the condensed consolidated financial statements for activity occurring from joint venture formation date through the balance of the fiscal year.</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valuation allowance is provided to the extent that it is more likely than not that deferred tax assets will not be realized. Tax benefits from uncertain tax positions are recognized when it is more likely than not that the position will be sustained upon examination based on the technical merits of the position. The amount recognized is measured as the largest amount of benefit that has a greater than 50% likelihood of being realized upon settlement. The Company recognizes interest and penalty expense associated with uncertain tax positions as a component of provision (benefit) for income taxes.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2024 and 2023, we reported an income tax expense of $0.4 million and $0.2 million, respectively. The increase of $0.2 million is primarily due to (i) our pretax book loss recognized during the three months ended September 30, 2024, as compared to pretax book loss recognized during the three months ended September 30, 2023, (ii) a discrete item to account for the impact of the decreasing Pennsylvania tax rate on our state deferred tax liabilities, and (iii) the change in our valuation allowance.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Noncontrolling Interests.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SH1 is a Variable Interest Entity (“VIE”). The Company is the primary beneficiary of SH1 and consolidates SH1. The Company is the primary beneficiary of SH1 because it has the power to direct the activities that are most significant to SH1 and has an obligation to absorb losses or the right to receive benefits from SH1. The most significant activity of SH1 is the operation of the housing facility. The Company has provided a subordinated loan to SH1 and has provided a guarantee for the convertible term loan held by SH1. The SH1 interest is reflected within equity as noncontrolling interests. Our share of</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earnings is recorded in the consolidated statements of operations and the share of the other noncontrolling interest holders’ earnings are recorded as net loss attributable to noncontrolling interests.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2024 and 2023, we reported net loss of $5.7 million and $11.0 million, respectively, consisting of (i) operating loss of $4.9 million and $10.7 million, respectively, (ii) other expense of $0.4 million and zero, respectively, and (iii) a provision for income taxes of $0.4 million and $0.2 million, respectively, each as described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 and Non-GAAP Measures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to our GAAP financial information, we review a number of operating and financial metrics, including the following key metrics and non-GAAP measures, to evaluate our business, measure our performance, identify trends affecting our business, formulate business plans and make strategic decisions. We believe these metrics provide additional perspective and insights when analyzing our core operating performance from period to period and evaluating trends in historical operating results. These key business metrics and non-GAAP measures should not be considered superior to, or a substitute for, and should be read in conjunction with, the GAAP financial information presented herein. These measures may not be comparable to similarly-titled performance indicators used by other companies.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3"/>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0" w:type="dxa"/>
            <w:vAlign w:val="bottom"/>
          </w:tcPr>
          <w:p>
            <w:pPr>
              <w:spacing w:after="0"/>
              <w:rPr>
                <w:sz w:val="1"/>
                <w:szCs w:val="1"/>
                <w:color w:val="auto"/>
              </w:rPr>
            </w:pPr>
          </w:p>
        </w:tc>
      </w:tr>
      <w:tr>
        <w:trPr>
          <w:trHeight w:val="211"/>
        </w:trPr>
        <w:tc>
          <w:tcPr>
            <w:tcW w:w="7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32"/>
        </w:trPr>
        <w:tc>
          <w:tcPr>
            <w:tcW w:w="7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Key Business Metrics:</w:t>
            </w:r>
          </w:p>
        </w:tc>
        <w:tc>
          <w:tcPr>
            <w:tcW w:w="260" w:type="dxa"/>
            <w:vAlign w:val="bottom"/>
          </w:tcPr>
          <w:p>
            <w:pPr>
              <w:spacing w:after="0"/>
              <w:rPr>
                <w:sz w:val="20"/>
                <w:szCs w:val="20"/>
                <w:color w:val="auto"/>
              </w:rPr>
            </w:pPr>
          </w:p>
        </w:tc>
        <w:tc>
          <w:tcPr>
            <w:tcW w:w="3040" w:type="dxa"/>
            <w:vAlign w:val="bottom"/>
            <w:gridSpan w:val="3"/>
          </w:tcPr>
          <w:p>
            <w:pPr>
              <w:jc w:val="right"/>
              <w:ind w:right="831"/>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0" w:type="dxa"/>
            <w:vAlign w:val="bottom"/>
          </w:tcPr>
          <w:p>
            <w:pPr>
              <w:spacing w:after="0"/>
              <w:rPr>
                <w:sz w:val="1"/>
                <w:szCs w:val="1"/>
                <w:color w:val="auto"/>
              </w:rPr>
            </w:pPr>
          </w:p>
        </w:tc>
      </w:tr>
      <w:tr>
        <w:trPr>
          <w:trHeight w:val="223"/>
        </w:trPr>
        <w:tc>
          <w:tcPr>
            <w:tcW w:w="79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Centers</w:t>
            </w:r>
            <w:r>
              <w:rPr>
                <w:rFonts w:ascii="Times New Roman" w:cs="Times New Roman" w:eastAsia="Times New Roman" w:hAnsi="Times New Roman"/>
                <w:sz w:val="23"/>
                <w:szCs w:val="23"/>
                <w:color w:val="auto"/>
                <w:vertAlign w:val="superscript"/>
              </w:rPr>
              <w:t>(a)</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79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Census</w:t>
            </w:r>
            <w:r>
              <w:rPr>
                <w:rFonts w:ascii="Times New Roman" w:cs="Times New Roman" w:eastAsia="Times New Roman" w:hAnsi="Times New Roman"/>
                <w:sz w:val="23"/>
                <w:szCs w:val="23"/>
                <w:color w:val="auto"/>
                <w:vertAlign w:val="superscript"/>
              </w:rPr>
              <w:t>(a)(b)</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7,210</w:t>
            </w: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6,580</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Total Member Months</w:t>
            </w:r>
            <w:r>
              <w:rPr>
                <w:rFonts w:ascii="Times New Roman" w:cs="Times New Roman" w:eastAsia="Times New Roman" w:hAnsi="Times New Roman"/>
                <w:sz w:val="23"/>
                <w:szCs w:val="23"/>
                <w:color w:val="auto"/>
                <w:vertAlign w:val="superscript"/>
              </w:rPr>
              <w:t>(b)</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21,380</w:t>
            </w: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19,540</w:t>
            </w:r>
          </w:p>
        </w:tc>
        <w:tc>
          <w:tcPr>
            <w:tcW w:w="0" w:type="dxa"/>
            <w:vAlign w:val="bottom"/>
          </w:tcPr>
          <w:p>
            <w:pPr>
              <w:spacing w:after="0"/>
              <w:rPr>
                <w:sz w:val="1"/>
                <w:szCs w:val="1"/>
                <w:color w:val="auto"/>
              </w:rPr>
            </w:pPr>
          </w:p>
        </w:tc>
      </w:tr>
      <w:tr>
        <w:trPr>
          <w:trHeight w:val="270"/>
        </w:trPr>
        <w:tc>
          <w:tcPr>
            <w:tcW w:w="79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Center-level Contribution Margin</w:t>
            </w:r>
            <w:r>
              <w:rPr>
                <w:rFonts w:ascii="Times New Roman" w:cs="Times New Roman" w:eastAsia="Times New Roman" w:hAnsi="Times New Roman"/>
                <w:sz w:val="23"/>
                <w:szCs w:val="23"/>
                <w:color w:val="auto"/>
                <w:vertAlign w:val="superscript"/>
              </w:rPr>
              <w:t>(c)</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34,541</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27,877</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Center-level Contribution Margin as a % of revenue</w:t>
            </w:r>
            <w:r>
              <w:rPr>
                <w:rFonts w:ascii="Times New Roman" w:cs="Times New Roman" w:eastAsia="Times New Roman" w:hAnsi="Times New Roman"/>
                <w:sz w:val="23"/>
                <w:szCs w:val="23"/>
                <w:color w:val="auto"/>
                <w:vertAlign w:val="superscript"/>
              </w:rPr>
              <w:t>(c)</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0" w:type="dxa"/>
            <w:vAlign w:val="bottom"/>
          </w:tcPr>
          <w:p>
            <w:pPr>
              <w:spacing w:after="0"/>
              <w:rPr>
                <w:sz w:val="1"/>
                <w:szCs w:val="1"/>
                <w:color w:val="auto"/>
              </w:rPr>
            </w:pPr>
          </w:p>
        </w:tc>
      </w:tr>
      <w:tr>
        <w:trPr>
          <w:trHeight w:val="270"/>
        </w:trPr>
        <w:tc>
          <w:tcPr>
            <w:tcW w:w="79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Measures: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(5,710)</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(10,962)</w:t>
            </w:r>
          </w:p>
        </w:tc>
        <w:tc>
          <w:tcPr>
            <w:tcW w:w="0" w:type="dxa"/>
            <w:vAlign w:val="bottom"/>
          </w:tcPr>
          <w:p>
            <w:pPr>
              <w:spacing w:after="0"/>
              <w:rPr>
                <w:sz w:val="1"/>
                <w:szCs w:val="1"/>
                <w:color w:val="auto"/>
              </w:rPr>
            </w:pPr>
          </w:p>
        </w:tc>
      </w:tr>
      <w:tr>
        <w:trPr>
          <w:trHeight w:val="230"/>
        </w:trPr>
        <w:tc>
          <w:tcPr>
            <w:tcW w:w="7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margin</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70"/>
        </w:trPr>
        <w:tc>
          <w:tcPr>
            <w:tcW w:w="79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Measures: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(c)</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6,476</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1,306</w:t>
            </w:r>
          </w:p>
        </w:tc>
        <w:tc>
          <w:tcPr>
            <w:tcW w:w="0" w:type="dxa"/>
            <w:vAlign w:val="bottom"/>
          </w:tcPr>
          <w:p>
            <w:pPr>
              <w:spacing w:after="0"/>
              <w:rPr>
                <w:sz w:val="1"/>
                <w:szCs w:val="1"/>
                <w:color w:val="auto"/>
              </w:rPr>
            </w:pPr>
          </w:p>
        </w:tc>
      </w:tr>
      <w:tr>
        <w:trPr>
          <w:trHeight w:val="306"/>
        </w:trPr>
        <w:tc>
          <w:tcPr>
            <w:tcW w:w="7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Adjusted EBITDA Margin</w:t>
            </w:r>
            <w:r>
              <w:rPr>
                <w:rFonts w:ascii="Times New Roman" w:cs="Times New Roman" w:eastAsia="Times New Roman" w:hAnsi="Times New Roman"/>
                <w:sz w:val="23"/>
                <w:szCs w:val="23"/>
                <w:color w:val="auto"/>
                <w:vertAlign w:val="superscript"/>
              </w:rPr>
              <w:t>(c)</w:t>
            </w:r>
          </w:p>
        </w:tc>
        <w:tc>
          <w:tcPr>
            <w:tcW w:w="2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4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67" w:lineRule="exact"/>
        <w:rPr>
          <w:sz w:val="20"/>
          <w:szCs w:val="20"/>
          <w:color w:val="auto"/>
        </w:rPr>
      </w:pPr>
    </w:p>
    <w:p>
      <w:pPr>
        <w:ind w:left="660" w:hanging="328"/>
        <w:spacing w:after="0" w:line="223" w:lineRule="auto"/>
        <w:tabs>
          <w:tab w:leader="none" w:pos="655"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Company operated 20 PACE centers as of September 30, 2024. Includes InnovAge Sacramento and InnovAge Orlando, which the Company owns and controls through joint ventures and are consolidated in our financial statements.</w:t>
      </w:r>
    </w:p>
    <w:p>
      <w:pPr>
        <w:ind w:left="640" w:hanging="308"/>
        <w:spacing w:after="0" w:line="191" w:lineRule="auto"/>
        <w:tabs>
          <w:tab w:leader="none" w:pos="64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Amounts are approximate.</w:t>
      </w:r>
    </w:p>
    <w:p>
      <w:pPr>
        <w:spacing w:after="0" w:line="10" w:lineRule="exact"/>
        <w:rPr>
          <w:rFonts w:ascii="Times New Roman" w:cs="Times New Roman" w:eastAsia="Times New Roman" w:hAnsi="Times New Roman"/>
          <w:sz w:val="21"/>
          <w:szCs w:val="21"/>
          <w:color w:val="auto"/>
          <w:vertAlign w:val="superscript"/>
        </w:rPr>
      </w:pPr>
    </w:p>
    <w:p>
      <w:pPr>
        <w:ind w:left="660" w:hanging="328"/>
        <w:spacing w:after="0" w:line="215" w:lineRule="auto"/>
        <w:tabs>
          <w:tab w:leader="none" w:pos="655"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Center-level Contribution Margin, Center-level Contribution Margin as a percentage of revenue, Adjusted EBITDA and Adjusted EBITDA margin are non-GAAP measures. For a definition and reconciliation of these non-GAAP measures to the most closely comparable GAAP measures for the period indicated, see below.</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Centers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define our centers as those centers open for business and attending to participants at the end of a particular period.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Census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census is comprised of our capitated participants for whom we are financially responsible for their total healthcare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Member Months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define Total Member Months as the total number of participants multiplied by the number of months within a year in which each participant was enrolled in our program. We believe this is a useful metric as it more precisely tracks the number of participants we serve throughout the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Center-level Contribution Margin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management uses Center-level Contribution Margin as the measure for assessing performance of its operating segments. We define Center-level Contribution Margin as total revenues less external provider costs and cost of care, excluding depreciation and amortization, which includes all medical and pharmacy costs. For purposes of evaluating Center-level Contribution Margin on a center-by-center basis, we do not allocate our sales and marketing expenses or corporate, general and administrative expenses across our centers. Center-level Contribution Margin was $34.5 million and $27.9 million for the three months ended September 30, 2024 and 2023, respectively. The increase in Center-level Contribution Margin for the three months ended September 30, 2024 was primarily due to a 12.4% increase in total revenue, offset by a 10.3% increase in external provider costs and cost of care, excluding depreciation and amortization, during the same period. For more information relating to Center-level Contribution Margin, see Note 14 “Segment Reporting” to our condensed consolidated financial statements. A reconciliation of Center-level Contribution Margin to loss before income taxes, the most directly comparable GAAP measure, for each of the periods is as follows: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2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3680" w:type="dxa"/>
            <w:vAlign w:val="bottom"/>
            <w:tcBorders>
              <w:top w:val="single" w:sz="8" w:color="auto"/>
              <w:bottom w:val="single" w:sz="8" w:color="auto"/>
            </w:tcBorders>
            <w:gridSpan w:val="7"/>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3700" w:type="dxa"/>
            <w:vAlign w:val="bottom"/>
            <w:tcBorders>
              <w:top w:val="single" w:sz="8" w:color="auto"/>
              <w:bottom w:val="single" w:sz="8" w:color="auto"/>
            </w:tcBorders>
            <w:gridSpan w:val="7"/>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r>
      <w:tr>
        <w:trPr>
          <w:trHeight w:val="196"/>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7"/>
                <w:szCs w:val="17"/>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PACE</w:t>
            </w:r>
          </w:p>
        </w:tc>
        <w:tc>
          <w:tcPr>
            <w:tcW w:w="220" w:type="dxa"/>
            <w:vAlign w:val="bottom"/>
          </w:tcPr>
          <w:p>
            <w:pPr>
              <w:spacing w:after="0"/>
              <w:rPr>
                <w:sz w:val="17"/>
                <w:szCs w:val="17"/>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300" w:type="dxa"/>
            <w:vAlign w:val="bottom"/>
          </w:tcPr>
          <w:p>
            <w:pPr>
              <w:spacing w:after="0"/>
              <w:rPr>
                <w:sz w:val="17"/>
                <w:szCs w:val="17"/>
                <w:color w:val="auto"/>
              </w:rPr>
            </w:pPr>
          </w:p>
        </w:tc>
        <w:tc>
          <w:tcPr>
            <w:tcW w:w="106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PACE</w:t>
            </w:r>
          </w:p>
        </w:tc>
        <w:tc>
          <w:tcPr>
            <w:tcW w:w="20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300" w:type="dxa"/>
            <w:vAlign w:val="bottom"/>
          </w:tcPr>
          <w:p>
            <w:pPr>
              <w:spacing w:after="0"/>
              <w:rPr>
                <w:sz w:val="17"/>
                <w:szCs w:val="17"/>
                <w:color w:val="auto"/>
              </w:rPr>
            </w:pPr>
          </w:p>
        </w:tc>
        <w:tc>
          <w:tcPr>
            <w:tcW w:w="106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Totals</w:t>
            </w:r>
          </w:p>
        </w:tc>
      </w:tr>
      <w:tr>
        <w:trPr>
          <w:trHeight w:val="229"/>
        </w:trPr>
        <w:tc>
          <w:tcPr>
            <w:tcW w:w="32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Capitation revenue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204,800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182,173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182,173</w:t>
            </w:r>
          </w:p>
        </w:tc>
      </w:tr>
      <w:tr>
        <w:trPr>
          <w:trHeight w:val="230"/>
        </w:trPr>
        <w:tc>
          <w:tcPr>
            <w:tcW w:w="3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service revenue</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312</w:t>
            </w:r>
          </w:p>
        </w:tc>
      </w:tr>
      <w:tr>
        <w:trPr>
          <w:trHeight w:val="22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205,142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182,485</w:t>
            </w:r>
          </w:p>
        </w:tc>
      </w:tr>
      <w:tr>
        <w:trPr>
          <w:trHeight w:val="230"/>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External provider costs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107,214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99,358</w:t>
            </w:r>
          </w:p>
        </w:tc>
      </w:tr>
      <w:tr>
        <w:trPr>
          <w:trHeight w:val="175"/>
        </w:trPr>
        <w:tc>
          <w:tcPr>
            <w:tcW w:w="32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Cost of care, excluding depreciation and</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43"/>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63,234</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63,387</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55,097</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55,250</w:t>
            </w:r>
          </w:p>
        </w:tc>
      </w:tr>
      <w:tr>
        <w:trPr>
          <w:trHeight w:val="223"/>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Center-Level Contribution Margin</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34,448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34,541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27,804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27,877</w:t>
            </w:r>
          </w:p>
        </w:tc>
      </w:tr>
      <w:tr>
        <w:trPr>
          <w:trHeight w:val="223"/>
        </w:trPr>
        <w:tc>
          <w:tcPr>
            <w:tcW w:w="3240" w:type="dxa"/>
            <w:vAlign w:val="bottom"/>
            <w:shd w:val="clear" w:color="auto" w:fill="CCEEFF"/>
          </w:tcPr>
          <w:p>
            <w:pPr>
              <w:ind w:left="140"/>
              <w:spacing w:after="0" w:line="223" w:lineRule="exact"/>
              <w:rPr>
                <w:sz w:val="20"/>
                <w:szCs w:val="20"/>
                <w:color w:val="auto"/>
              </w:rPr>
            </w:pPr>
            <w:r>
              <w:rPr>
                <w:rFonts w:ascii="Times New Roman" w:cs="Times New Roman" w:eastAsia="Times New Roman" w:hAnsi="Times New Roman"/>
                <w:sz w:val="18"/>
                <w:szCs w:val="18"/>
                <w:color w:val="auto"/>
              </w:rPr>
              <w:t>Overhead costs</w:t>
            </w:r>
            <w:r>
              <w:rPr>
                <w:rFonts w:ascii="Times New Roman" w:cs="Times New Roman" w:eastAsia="Times New Roman" w:hAnsi="Times New Roman"/>
                <w:sz w:val="23"/>
                <w:szCs w:val="23"/>
                <w:color w:val="auto"/>
                <w:vertAlign w:val="superscript"/>
              </w:rPr>
              <w:t>(a)</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34,027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34,326</w:t>
            </w:r>
          </w:p>
        </w:tc>
      </w:tr>
      <w:tr>
        <w:trPr>
          <w:trHeight w:val="230"/>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5,410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4,269</w:t>
            </w:r>
          </w:p>
        </w:tc>
      </w:tr>
      <w:tr>
        <w:trPr>
          <w:trHeight w:val="230"/>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661</w:t>
            </w:r>
          </w:p>
        </w:tc>
      </w:tr>
      <w:tr>
        <w:trPr>
          <w:trHeight w:val="230"/>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(643)</w:t>
            </w:r>
          </w:p>
        </w:tc>
      </w:tr>
      <w:tr>
        <w:trPr>
          <w:trHeight w:val="223"/>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(5,306)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(10,736)</w:t>
            </w:r>
          </w:p>
        </w:tc>
      </w:tr>
      <w:tr>
        <w:trPr>
          <w:trHeight w:val="155"/>
        </w:trPr>
        <w:tc>
          <w:tcPr>
            <w:tcW w:w="32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Loss Before Income Taxes as a % of</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4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175"/>
        </w:trPr>
        <w:tc>
          <w:tcPr>
            <w:tcW w:w="3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Center- Level Contribution Margin as a</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4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15.3 %</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351"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6"/>
          <w:szCs w:val="16"/>
          <w:color w:val="auto"/>
        </w:rPr>
        <w:t>(a)</w:t>
        <w:tab/>
        <w:t>Overhead consists of the sales and marketing and corporate, general and administrative financial statement line items.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define Adjusted EBITDA as net loss adjusted for interest expense, net, other investment income, depreciation and amortization, and provision (benefit) for income tax as well as addbacks for non-recurring expenses or exceptional items, including charges relating to management equity compensation, litigation costs and settlements, M&amp;A diligence,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transaction and integration, business optimization and EMR implementation. Adjusted EBITDA margin is Adjusted EBITDA expressed as a percentage of our total revenue. For the three months ended September 30, 2024 and 2023, net loss was $5.7 million and $11.0 million, respectively, representing a year-over-year decrease of (47.9)%. Adjusted EBITDA was $6.5 million and $1.3 million, for the three months ended September 30, 2024 and 2023, respectively, representing a year-over-year increase of 395.9%. For the three months ended September 30, 2024, net loss margin was 2.8%, as compared to net loss margin of 6.0% for the three months ended September 30, 2023. For the three months ended September 30, 2024, our Adjusted EBITDA margin was 3.2%, as compared to our Adjusted EBITDA margin for the three months ended September 30, 2023 of 0.7%. The increase in Adjusted EBITDA and Adjusted EBITDA margin is primarily from (i) increased capitation rates and (ii) lower corporate, general and administrative costs partially offset by, (i) increased center-level headcount and wage rates associated with a competitive labor market, and (ii) increased housing utilization and unit cost as mandated by the states.</w:t>
      </w:r>
    </w:p>
    <w:p>
      <w:pPr>
        <w:spacing w:after="0" w:line="18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Adjusted EBITDA and Adjusted EBITDA margin are supplemental measures of operating performance monitored by management that are not defined under GAAP and that do not represent, and should not be considered as, an alternative to net loss and net loss margin, respectively, as determined by GAAP. We believe that Adjusted EBITDA and Adjusted EBITDA margin are appropriate measures of operating performance because the metrics eliminate the impact of revenue and expenses that do not relate to our ongoing business performance and certain noncash expenses, allowing us to more effectively evaluate our core operating performance and trends from period to period. We believe that Adjusted EBITDA and Adjusted EBITDA margin help investors and analysts in comparing our results across reporting periods on a consistent basis by excluding items that we do not believe are indicative of our core operating performance. These non-GAAP financial measures have limitations as analytical tools and should not be considered in isolation from, or as a substitute for, the analysis of other GAAP financial measures, including net loss and net loss margin. In evaluating Adjusted EBITDA, you should be aware that in the future we may incur expenses that are the same as or similar to some of the adjustments in this presentation. Our presentation of Adjusted EBITDA should not be construed to imply that our future results will be unaffected by the types of items excluded from the calculation of Adjusted EBITDA. The use of the term Adjusted EBITDA varies from others in our industry. Effective for the year ended June 30, 2024 and going forward, the Company revised its calculation of Adjusted EBITDA to no longer exclude de novo center development costs and to reflect the impact of other investment income. The presentation for the three months ended September 30, 2023 has been recast to conform to the current presentation.</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net loss to Adjusted EBITDA, the most directly comparable GAAP measure, for each of the periods is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60" w:type="dxa"/>
            <w:vAlign w:val="bottom"/>
          </w:tcPr>
          <w:p>
            <w:pPr>
              <w:spacing w:after="0"/>
              <w:rPr>
                <w:sz w:val="18"/>
                <w:szCs w:val="18"/>
                <w:color w:val="auto"/>
              </w:rPr>
            </w:pPr>
          </w:p>
        </w:tc>
        <w:tc>
          <w:tcPr>
            <w:tcW w:w="3680" w:type="dxa"/>
            <w:vAlign w:val="bottom"/>
            <w:tcBorders>
              <w:bottom w:val="single" w:sz="8" w:color="auto"/>
            </w:tcBorders>
            <w:gridSpan w:val="5"/>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r>
      <w:tr>
        <w:trPr>
          <w:trHeight w:val="211"/>
        </w:trPr>
        <w:tc>
          <w:tcPr>
            <w:tcW w:w="756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522"/>
        </w:trPr>
        <w:tc>
          <w:tcPr>
            <w:tcW w:w="7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shd w:val="clear" w:color="auto" w:fill="CCEEFF"/>
          </w:tcPr>
          <w:p>
            <w:pPr>
              <w:jc w:val="right"/>
              <w:ind w:right="95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(10,962)</w:t>
            </w: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r>
      <w:tr>
        <w:trPr>
          <w:trHeight w:val="230"/>
        </w:trPr>
        <w:tc>
          <w:tcPr>
            <w:tcW w:w="75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investment income</w:t>
            </w:r>
            <w:r>
              <w:rPr>
                <w:rFonts w:ascii="Times New Roman" w:cs="Times New Roman" w:eastAsia="Times New Roman" w:hAnsi="Times New Roman"/>
                <w:sz w:val="23"/>
                <w:szCs w:val="23"/>
                <w:color w:val="auto"/>
                <w:vertAlign w:val="superscript"/>
              </w:rPr>
              <w:t>(a)</w:t>
            </w: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4,269</w:t>
            </w: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w:t>
            </w: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w:t>
            </w:r>
          </w:p>
        </w:tc>
      </w:tr>
      <w:tr>
        <w:trPr>
          <w:trHeight w:val="230"/>
        </w:trPr>
        <w:tc>
          <w:tcPr>
            <w:tcW w:w="75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Litigation costs and settlement</w:t>
            </w:r>
            <w:r>
              <w:rPr>
                <w:rFonts w:ascii="Times New Roman" w:cs="Times New Roman" w:eastAsia="Times New Roman" w:hAnsi="Times New Roman"/>
                <w:sz w:val="23"/>
                <w:szCs w:val="23"/>
                <w:color w:val="auto"/>
                <w:vertAlign w:val="superscript"/>
              </w:rPr>
              <w:t>(b)</w:t>
            </w: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r>
      <w:tr>
        <w:trPr>
          <w:trHeight w:val="230"/>
        </w:trPr>
        <w:tc>
          <w:tcPr>
            <w:tcW w:w="75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M&amp;A diligence, transaction and integration</w:t>
            </w:r>
            <w:r>
              <w:rPr>
                <w:rFonts w:ascii="Times New Roman" w:cs="Times New Roman" w:eastAsia="Times New Roman" w:hAnsi="Times New Roman"/>
                <w:sz w:val="23"/>
                <w:szCs w:val="23"/>
                <w:color w:val="auto"/>
                <w:vertAlign w:val="superscript"/>
              </w:rPr>
              <w:t>(c)</w:t>
            </w: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0"/>
        </w:trPr>
        <w:tc>
          <w:tcPr>
            <w:tcW w:w="75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Business optimization</w:t>
            </w:r>
            <w:r>
              <w:rPr>
                <w:rFonts w:ascii="Times New Roman" w:cs="Times New Roman" w:eastAsia="Times New Roman" w:hAnsi="Times New Roman"/>
                <w:sz w:val="23"/>
                <w:szCs w:val="23"/>
                <w:color w:val="auto"/>
                <w:vertAlign w:val="superscript"/>
              </w:rPr>
              <w:t>(d)</w:t>
            </w: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w:t>
            </w:r>
          </w:p>
        </w:tc>
      </w:tr>
      <w:tr>
        <w:trPr>
          <w:trHeight w:val="229"/>
        </w:trPr>
        <w:tc>
          <w:tcPr>
            <w:tcW w:w="75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EMR implementation</w:t>
            </w:r>
            <w:r>
              <w:rPr>
                <w:rFonts w:ascii="Times New Roman" w:cs="Times New Roman" w:eastAsia="Times New Roman" w:hAnsi="Times New Roman"/>
                <w:sz w:val="23"/>
                <w:szCs w:val="23"/>
                <w:color w:val="auto"/>
                <w:vertAlign w:val="superscript"/>
              </w:rPr>
              <w:t>(e)</w:t>
            </w:r>
          </w:p>
        </w:tc>
        <w:tc>
          <w:tcPr>
            <w:tcW w:w="11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w:t>
            </w:r>
          </w:p>
        </w:tc>
      </w:tr>
      <w:tr>
        <w:trPr>
          <w:trHeight w:val="248"/>
        </w:trPr>
        <w:tc>
          <w:tcPr>
            <w:tcW w:w="75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1140" w:type="dxa"/>
            <w:vAlign w:val="bottom"/>
            <w:tcBorders>
              <w:top w:val="single" w:sz="8" w:color="auto"/>
              <w:bottom w:val="single" w:sz="8" w:color="auto"/>
            </w:tcBorders>
            <w:shd w:val="clear" w:color="auto" w:fill="CCEEFF"/>
          </w:tcPr>
          <w:p>
            <w:pPr>
              <w:jc w:val="right"/>
              <w:ind w:right="95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68" w:lineRule="exact"/>
        <w:rPr>
          <w:sz w:val="20"/>
          <w:szCs w:val="20"/>
          <w:color w:val="auto"/>
        </w:rPr>
      </w:pPr>
    </w:p>
    <w:p>
      <w:pPr>
        <w:jc w:val="both"/>
        <w:ind w:left="660" w:hanging="328"/>
        <w:spacing w:after="0" w:line="263" w:lineRule="auto"/>
        <w:tabs>
          <w:tab w:leader="none" w:pos="651"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investment income related to short-term investments included in our consolidated statement of operations. Effective for the year ended June 30, 2024 and going forward, the Company has revised the calculation for Adjusted EBITDA to reflect the impact of investment income. The presentation for the three months ended September 30, 2023 has been recast to reflect the impact of other investment income.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60" w:hanging="328"/>
        <w:spacing w:after="0" w:line="258" w:lineRule="auto"/>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charges/(credits) related to litigation by stockholders, litigation related to de novo center, and civil investigative demands. Refer to Note 9, "Commitments and Contingencies" to our condensed consolidated financial statements for more information regarding litigation by stockholders and civil investigative demands. Costs reflected consist of litigation costs considered one-time in nature and outside of the ordinary course of business based on the following considerations which we assess regularly: (i) the frequency of similar cases that have been brought to date, or are expected to be brought within two years, (ii) complexity of the case, (iii) nature of the remedies sought, (iv) litigation posture of the Company, (v) counterparty involved, and (vi) the Company's overall litigation strategy.</w:t>
      </w:r>
    </w:p>
    <w:p>
      <w:pPr>
        <w:spacing w:after="0" w:line="1" w:lineRule="exact"/>
        <w:rPr>
          <w:rFonts w:ascii="Times New Roman" w:cs="Times New Roman" w:eastAsia="Times New Roman" w:hAnsi="Times New Roman"/>
          <w:sz w:val="16"/>
          <w:szCs w:val="16"/>
          <w:color w:val="auto"/>
        </w:rPr>
      </w:pPr>
    </w:p>
    <w:p>
      <w:pPr>
        <w:ind w:left="660" w:right="20" w:hanging="328"/>
        <w:spacing w:after="0" w:line="248" w:lineRule="auto"/>
        <w:tabs>
          <w:tab w:leader="none" w:pos="65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charges related to M&amp;A transaction and integrations. The presentation for the three months ended September 30, 2023 has been recast to no longer exclude de novo center development costs.</w:t>
      </w:r>
    </w:p>
    <w:p>
      <w:pPr>
        <w:spacing w:after="0" w:line="1" w:lineRule="exact"/>
        <w:rPr>
          <w:rFonts w:ascii="Times New Roman" w:cs="Times New Roman" w:eastAsia="Times New Roman" w:hAnsi="Times New Roman"/>
          <w:sz w:val="16"/>
          <w:szCs w:val="16"/>
          <w:color w:val="auto"/>
        </w:rPr>
      </w:pPr>
    </w:p>
    <w:p>
      <w:pPr>
        <w:jc w:val="both"/>
        <w:ind w:left="660" w:hanging="328"/>
        <w:spacing w:after="0" w:line="254" w:lineRule="auto"/>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charges related to business optimization initiatives. Such charges related to one-time investments in projects designed to enhance our technology and compliance systems and improve and support the efficiency and effectiveness of our operations. For the three months ended September 30, 2024, this includes (i) $0.4 million of costs associated with organizational restructure and (ii) $0.2 million related to other non-recurring projects aimed at reducing costs and improving efficiencies. For the three months ended September 30, 2023, this includes (i) $1.8 million of costs associated with third party consultants as we implement our core provider initiatives, assess our risk-bearing capabilities, and strengthen our enterprise capabilities and (ii) $0.4 million related to other non-recurring projects aimed at reducing costs and improving efficiencies.</w:t>
      </w:r>
    </w:p>
    <w:p>
      <w:pPr>
        <w:spacing w:after="0" w:line="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non-recurring expenses relating to the implementation of a new EMR vendor.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date, we have financed our operations principally through cash flows from operations and through borrowings under our credit facilities, and from the sale of common stock in our IPO that occurred in March 2021. As of September 30, 2024, we had cash and cash equivalents of $39.0 million, a decrease of $17.9 million from June 30, 2024. The decrease in cash and cash equivalents was primarily due to timing of cash receipts for services provided and share repurchase activity. Our cash and cash equivalents primarily consist of highly liquid investments in demand deposit accounts and cash.</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capital resources are generally used to fund (i) debt service requirements, the majority of which relate to the quarterly principal payments of the Term Loan Facility (as defined below) due 2026, (ii) finance and operating lease obligations, which are generally paid on a monthly basis and include maturities through 2028 and 2032, respectively, (iii) the operations of our business, (iv) income tax payments, which are generally due on a quarterly and annual basis, (v) capital additions, which include acquisitions and de novo centers, and (vi) share repurchases authorized under the Board approved program. We also plan to continue investing in resources and initiatives to provide necessary and quality services to our participants. Collectively, these obligations are expected to represent a significant liquidity requirement of our Company on both a short-term (next 12 months) and long-term (beyond 12 months) basis.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2024, we had $65.0 million of long-term debt outstanding. As of September 30, 2024, we had future minimum operating lease payments under non-cancellable leases through the year 2037 of $38.4 million. We also had non-cancellable finance lease agreements with third parties through the year 2028 with future minimum payments of $19.5 million. For additional information, see Note 7, “Leases”, Note 8, “Long-Term Debt”, and Note 9, “Commitments and Contingencies” in our condensed consolidated financial statements.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believe that our cash and cash equivalents and our cash flows from operations, available funds, and access to financing sources, including our Revolving Credit Facility (each discussed and defined below), will be sufficient to fund our operating and capital needs for the next 12 months and beyond. We have based this estimate on assumptions that may prove to be wrong, and we could use our available capital resources sooner than we currently expect. Our actual results could vary because of, and our future capital requirements will depend on, many factors, including our growth rate, our ability to retain and grow the number of PACE participants, and the expansion of sales and marketing activities and other costs of operating the business. We may in the future enter into arrangements to acquire or invest in complementary businesses, services and technologies. We may be required to seek additional equity or debt financing. In the event that additional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results of operations, and financial condition would be adversely affected.</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8, 2021, the Company entered into a credit agreement (as amended, the "2021 Credit Agreement") that consists of a senior secured term loan (the “Term Loan Facility”) of $75.0 million principal amount and a revolving credit facility (the “Revolving Credit Facility”) of $100.0 million maximum borrowing capacity. The borrowing capacity under the Revolving Credit Facility is subject (i) any issued amounts under our letters of credit and (ii) applicable covenant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compliance restrictions and any other conditions precedent to borrowing. Principal on the Term Loan Facility is paid each calendar quarter in an amount equal to 1.25% of the initial term loan on closing date.</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Outstanding principal amounts under the 2021 Credit Agreement accrue interest at a variable interest rate. As of September 30, 2024, the interest rate on the Term Loan Facility was 6.94%. Under the terms of the 2021 Credit Agreement, the Revolving Credit Facility fee accrues at 0.25% of the average daily unused amount and is paid quarterly. As of September 30, 2024, we had no borrowings outstanding, $5.2 million of letters of credit issued, and $94.8 million of remaining borrowing capacity under the Revolving Credit Facility. As of September 30, 2024, we also had $2.2 million principal amount outstanding under our convertible term loan. Monthly principal and interest payments for the convertible term loan are approximately $0.02 million, and the loan bears interest at an annual rate of 6.68%. The remaining principal balance is due upon maturity, which is August 20, 2030.</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more information about our debt, see Note 8 “Long-Term Debt” to our condensed consolidated financial statements.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than with respect to share repurchases, we currently intend to retain substantially all available funds and any future earnings to fund the development and growth of our business and to repay indebtedness, and do not anticipate paying any cash dividends in the foreseeable future.</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Consolidated Statements of Cash Flows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condensed consolidated statements of cash flows for the three months ended September 30, 2024 and 2023 are summarized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6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2"/>
        </w:trPr>
        <w:tc>
          <w:tcPr>
            <w:tcW w:w="66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7"/>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25,469</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(4,896)</w:t>
            </w:r>
          </w:p>
        </w:tc>
      </w:tr>
      <w:tr>
        <w:trPr>
          <w:trHeight w:val="223"/>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(38,852)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20,924</w:t>
            </w:r>
          </w:p>
        </w:tc>
      </w:tr>
      <w:tr>
        <w:trPr>
          <w:trHeight w:val="21"/>
        </w:trPr>
        <w:tc>
          <w:tcPr>
            <w:tcW w:w="6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The change in net cash used in operating activities was primarily due to the net effect of (i) net loss of $5.7 million in the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period compared to a net loss of $11.0 million in the prior year period, as described further above and (ii) a decrease in accounts receivable primarily attributable to the timing of receipt of payments for certain Medicaid receivables.</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Investing activities were made up of $2.2 million in purchases of property and equipment and $0.6 million for reinvested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of short-term investments, consisting primarily of managed income funds invested in investment grade short-term fixed and floating rate debt securities aimed at creating income while maintaining low volatility on principal. Our investment in managed income funds regularly pay dividends which are reinvested into the funds.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The increase in net cash used in financing activities was primarily due to stock repurchase activity.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qualify as an “emerging growth company” pursuant to the provisions of the Jumpstart Our Business Startups (“JOBS”) Act and a “smaller reporting company” as defined by the Exchange Act. For as long as we are an “emerging growth company” or a “smaller reporting company,” we may take advantage of certain exemptions from various reporting requirements that are applicable to other public companies that are not “emerging growth companies” or “smaller reporting companies,” including, but not limited to, not being required to comply with the auditor attestation requirements of Section 404(b) of the Sarbanes-Oxley Act, only being required to present two years of audited financial statements, plus unaudited condensed consolidated financial statements for applicable interim periods and the related discussion in the section titled “Management’s Discussion and Analysis of Financial Condition and Results of Operations,” reduced disclosure obligations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regarding executive compensation in our periodic reports, proxy statements and registration statements, exemptions from the requirements of holding non-binding advisory “say-on-pay” votes on executive compensation and stockholder advisory votes on golden parachute compensation.</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under the JOBS Act, emerging growth companies can delay adopting new or revised accounting standards until such time as those standards apply to private companies. We intend to take advantage of the longer phase-in periods for the adoption of new or revised financial accounting standards under the JOBS Act until we are no longer an emerging growth company. Our election to use the phase-in periods permitted by this election may make it difficult to compare our financial statements to those of non-emerging growth companies and other emerging growth companies that have opted out of the longer phase-in periods permitted under the JOBS Act and who will comply with new or revised financial accounting standards. If we were to subsequently elect instead to comply with public company effective dates, such election would be irrevocable pursuant to the JOBS Act.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upon our condensed consolidated financial statements, which have been prepared in accordance with GAAP. The preparation of these financial statements requires management to make estimates and judgments that affect the reported amounts of assets and liabilities and disclosure of contingent assets and liabilities at the date of the condensed consolidated financial statements and the reported amounts of revenues and expenses during the reporting period. Actual results may differ from these estimates under different assumptions or conditions, impacting our reported results of operations and financial condition.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accounting estimates involve significant judgments and assumptions by management, which have a material impact on the carrying value of assets and liabilities and the recognition of income and expenses. We consider these accounting estimates to be critical accounting estimates. The estimates and assumptions used by management are based on historical experience and other factors, which are believed to be reasonable under the circumstances.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 description of our estimates regarding our critical accounting estimates, see “Critical Accounting Estimates” in the 2024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Market risk represents the risk of loss that may impact our financial position due to adverse changes in financial market prices and rates. Our market risk exposure is primarily a result of exposure due to potential changes in inflation or interest rates. We do not hold financial instruments for trading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September 30, 2024, we had total outstanding debt of $62.8 million in principal amount under the Term Loan Facility, $2.2 million under the convertible term loan, and no outstanding debt under the Revolving Credit Facility (each as defined in Note 8, “Long-Term Debt” to our condensed consolidated financial statements). As of June 30, 2024, we had total outstanding debt of $63.8 million in principal amount under the Term Loan Facility and $2.2 million under the convertible term loan. As of September 30, 2024, the interest rate on the Term Loan Facility was 6.94%. We are exposed to changes in interest rates as a result of our variable-rate borrowings under the 2021 Credit Agreement. Generally, the Company may designate specific borrowings under the 2021 Credit Agreement as either base rate borrowings or Secured Overnight Financing Rate (“SOFR”) borrowings. We amended our 2021 Credit Agreement during fiscal year 2024 to replace the London Interbank Offered Rate (“LIBOR”) reference rate with SOFR prior to the discontinuance of LIBOR. As of September 30, 2024, based on our secured net leverage ratio, the margins of our borrowings under the Term Loan Facility and Revolving Credit Facility (as defined in Note 8, “Long-Term Debt” to our condensed consolidated financial statements) were all SOFR borrowings.</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had cash and cash equivalents of $39.0 million and $56.9 million as of September 30, 2024 and June 30, 2024, respectively, which are deposited with high credit quality financial institutions and are primarily in demand deposit accounts.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cash and cash equivalents and interest payments in respect of our debt are subject to market risk due to changes in interest rates. We do not believe that an increase or decrease in interest rates of 100 basis points would have a material effect on our business, financial condition or results of operations.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had short-term investments of $46.7 million and $45.8 million as of September 30, 2024 and June 30, 2024, respectively, which are primarily invested in managed income funds managed by major financial institutions. The funds mainly invest in investment grade, U.S. denominated short-term fixed and floating rate debt securities. Securities are subject to market risk and sensitive to changes in interest rates. While the instruments held by the funds are generally less sensitive to interest rate changes than instruments with longer maturities due to their short-term nature, the funds may face a heightened level of interest rate risk due to changes in monetary policy. During periods when interest rates are low or negative, the funds yields, and total returns may also be low, or the funds may be unable to maintain positive returns. We do not believe that an increase or decrease in interest rates of 100 basis points would have a material effect on these short-term investments.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Based on our analysis of the periods presented, we believe that inflation has not had a material effect on our operating results. There can be no assurance that future inflation will not have an adverse impact on our operating results and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Evaluation of Disclosure Controls and Procedures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the Chief Executive Officer and Chief Financial Officer, we have evaluated the effectiveness of our disclosure controls and procedures (as defined in Rules 13a-15(e) and 15d-15(e) under the Securities Exchange Act of 1934, as amended) as of the end of the period covered by this Report. Based on that evaluation, the Chief Executive Officer and Chief Financial Officer have concluded that our disclosure controls and procedures were effective as of September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Changes in Internal Control Over Financial Reporting</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changes in internal control over financial reporting during the quarter ended September 30, 2024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For information regarding our material pending legal proceedings, refer to Note 9 “Commitments and Contingencies” to our Condensed Consolidated Financial Statements located in Item 1 of Part I of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Information regarding our risk factors is disclosed in Item 1A of our 2024 </w:t>
      </w:r>
      <w:r>
        <w:rPr>
          <w:rFonts w:ascii="Times New Roman" w:cs="Times New Roman" w:eastAsia="Times New Roman" w:hAnsi="Times New Roman"/>
          <w:sz w:val="18"/>
          <w:szCs w:val="18"/>
          <w:color w:val="212529"/>
        </w:rPr>
        <w:t>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Issuer Purchases of Equity Securities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12529"/>
        </w:rPr>
        <w:t>Stock repurchases during the three months ended September 30, 2024 were as follow:</w:t>
      </w:r>
    </w:p>
    <w:p>
      <w:pPr>
        <w:spacing w:after="0" w:line="210"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20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10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Approximate Dollar Value</w:t>
            </w:r>
          </w:p>
        </w:tc>
      </w:tr>
      <w:tr>
        <w:trPr>
          <w:trHeight w:val="203"/>
        </w:trPr>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Purchased as Part of</w:t>
            </w:r>
          </w:p>
        </w:tc>
        <w:tc>
          <w:tcPr>
            <w:tcW w:w="100" w:type="dxa"/>
            <w:vAlign w:val="bottom"/>
          </w:tcPr>
          <w:p>
            <w:pPr>
              <w:spacing w:after="0"/>
              <w:rPr>
                <w:sz w:val="17"/>
                <w:szCs w:val="17"/>
                <w:color w:val="auto"/>
              </w:rPr>
            </w:pPr>
          </w:p>
        </w:tc>
        <w:tc>
          <w:tcPr>
            <w:tcW w:w="2100" w:type="dxa"/>
            <w:vAlign w:val="bottom"/>
            <w:gridSpan w:val="2"/>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of Shares that May Yet Be</w:t>
            </w:r>
          </w:p>
        </w:tc>
      </w:tr>
      <w:tr>
        <w:trPr>
          <w:trHeight w:val="201"/>
        </w:trPr>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tcPr>
          <w:p>
            <w:pPr>
              <w:jc w:val="right"/>
              <w:ind w:right="30"/>
              <w:spacing w:after="0" w:line="201" w:lineRule="exact"/>
              <w:rPr>
                <w:sz w:val="20"/>
                <w:szCs w:val="20"/>
                <w:color w:val="auto"/>
              </w:rPr>
            </w:pPr>
            <w:r>
              <w:rPr>
                <w:rFonts w:ascii="Times New Roman" w:cs="Times New Roman" w:eastAsia="Times New Roman" w:hAnsi="Times New Roman"/>
                <w:sz w:val="18"/>
                <w:szCs w:val="18"/>
                <w:b w:val="1"/>
                <w:bCs w:val="1"/>
                <w:color w:val="auto"/>
              </w:rPr>
              <w:t>Total Number of Shares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40" w:type="dxa"/>
            <w:vAlign w:val="bottom"/>
            <w:gridSpan w:val="2"/>
          </w:tcPr>
          <w:p>
            <w:pPr>
              <w:jc w:val="center"/>
              <w:ind w:right="240"/>
              <w:spacing w:after="0" w:line="201" w:lineRule="exact"/>
              <w:rPr>
                <w:sz w:val="20"/>
                <w:szCs w:val="20"/>
                <w:color w:val="auto"/>
              </w:rPr>
            </w:pPr>
            <w:r>
              <w:rPr>
                <w:rFonts w:ascii="Times New Roman" w:cs="Times New Roman" w:eastAsia="Times New Roman" w:hAnsi="Times New Roman"/>
                <w:sz w:val="18"/>
                <w:szCs w:val="18"/>
                <w:b w:val="1"/>
                <w:bCs w:val="1"/>
                <w:color w:val="auto"/>
                <w:w w:val="98"/>
              </w:rPr>
              <w:t>Average Price Paid per</w:t>
            </w:r>
          </w:p>
        </w:tc>
        <w:tc>
          <w:tcPr>
            <w:tcW w:w="208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Publicly Announced Plans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tcPr>
          <w:p>
            <w:pPr>
              <w:jc w:val="center"/>
              <w:ind w:right="90"/>
              <w:spacing w:after="0" w:line="201" w:lineRule="exact"/>
              <w:rPr>
                <w:sz w:val="20"/>
                <w:szCs w:val="20"/>
                <w:color w:val="auto"/>
              </w:rPr>
            </w:pPr>
            <w:r>
              <w:rPr>
                <w:rFonts w:ascii="Times New Roman" w:cs="Times New Roman" w:eastAsia="Times New Roman" w:hAnsi="Times New Roman"/>
                <w:sz w:val="18"/>
                <w:szCs w:val="18"/>
                <w:b w:val="1"/>
                <w:bCs w:val="1"/>
                <w:color w:val="auto"/>
                <w:w w:val="99"/>
              </w:rPr>
              <w:t>Purchased Under the</w:t>
            </w:r>
          </w:p>
        </w:tc>
      </w:tr>
      <w:tr>
        <w:trPr>
          <w:trHeight w:val="267"/>
        </w:trPr>
        <w:tc>
          <w:tcPr>
            <w:tcW w:w="216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0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Purchased</w:t>
            </w:r>
            <w:r>
              <w:rPr>
                <w:rFonts w:ascii="Times New Roman" w:cs="Times New Roman" w:eastAsia="Times New Roman" w:hAnsi="Times New Roman"/>
                <w:sz w:val="23"/>
                <w:szCs w:val="23"/>
                <w:b w:val="1"/>
                <w:bCs w:val="1"/>
                <w:color w:val="auto"/>
                <w:vertAlign w:val="superscript"/>
              </w:rPr>
              <w:t>(a)</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4"/>
              </w:rPr>
              <w:t>Share</w:t>
            </w:r>
            <w:r>
              <w:rPr>
                <w:rFonts w:ascii="Times New Roman" w:cs="Times New Roman" w:eastAsia="Times New Roman" w:hAnsi="Times New Roman"/>
                <w:sz w:val="23"/>
                <w:szCs w:val="23"/>
                <w:b w:val="1"/>
                <w:bCs w:val="1"/>
                <w:color w:val="auto"/>
                <w:w w:val="94"/>
                <w:vertAlign w:val="superscript"/>
              </w:rPr>
              <w:t>(b)</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or Programs</w:t>
            </w:r>
            <w:r>
              <w:rPr>
                <w:rFonts w:ascii="Times New Roman" w:cs="Times New Roman" w:eastAsia="Times New Roman" w:hAnsi="Times New Roman"/>
                <w:sz w:val="23"/>
                <w:szCs w:val="23"/>
                <w:b w:val="1"/>
                <w:bCs w:val="1"/>
                <w:color w:val="auto"/>
                <w:w w:val="97"/>
                <w:vertAlign w:val="superscript"/>
              </w:rPr>
              <w:t>(a)</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Plans or Programs</w:t>
            </w:r>
            <w:r>
              <w:rPr>
                <w:rFonts w:ascii="Times New Roman" w:cs="Times New Roman" w:eastAsia="Times New Roman" w:hAnsi="Times New Roman"/>
                <w:sz w:val="23"/>
                <w:szCs w:val="23"/>
                <w:b w:val="1"/>
                <w:bCs w:val="1"/>
                <w:color w:val="auto"/>
                <w:w w:val="97"/>
                <w:vertAlign w:val="superscript"/>
              </w:rPr>
              <w:t>(a)</w:t>
            </w:r>
          </w:p>
        </w:tc>
      </w:tr>
      <w:tr>
        <w:trPr>
          <w:trHeight w:val="230"/>
        </w:trPr>
        <w:tc>
          <w:tcPr>
            <w:tcW w:w="20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 31, 2024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2,734,248</w:t>
            </w:r>
          </w:p>
        </w:tc>
      </w:tr>
      <w:tr>
        <w:trPr>
          <w:trHeight w:val="234"/>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 – 30, 2024</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278,445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1,019,441</w:t>
            </w:r>
          </w:p>
        </w:tc>
      </w:tr>
      <w:tr>
        <w:trPr>
          <w:trHeight w:val="22"/>
        </w:trPr>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57"/>
        </w:trPr>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 30, 2024</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173,141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2,447,431</w:t>
            </w:r>
          </w:p>
        </w:tc>
      </w:tr>
      <w:tr>
        <w:trPr>
          <w:trHeight w:val="250"/>
        </w:trPr>
        <w:tc>
          <w:tcPr>
            <w:tcW w:w="216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Total</w:t>
            </w:r>
          </w:p>
        </w:tc>
        <w:tc>
          <w:tcPr>
            <w:tcW w:w="2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801,287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21"/>
                <w:szCs w:val="21"/>
                <w:color w:val="auto"/>
              </w:rPr>
            </w:pPr>
          </w:p>
        </w:tc>
        <w:tc>
          <w:tcPr>
            <w:tcW w:w="2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801,287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0"/>
        </w:trPr>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___________________________________</w:t>
      </w:r>
    </w:p>
    <w:p>
      <w:pPr>
        <w:spacing w:after="0" w:line="2" w:lineRule="exact"/>
        <w:rPr>
          <w:sz w:val="20"/>
          <w:szCs w:val="20"/>
          <w:color w:val="auto"/>
        </w:rPr>
      </w:pPr>
    </w:p>
    <w:p>
      <w:pPr>
        <w:jc w:val="both"/>
        <w:ind w:left="340" w:hanging="332"/>
        <w:spacing w:after="0" w:line="229" w:lineRule="auto"/>
        <w:tabs>
          <w:tab w:leader="none" w:pos="335"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 June 10, 2024, the Company’s Board of Directors announced the approval of a share repurchase program authorizing the repurchase of up to $5.0 million of the Company’s common stock, with no expiration date. On September 26, 2024, the Board announced the authorization of an additional $2.5 million shares of the Company's common stock available for repurchase under the program. For further information regarding stock repurchase activity, see Note 16. "Share Repurchase Program" to our Condensed Consolidated Financial Statements located in Item I of Part I of this Quarterly Report on Form 10-Q.</w:t>
      </w:r>
    </w:p>
    <w:p>
      <w:pPr>
        <w:spacing w:after="0" w:line="2" w:lineRule="exact"/>
        <w:rPr>
          <w:rFonts w:ascii="Times New Roman" w:cs="Times New Roman" w:eastAsia="Times New Roman" w:hAnsi="Times New Roman"/>
          <w:sz w:val="21"/>
          <w:szCs w:val="21"/>
          <w:color w:val="auto"/>
          <w:vertAlign w:val="superscript"/>
        </w:rPr>
      </w:pPr>
    </w:p>
    <w:p>
      <w:pPr>
        <w:ind w:left="320" w:hanging="312"/>
        <w:spacing w:after="0" w:line="191" w:lineRule="auto"/>
        <w:tabs>
          <w:tab w:leader="none" w:pos="32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Average price paid per share does not include costs associated with the repurchases.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list of all exhibits filed or furnished as part of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900" w:type="dxa"/>
            <w:vAlign w:val="bottom"/>
            <w:gridSpan w:val="16"/>
          </w:tcPr>
          <w:p>
            <w:pPr>
              <w:ind w:left="25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8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4"/>
                <w:szCs w:val="24"/>
                <w:color w:val="auto"/>
              </w:rPr>
            </w:pPr>
          </w:p>
        </w:tc>
        <w:tc>
          <w:tcPr>
            <w:tcW w:w="9760" w:type="dxa"/>
            <w:vAlign w:val="bottom"/>
            <w:gridSpan w:val="18"/>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w:t>
            </w:r>
          </w:p>
        </w:tc>
        <w:tc>
          <w:tcPr>
            <w:tcW w:w="20" w:type="dxa"/>
            <w:vAlign w:val="bottom"/>
          </w:tcPr>
          <w:p>
            <w:pPr>
              <w:spacing w:after="0"/>
              <w:rPr>
                <w:sz w:val="16"/>
                <w:szCs w:val="16"/>
                <w:color w:val="auto"/>
              </w:rPr>
            </w:pPr>
          </w:p>
        </w:tc>
        <w:tc>
          <w:tcPr>
            <w:tcW w:w="9760" w:type="dxa"/>
            <w:vAlign w:val="bottom"/>
            <w:gridSpan w:val="1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9"/>
        </w:trPr>
        <w:tc>
          <w:tcPr>
            <w:tcW w:w="1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060" w:type="dxa"/>
            <w:vAlign w:val="bottom"/>
            <w:tcBorders>
              <w:top w:val="single" w:sz="8" w:color="auto"/>
              <w:bottom w:val="single" w:sz="8" w:color="0000FF"/>
            </w:tcBorders>
            <w:gridSpan w:val="8"/>
          </w:tcPr>
          <w:p>
            <w:pPr>
              <w:spacing w:after="0"/>
              <w:rPr>
                <w:rFonts w:ascii="Times New Roman" w:cs="Times New Roman" w:eastAsia="Times New Roman" w:hAnsi="Times New Roman"/>
                <w:sz w:val="18"/>
                <w:szCs w:val="18"/>
                <w:color w:val="0000FF"/>
                <w:w w:val="99"/>
              </w:rPr>
            </w:pPr>
            <w:hyperlink r:id="rId62">
              <w:r>
                <w:rPr>
                  <w:rFonts w:ascii="Times New Roman" w:cs="Times New Roman" w:eastAsia="Times New Roman" w:hAnsi="Times New Roman"/>
                  <w:sz w:val="18"/>
                  <w:szCs w:val="18"/>
                  <w:color w:val="0000FF"/>
                  <w:w w:val="99"/>
                </w:rPr>
                <w:t>Second Amended and Restated Certificate of Incorporation of InnovAge Holding Corp., filed March 3, 2021 (incorporated by</w:t>
              </w:r>
            </w:hyperlink>
          </w:p>
        </w:tc>
        <w:tc>
          <w:tcPr>
            <w:tcW w:w="700" w:type="dxa"/>
            <w:vAlign w:val="bottom"/>
            <w:tcBorders>
              <w:top w:val="single" w:sz="8" w:color="auto"/>
            </w:tcBorders>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18"/>
          </w:tcPr>
          <w:p>
            <w:pPr>
              <w:spacing w:after="0" w:line="19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reference to Exhibit 3.1 to the Company’s Current Report on Form 8-K filed with the SEC on March 8, 2021).</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8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63">
              <w:r>
                <w:rPr>
                  <w:rFonts w:ascii="Times New Roman" w:cs="Times New Roman" w:eastAsia="Times New Roman" w:hAnsi="Times New Roman"/>
                  <w:sz w:val="18"/>
                  <w:szCs w:val="18"/>
                  <w:color w:val="0000FF"/>
                  <w:w w:val="99"/>
                </w:rPr>
                <w:t>Amended and Restated Bylaws of InnovAge Holding Corp., effective March 3, 2021 (incorporated by reference to Exhibit 3.2 to the</w:t>
              </w:r>
            </w:hyperlink>
          </w:p>
        </w:tc>
        <w:tc>
          <w:tcPr>
            <w:tcW w:w="2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4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63">
              <w:r>
                <w:rPr>
                  <w:rFonts w:ascii="Times New Roman" w:cs="Times New Roman" w:eastAsia="Times New Roman" w:hAnsi="Times New Roman"/>
                  <w:sz w:val="18"/>
                  <w:szCs w:val="18"/>
                  <w:color w:val="0000FF"/>
                  <w:w w:val="99"/>
                </w:rPr>
                <w:t>Company’s Current Report on Form 8-K filed with the SEC on March 8, 2021).</w:t>
              </w:r>
            </w:hyperlink>
          </w:p>
        </w:tc>
        <w:tc>
          <w:tcPr>
            <w:tcW w:w="40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8"/>
          </w:tcPr>
          <w:p>
            <w:pPr>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Employment Agreement, dated October 31, 2024, by and between Total Community Options, Inc. and Michael Scarbrough</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80" w:type="dxa"/>
            <w:vAlign w:val="bottom"/>
            <w:tcBorders>
              <w:top w:val="single" w:sz="8" w:color="0000FF"/>
              <w:bottom w:val="single" w:sz="8" w:color="0000FF"/>
            </w:tcBorders>
            <w:gridSpan w:val="7"/>
          </w:tcPr>
          <w:p>
            <w:pPr>
              <w:spacing w:after="0" w:line="182"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(incorporated by reference to Exhibit 10.1 to the Company's Current Report on Form 8-K filed with the SEC on November</w:t>
              </w:r>
            </w:hyperlink>
          </w:p>
        </w:tc>
        <w:tc>
          <w:tcPr>
            <w:tcW w:w="660" w:type="dxa"/>
            <w:vAlign w:val="bottom"/>
            <w:tcBorders>
              <w:bottom w:val="single" w:sz="8" w:color="0000FF"/>
            </w:tcBorders>
            <w:gridSpan w:val="7"/>
          </w:tcPr>
          <w:p>
            <w:pPr>
              <w:jc w:val="right"/>
              <w:ind w:right="20"/>
              <w:spacing w:after="0" w:line="182" w:lineRule="exact"/>
              <w:rPr>
                <w:rFonts w:ascii="Times New Roman" w:cs="Times New Roman" w:eastAsia="Times New Roman" w:hAnsi="Times New Roman"/>
                <w:sz w:val="18"/>
                <w:szCs w:val="18"/>
                <w:color w:val="0000FF"/>
                <w:w w:val="96"/>
              </w:rPr>
            </w:pPr>
            <w:hyperlink r:id="rId64">
              <w:r>
                <w:rPr>
                  <w:rFonts w:ascii="Times New Roman" w:cs="Times New Roman" w:eastAsia="Times New Roman" w:hAnsi="Times New Roman"/>
                  <w:sz w:val="18"/>
                  <w:szCs w:val="18"/>
                  <w:color w:val="0000FF"/>
                  <w:w w:val="96"/>
                </w:rPr>
                <w:t>4, 2024).</w:t>
              </w:r>
            </w:hyperlink>
          </w:p>
        </w:tc>
        <w:tc>
          <w:tcPr>
            <w:tcW w:w="1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18"/>
          </w:tcPr>
          <w:p>
            <w:pPr>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Class B Unit Award Agreement, effective November 4, 2024, by and between TCO Group Holdings, L.P. and Michael Scarbrough</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0" w:type="dxa"/>
            <w:vAlign w:val="bottom"/>
            <w:tcBorders>
              <w:top w:val="single" w:sz="8" w:color="0000FF"/>
            </w:tcBorders>
            <w:gridSpan w:val="10"/>
          </w:tcPr>
          <w:p>
            <w:pPr>
              <w:spacing w:after="0" w:line="182" w:lineRule="exact"/>
              <w:rPr>
                <w:rFonts w:ascii="Times New Roman" w:cs="Times New Roman" w:eastAsia="Times New Roman" w:hAnsi="Times New Roman"/>
                <w:sz w:val="18"/>
                <w:szCs w:val="18"/>
                <w:color w:val="0000FF"/>
                <w:w w:val="98"/>
              </w:rPr>
            </w:pPr>
            <w:hyperlink r:id="rId65">
              <w:r>
                <w:rPr>
                  <w:rFonts w:ascii="Times New Roman" w:cs="Times New Roman" w:eastAsia="Times New Roman" w:hAnsi="Times New Roman"/>
                  <w:sz w:val="18"/>
                  <w:szCs w:val="18"/>
                  <w:color w:val="0000FF"/>
                  <w:w w:val="98"/>
                </w:rPr>
                <w:t>(incorporated by reference to Exhibit 10.2 to the Company's Current Report on Form 8-K filed with the SEC on November 4, 2024)</w:t>
              </w:r>
            </w:hyperlink>
          </w:p>
        </w:tc>
        <w:tc>
          <w:tcPr>
            <w:tcW w:w="280" w:type="dxa"/>
            <w:vAlign w:val="bottom"/>
            <w:gridSpan w:val="6"/>
          </w:tcPr>
          <w:p>
            <w:pPr>
              <w:jc w:val="right"/>
              <w:ind w:right="160"/>
              <w:spacing w:after="0" w:line="182"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w:t>
              </w:r>
            </w:hyperlink>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20" w:type="dxa"/>
            <w:vAlign w:val="bottom"/>
            <w:tcBorders>
              <w:top w:val="single" w:sz="8" w:color="0000FF"/>
            </w:tcBorders>
            <w:gridSpan w:val="13"/>
          </w:tcPr>
          <w:p>
            <w:pPr>
              <w:spacing w:after="0"/>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Transition and Separation Agreement, dated as of October 31, 2024, by and between Total Community Options, Inc. and Christine</w:t>
              </w:r>
            </w:hyperlink>
          </w:p>
        </w:tc>
        <w:tc>
          <w:tcPr>
            <w:tcW w:w="24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80" w:type="dxa"/>
            <w:vAlign w:val="bottom"/>
            <w:tcBorders>
              <w:top w:val="single" w:sz="8" w:color="0000FF"/>
              <w:bottom w:val="single" w:sz="8" w:color="0000FF"/>
            </w:tcBorders>
            <w:gridSpan w:val="9"/>
          </w:tcPr>
          <w:p>
            <w:pPr>
              <w:spacing w:after="0" w:line="182" w:lineRule="exact"/>
              <w:rPr>
                <w:rFonts w:ascii="Times New Roman" w:cs="Times New Roman" w:eastAsia="Times New Roman" w:hAnsi="Times New Roman"/>
                <w:sz w:val="18"/>
                <w:szCs w:val="18"/>
                <w:color w:val="0000FF"/>
                <w:w w:val="99"/>
              </w:rPr>
            </w:pPr>
            <w:hyperlink r:id="rId66">
              <w:r>
                <w:rPr>
                  <w:rFonts w:ascii="Times New Roman" w:cs="Times New Roman" w:eastAsia="Times New Roman" w:hAnsi="Times New Roman"/>
                  <w:sz w:val="18"/>
                  <w:szCs w:val="18"/>
                  <w:color w:val="0000FF"/>
                  <w:w w:val="99"/>
                </w:rPr>
                <w:t>Bent (incorporated by reference to Exhibit 10.3 to the Company's Current Report on Form 8-K filed with the SEC on November 4,</w:t>
              </w:r>
            </w:hyperlink>
          </w:p>
        </w:tc>
        <w:tc>
          <w:tcPr>
            <w:tcW w:w="40" w:type="dxa"/>
            <w:vAlign w:val="bottom"/>
            <w:tcBorders>
              <w:bottom w:val="single" w:sz="8" w:color="0000FF"/>
            </w:tcBorders>
            <w:gridSpan w:val="2"/>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ind w:left="20"/>
              <w:spacing w:after="0" w:line="196" w:lineRule="exact"/>
              <w:rPr>
                <w:rFonts w:ascii="Times New Roman" w:cs="Times New Roman" w:eastAsia="Times New Roman" w:hAnsi="Times New Roman"/>
                <w:sz w:val="18"/>
                <w:szCs w:val="18"/>
                <w:color w:val="0000FF"/>
                <w:w w:val="94"/>
              </w:rPr>
            </w:pPr>
            <w:hyperlink r:id="rId66">
              <w:r>
                <w:rPr>
                  <w:rFonts w:ascii="Times New Roman" w:cs="Times New Roman" w:eastAsia="Times New Roman" w:hAnsi="Times New Roman"/>
                  <w:sz w:val="18"/>
                  <w:szCs w:val="18"/>
                  <w:color w:val="0000FF"/>
                  <w:w w:val="94"/>
                </w:rPr>
                <w:t>2024).</w:t>
              </w:r>
            </w:hyperlink>
          </w:p>
        </w:tc>
        <w:tc>
          <w:tcPr>
            <w:tcW w:w="40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80" w:type="dxa"/>
            <w:vAlign w:val="bottom"/>
            <w:gridSpan w:val="7"/>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60" w:type="dxa"/>
            <w:vAlign w:val="bottom"/>
            <w:gridSpan w:val="18"/>
          </w:tcPr>
          <w:p>
            <w:pPr>
              <w:spacing w:after="0"/>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Amended Employment Agreement, dated as of October 31, 2024, by and between Total Community Options, Inc. and Patrick Blair</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60" w:type="dxa"/>
            <w:vAlign w:val="bottom"/>
            <w:tcBorders>
              <w:top w:val="single" w:sz="8" w:color="0000FF"/>
              <w:bottom w:val="single" w:sz="8" w:color="0000FF"/>
            </w:tcBorders>
            <w:gridSpan w:val="12"/>
          </w:tcPr>
          <w:p>
            <w:pPr>
              <w:spacing w:after="0" w:line="182" w:lineRule="exact"/>
              <w:rPr>
                <w:rFonts w:ascii="Times New Roman" w:cs="Times New Roman" w:eastAsia="Times New Roman" w:hAnsi="Times New Roman"/>
                <w:sz w:val="18"/>
                <w:szCs w:val="18"/>
                <w:color w:val="0000FF"/>
                <w:w w:val="99"/>
              </w:rPr>
            </w:pPr>
            <w:hyperlink r:id="rId67">
              <w:r>
                <w:rPr>
                  <w:rFonts w:ascii="Times New Roman" w:cs="Times New Roman" w:eastAsia="Times New Roman" w:hAnsi="Times New Roman"/>
                  <w:sz w:val="18"/>
                  <w:szCs w:val="18"/>
                  <w:color w:val="0000FF"/>
                  <w:w w:val="99"/>
                </w:rPr>
                <w:t>(incorporated by reference to Exhibit 10.4 to the Company's Current Report on Form 8-K filed with the SEC on November 4, 2024)</w:t>
              </w:r>
            </w:hyperlink>
          </w:p>
        </w:tc>
        <w:tc>
          <w:tcPr>
            <w:tcW w:w="80" w:type="dxa"/>
            <w:vAlign w:val="bottom"/>
            <w:tcBorders>
              <w:bottom w:val="single" w:sz="8" w:color="0000FF"/>
            </w:tcBorders>
            <w:gridSpan w:val="2"/>
          </w:tcPr>
          <w:p>
            <w:pPr>
              <w:jc w:val="right"/>
              <w:ind w:right="20"/>
              <w:spacing w:after="0" w:line="182" w:lineRule="exact"/>
              <w:rPr>
                <w:rFonts w:ascii="Times New Roman" w:cs="Times New Roman" w:eastAsia="Times New Roman" w:hAnsi="Times New Roman"/>
                <w:sz w:val="18"/>
                <w:szCs w:val="18"/>
                <w:color w:val="0000FF"/>
                <w:w w:val="87"/>
              </w:rPr>
            </w:pPr>
            <w:hyperlink r:id="rId67">
              <w:r>
                <w:rPr>
                  <w:rFonts w:ascii="Times New Roman" w:cs="Times New Roman" w:eastAsia="Times New Roman" w:hAnsi="Times New Roman"/>
                  <w:sz w:val="18"/>
                  <w:szCs w:val="18"/>
                  <w:color w:val="0000FF"/>
                  <w:w w:val="87"/>
                </w:rPr>
                <w:t>.</w:t>
              </w:r>
            </w:hyperlink>
          </w:p>
        </w:tc>
        <w:tc>
          <w:tcPr>
            <w:tcW w:w="1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39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302 of the Sarbanes-Oxley Act of 2002</w:t>
            </w:r>
          </w:p>
        </w:tc>
        <w:tc>
          <w:tcPr>
            <w:tcW w:w="40" w:type="dxa"/>
            <w:vAlign w:val="bottom"/>
            <w:tcBorders>
              <w:top w:val="single" w:sz="8" w:color="0000FF"/>
            </w:tcBorders>
          </w:tcPr>
          <w:p>
            <w:pPr>
              <w:spacing w:after="0"/>
              <w:rPr>
                <w:sz w:val="24"/>
                <w:szCs w:val="24"/>
                <w:color w:val="auto"/>
              </w:rPr>
            </w:pPr>
          </w:p>
        </w:tc>
        <w:tc>
          <w:tcPr>
            <w:tcW w:w="258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24"/>
                <w:szCs w:val="24"/>
                <w:color w:val="auto"/>
              </w:rPr>
            </w:pPr>
          </w:p>
        </w:tc>
        <w:tc>
          <w:tcPr>
            <w:tcW w:w="97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8860" w:type="dxa"/>
            <w:vAlign w:val="bottom"/>
            <w:tcBorders>
              <w:top w:val="single" w:sz="8" w:color="0000FF"/>
            </w:tcBorders>
            <w:gridSpan w:val="15"/>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24"/>
                <w:szCs w:val="24"/>
                <w:color w:val="auto"/>
              </w:rPr>
            </w:pPr>
          </w:p>
        </w:tc>
        <w:tc>
          <w:tcPr>
            <w:tcW w:w="96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18 U.S.C. Section 1350, as adopted pursuant to Section 906 of the Sarbanes-Oxley</w:t>
            </w:r>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89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97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432"/>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97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418"/>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7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419"/>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97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418"/>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7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41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and contained in Exhibit 101)</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63" w:lineRule="exact"/>
        <w:rPr>
          <w:sz w:val="20"/>
          <w:szCs w:val="20"/>
          <w:color w:val="auto"/>
        </w:rPr>
      </w:pPr>
    </w:p>
    <w:p>
      <w:pPr>
        <w:jc w:val="both"/>
        <w:ind w:left="340" w:hanging="332"/>
        <w:spacing w:after="0" w:line="266"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and Exhibit 32.2 hereto are deemed “furnished” with this Quarterly Report on Form 10-Q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20" w:type="dxa"/>
            <w:vAlign w:val="bottom"/>
            <w:gridSpan w:val="2"/>
          </w:tcPr>
          <w:p>
            <w:pPr>
              <w:ind w:left="1720"/>
              <w:spacing w:after="0"/>
              <w:rPr>
                <w:sz w:val="20"/>
                <w:szCs w:val="20"/>
                <w:color w:val="auto"/>
              </w:rPr>
            </w:pPr>
            <w:r>
              <w:rPr>
                <w:rFonts w:ascii="Times New Roman" w:cs="Times New Roman" w:eastAsia="Times New Roman" w:hAnsi="Times New Roman"/>
                <w:sz w:val="18"/>
                <w:szCs w:val="18"/>
                <w:b w:val="1"/>
                <w:bCs w:val="1"/>
                <w:color w:val="auto"/>
              </w:rPr>
              <w:t>INNOVAGE HOLDING CORP.</w:t>
            </w:r>
          </w:p>
        </w:tc>
      </w:tr>
      <w:tr>
        <w:trPr>
          <w:trHeight w:val="47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2024</w:t>
            </w:r>
          </w:p>
        </w:tc>
        <w:tc>
          <w:tcPr>
            <w:tcW w:w="250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Benjamin C. Adams</w:t>
            </w:r>
          </w:p>
        </w:tc>
      </w:tr>
      <w:tr>
        <w:trPr>
          <w:trHeight w:val="243"/>
        </w:trPr>
        <w:tc>
          <w:tcPr>
            <w:tcW w:w="3500" w:type="dxa"/>
            <w:vAlign w:val="bottom"/>
          </w:tcPr>
          <w:p>
            <w:pPr>
              <w:spacing w:after="0"/>
              <w:rPr>
                <w:sz w:val="21"/>
                <w:szCs w:val="21"/>
                <w:color w:val="auto"/>
              </w:rPr>
            </w:pPr>
          </w:p>
        </w:tc>
        <w:tc>
          <w:tcPr>
            <w:tcW w:w="250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Name: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Benjamin C. Adams</w:t>
            </w:r>
          </w:p>
        </w:tc>
      </w:tr>
      <w:tr>
        <w:trPr>
          <w:trHeight w:val="225"/>
        </w:trPr>
        <w:tc>
          <w:tcPr>
            <w:tcW w:w="3500" w:type="dxa"/>
            <w:vAlign w:val="bottom"/>
          </w:tcPr>
          <w:p>
            <w:pPr>
              <w:spacing w:after="0"/>
              <w:rPr>
                <w:sz w:val="19"/>
                <w:szCs w:val="19"/>
                <w:color w:val="auto"/>
              </w:rPr>
            </w:pPr>
          </w:p>
        </w:tc>
        <w:tc>
          <w:tcPr>
            <w:tcW w:w="250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Title: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(Duly Authorized Officer and Principal</w:t>
            </w:r>
          </w:p>
        </w:tc>
      </w:tr>
      <w:tr>
        <w:trPr>
          <w:trHeight w:val="234"/>
        </w:trPr>
        <w:tc>
          <w:tcPr>
            <w:tcW w:w="35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and Accounting Officer)</w:t>
            </w:r>
          </w:p>
        </w:tc>
      </w:tr>
      <w:tr>
        <w:trPr>
          <w:trHeight w:val="918"/>
        </w:trPr>
        <w:tc>
          <w:tcPr>
            <w:tcW w:w="3500" w:type="dxa"/>
            <w:vAlign w:val="bottom"/>
          </w:tcPr>
          <w:p>
            <w:pPr>
              <w:spacing w:after="0"/>
              <w:rPr>
                <w:sz w:val="24"/>
                <w:szCs w:val="24"/>
                <w:color w:val="auto"/>
              </w:rPr>
            </w:pPr>
          </w:p>
        </w:tc>
        <w:tc>
          <w:tcPr>
            <w:tcW w:w="250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43</w:t>
            </w:r>
          </w:p>
        </w:tc>
        <w:tc>
          <w:tcPr>
            <w:tcW w:w="522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Patrick Blair, certify that:</w:t>
      </w:r>
    </w:p>
    <w:p>
      <w:pPr>
        <w:spacing w:after="0" w:line="117" w:lineRule="exact"/>
        <w:rPr>
          <w:sz w:val="20"/>
          <w:szCs w:val="20"/>
          <w:color w:val="auto"/>
        </w:rPr>
      </w:pPr>
    </w:p>
    <w:p>
      <w:pPr>
        <w:ind w:left="980" w:hanging="648"/>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InnovAge Holding Corp.;</w:t>
      </w:r>
    </w:p>
    <w:p>
      <w:pPr>
        <w:spacing w:after="0" w:line="117" w:lineRule="exact"/>
        <w:rPr>
          <w:rFonts w:ascii="Times New Roman" w:cs="Times New Roman" w:eastAsia="Times New Roman" w:hAnsi="Times New Roman"/>
          <w:sz w:val="18"/>
          <w:szCs w:val="18"/>
          <w:color w:val="auto"/>
        </w:rPr>
      </w:pPr>
    </w:p>
    <w:p>
      <w:pPr>
        <w:jc w:val="both"/>
        <w:ind w:left="980" w:right="60" w:hanging="648"/>
        <w:spacing w:after="0" w:line="26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80" w:right="20" w:hanging="648"/>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980" w:right="180" w:hanging="648"/>
        <w:spacing w:after="0" w:line="26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620" w:right="20" w:hanging="640"/>
        <w:spacing w:after="0" w:line="266" w:lineRule="auto"/>
        <w:tabs>
          <w:tab w:leader="none" w:pos="161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620" w:right="100" w:hanging="640"/>
        <w:spacing w:after="0" w:line="266" w:lineRule="auto"/>
        <w:tabs>
          <w:tab w:leader="none" w:pos="161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620" w:right="180" w:hanging="640"/>
        <w:spacing w:after="0" w:line="266" w:lineRule="auto"/>
        <w:tabs>
          <w:tab w:leader="none" w:pos="161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620" w:right="280" w:hanging="640"/>
        <w:spacing w:after="0" w:line="266" w:lineRule="auto"/>
        <w:tabs>
          <w:tab w:leader="none" w:pos="161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980" w:right="140" w:hanging="648"/>
        <w:spacing w:after="0" w:line="312" w:lineRule="auto"/>
        <w:tabs>
          <w:tab w:leader="none" w:pos="9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620" w:right="140" w:hanging="640"/>
        <w:spacing w:after="0" w:line="282" w:lineRule="auto"/>
        <w:tabs>
          <w:tab w:leader="none" w:pos="161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620" w:right="420" w:hanging="640"/>
        <w:spacing w:after="0" w:line="282" w:lineRule="auto"/>
        <w:tabs>
          <w:tab w:leader="none" w:pos="161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5, 2024</w:t>
      </w:r>
    </w:p>
    <w:p>
      <w:pPr>
        <w:spacing w:after="0" w:line="36" w:lineRule="exact"/>
        <w:rPr>
          <w:sz w:val="20"/>
          <w:szCs w:val="20"/>
          <w:color w:val="auto"/>
        </w:rPr>
      </w:pPr>
    </w:p>
    <w:p>
      <w:pPr>
        <w:ind w:left="5720"/>
        <w:spacing w:after="0"/>
        <w:tabs>
          <w:tab w:leader="none" w:pos="6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Patrick Blair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34290</wp:posOffset>
            </wp:positionV>
            <wp:extent cx="30429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43" w:lineRule="exact"/>
        <w:rPr>
          <w:sz w:val="20"/>
          <w:szCs w:val="20"/>
          <w:color w:val="auto"/>
        </w:rPr>
      </w:pPr>
    </w:p>
    <w:p>
      <w:pPr>
        <w:ind w:left="5720"/>
        <w:spacing w:after="0"/>
        <w:tabs>
          <w:tab w:leader="none" w:pos="6440" w:val="left"/>
        </w:tabs>
        <w:rPr>
          <w:sz w:val="20"/>
          <w:szCs w:val="20"/>
          <w:color w:val="auto"/>
        </w:rPr>
      </w:pPr>
      <w:r>
        <w:rPr>
          <w:rFonts w:ascii="Times New Roman" w:cs="Times New Roman" w:eastAsia="Times New Roman" w:hAnsi="Times New Roman"/>
          <w:sz w:val="18"/>
          <w:szCs w:val="18"/>
          <w:color w:val="auto"/>
        </w:rPr>
        <w:t>Name:</w:t>
        <w:tab/>
        <w:t>Patrick Blair</w:t>
      </w:r>
    </w:p>
    <w:p>
      <w:pPr>
        <w:spacing w:after="0" w:line="75" w:lineRule="exact"/>
        <w:rPr>
          <w:sz w:val="20"/>
          <w:szCs w:val="20"/>
          <w:color w:val="auto"/>
        </w:rPr>
      </w:pPr>
    </w:p>
    <w:p>
      <w:pPr>
        <w:ind w:left="5720"/>
        <w:spacing w:after="0"/>
        <w:tabs>
          <w:tab w:leader="none" w:pos="64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1143"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Benjamin C. Adams, certify that:</w:t>
      </w:r>
    </w:p>
    <w:p>
      <w:pPr>
        <w:spacing w:after="0" w:line="117" w:lineRule="exact"/>
        <w:rPr>
          <w:sz w:val="20"/>
          <w:szCs w:val="20"/>
          <w:color w:val="auto"/>
        </w:rPr>
      </w:pPr>
    </w:p>
    <w:p>
      <w:pPr>
        <w:ind w:left="980" w:hanging="648"/>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InnovAge Holding, Corp.;</w:t>
      </w:r>
    </w:p>
    <w:p>
      <w:pPr>
        <w:spacing w:after="0" w:line="117" w:lineRule="exact"/>
        <w:rPr>
          <w:rFonts w:ascii="Times New Roman" w:cs="Times New Roman" w:eastAsia="Times New Roman" w:hAnsi="Times New Roman"/>
          <w:sz w:val="18"/>
          <w:szCs w:val="18"/>
          <w:color w:val="auto"/>
        </w:rPr>
      </w:pPr>
    </w:p>
    <w:p>
      <w:pPr>
        <w:jc w:val="both"/>
        <w:ind w:left="980" w:right="60" w:hanging="648"/>
        <w:spacing w:after="0" w:line="266"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80" w:right="20" w:hanging="648"/>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980" w:right="180" w:hanging="648"/>
        <w:spacing w:after="0" w:line="266"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620" w:right="20" w:hanging="640"/>
        <w:spacing w:after="0" w:line="266" w:lineRule="auto"/>
        <w:tabs>
          <w:tab w:leader="none" w:pos="161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620" w:right="100" w:hanging="640"/>
        <w:spacing w:after="0" w:line="266" w:lineRule="auto"/>
        <w:tabs>
          <w:tab w:leader="none" w:pos="161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620" w:right="180" w:hanging="640"/>
        <w:spacing w:after="0" w:line="266" w:lineRule="auto"/>
        <w:tabs>
          <w:tab w:leader="none" w:pos="161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620" w:right="280" w:hanging="640"/>
        <w:spacing w:after="0" w:line="266" w:lineRule="auto"/>
        <w:tabs>
          <w:tab w:leader="none" w:pos="161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980" w:right="140" w:hanging="648"/>
        <w:spacing w:after="0" w:line="312" w:lineRule="auto"/>
        <w:tabs>
          <w:tab w:leader="none" w:pos="9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620" w:right="140" w:hanging="640"/>
        <w:spacing w:after="0" w:line="282" w:lineRule="auto"/>
        <w:tabs>
          <w:tab w:leader="none" w:pos="161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620" w:right="420" w:hanging="640"/>
        <w:spacing w:after="0" w:line="282" w:lineRule="auto"/>
        <w:tabs>
          <w:tab w:leader="none" w:pos="161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5, 2024</w:t>
      </w:r>
    </w:p>
    <w:p>
      <w:pPr>
        <w:spacing w:after="0" w:line="200" w:lineRule="exact"/>
        <w:rPr>
          <w:sz w:val="20"/>
          <w:szCs w:val="20"/>
          <w:color w:val="auto"/>
        </w:rPr>
      </w:pPr>
    </w:p>
    <w:p>
      <w:pPr>
        <w:spacing w:after="0" w:line="349" w:lineRule="exact"/>
        <w:rPr>
          <w:sz w:val="20"/>
          <w:szCs w:val="20"/>
          <w:color w:val="auto"/>
        </w:rPr>
      </w:pPr>
    </w:p>
    <w:p>
      <w:pPr>
        <w:ind w:left="5720"/>
        <w:spacing w:after="0"/>
        <w:tabs>
          <w:tab w:leader="none" w:pos="6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Benjamin C.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34290</wp:posOffset>
            </wp:positionV>
            <wp:extent cx="30429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43" w:lineRule="exact"/>
        <w:rPr>
          <w:sz w:val="20"/>
          <w:szCs w:val="20"/>
          <w:color w:val="auto"/>
        </w:rPr>
      </w:pPr>
    </w:p>
    <w:p>
      <w:pPr>
        <w:ind w:left="5720"/>
        <w:spacing w:after="0"/>
        <w:tabs>
          <w:tab w:leader="none" w:pos="6440" w:val="left"/>
        </w:tabs>
        <w:rPr>
          <w:sz w:val="20"/>
          <w:szCs w:val="20"/>
          <w:color w:val="auto"/>
        </w:rPr>
      </w:pPr>
      <w:r>
        <w:rPr>
          <w:rFonts w:ascii="Times New Roman" w:cs="Times New Roman" w:eastAsia="Times New Roman" w:hAnsi="Times New Roman"/>
          <w:sz w:val="18"/>
          <w:szCs w:val="18"/>
          <w:color w:val="auto"/>
        </w:rPr>
        <w:t>Name:</w:t>
        <w:tab/>
        <w:t>Benjamin C. Adams</w:t>
      </w:r>
    </w:p>
    <w:p>
      <w:pPr>
        <w:spacing w:after="0" w:line="75" w:lineRule="exact"/>
        <w:rPr>
          <w:sz w:val="20"/>
          <w:szCs w:val="20"/>
          <w:color w:val="auto"/>
        </w:rPr>
      </w:pPr>
    </w:p>
    <w:p>
      <w:pPr>
        <w:ind w:left="5720"/>
        <w:spacing w:after="0"/>
        <w:tabs>
          <w:tab w:leader="none" w:pos="64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240"/>
          </w:cols>
          <w:pgMar w:left="320" w:top="1035"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18 U.S.C. Section 1350</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InnovAge Holding Corp. (the “Company”) for the fiscal quarter ended September 30, 2024 as filed with the U.S. Securities and Exchange Commission (the “Report”), I, Patrick Blair, Chief Executive Officer of the Company, hereby certify, pursuant to 18 U.S.C. Section 1350, as adopted pursuant to Section 906 of the Sarbanes-Oxley Act of 2002, that, to my knowledge:</w:t>
      </w:r>
    </w:p>
    <w:p>
      <w:pPr>
        <w:spacing w:after="0" w:line="68" w:lineRule="exact"/>
        <w:rPr>
          <w:sz w:val="20"/>
          <w:szCs w:val="20"/>
          <w:color w:val="auto"/>
        </w:rPr>
      </w:pPr>
    </w:p>
    <w:p>
      <w:pPr>
        <w:ind w:left="1140" w:hanging="646"/>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140" w:right="440" w:hanging="646"/>
        <w:spacing w:after="0" w:line="282" w:lineRule="auto"/>
        <w:tabs>
          <w:tab w:leader="none" w:pos="113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5, 2024</w:t>
      </w:r>
    </w:p>
    <w:p>
      <w:pPr>
        <w:spacing w:after="0" w:line="200" w:lineRule="exact"/>
        <w:rPr>
          <w:sz w:val="20"/>
          <w:szCs w:val="20"/>
          <w:color w:val="auto"/>
        </w:rPr>
      </w:pPr>
    </w:p>
    <w:p>
      <w:pPr>
        <w:spacing w:after="0" w:line="349" w:lineRule="exact"/>
        <w:rPr>
          <w:sz w:val="20"/>
          <w:szCs w:val="20"/>
          <w:color w:val="auto"/>
        </w:rPr>
      </w:pPr>
    </w:p>
    <w:p>
      <w:pPr>
        <w:ind w:left="5720"/>
        <w:spacing w:after="0"/>
        <w:tabs>
          <w:tab w:leader="none" w:pos="6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Patrick Blair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34290</wp:posOffset>
            </wp:positionV>
            <wp:extent cx="30429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43" w:lineRule="exact"/>
        <w:rPr>
          <w:sz w:val="20"/>
          <w:szCs w:val="20"/>
          <w:color w:val="auto"/>
        </w:rPr>
      </w:pPr>
    </w:p>
    <w:p>
      <w:pPr>
        <w:ind w:left="5720"/>
        <w:spacing w:after="0"/>
        <w:tabs>
          <w:tab w:leader="none" w:pos="6440" w:val="left"/>
        </w:tabs>
        <w:rPr>
          <w:sz w:val="20"/>
          <w:szCs w:val="20"/>
          <w:color w:val="auto"/>
        </w:rPr>
      </w:pPr>
      <w:r>
        <w:rPr>
          <w:rFonts w:ascii="Times New Roman" w:cs="Times New Roman" w:eastAsia="Times New Roman" w:hAnsi="Times New Roman"/>
          <w:sz w:val="18"/>
          <w:szCs w:val="18"/>
          <w:color w:val="auto"/>
        </w:rPr>
        <w:t>Name:</w:t>
        <w:tab/>
        <w:t>Patrick Blair</w:t>
      </w:r>
    </w:p>
    <w:p>
      <w:pPr>
        <w:spacing w:after="0" w:line="75" w:lineRule="exact"/>
        <w:rPr>
          <w:sz w:val="20"/>
          <w:szCs w:val="20"/>
          <w:color w:val="auto"/>
        </w:rPr>
      </w:pPr>
    </w:p>
    <w:p>
      <w:pPr>
        <w:ind w:left="5720"/>
        <w:spacing w:after="0"/>
        <w:tabs>
          <w:tab w:leader="none" w:pos="64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1143"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18 U.S.C. Section 1350</w:t>
      </w:r>
    </w:p>
    <w:p>
      <w:pPr>
        <w:spacing w:after="0" w:line="229"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InnovAge Holding Corp. (the “Company”) for the fiscal quarter ended September 30, 2024 as filed with the U.S. Securities and Exchange Commission (the “Report”), I, Benjamin C. Adams, Chief Financial Officer of the Company, hereby certify, pursuant to 18 U.S.C. Section 1350, as adopted pursuant to Section 906 of the Sarbanes-Oxley Act of 2002, that, to my knowledge:</w:t>
      </w:r>
    </w:p>
    <w:p>
      <w:pPr>
        <w:spacing w:after="0" w:line="68" w:lineRule="exact"/>
        <w:rPr>
          <w:sz w:val="20"/>
          <w:szCs w:val="20"/>
          <w:color w:val="auto"/>
        </w:rPr>
      </w:pPr>
    </w:p>
    <w:p>
      <w:pPr>
        <w:ind w:left="1140" w:hanging="646"/>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140" w:right="440" w:hanging="646"/>
        <w:spacing w:after="0" w:line="282" w:lineRule="auto"/>
        <w:tabs>
          <w:tab w:leader="none" w:pos="113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5, 2024</w:t>
      </w:r>
    </w:p>
    <w:p>
      <w:pPr>
        <w:spacing w:after="0" w:line="200" w:lineRule="exact"/>
        <w:rPr>
          <w:sz w:val="20"/>
          <w:szCs w:val="20"/>
          <w:color w:val="auto"/>
        </w:rPr>
      </w:pPr>
    </w:p>
    <w:p>
      <w:pPr>
        <w:spacing w:after="0" w:line="349" w:lineRule="exact"/>
        <w:rPr>
          <w:sz w:val="20"/>
          <w:szCs w:val="20"/>
          <w:color w:val="auto"/>
        </w:rPr>
      </w:pPr>
    </w:p>
    <w:p>
      <w:pPr>
        <w:ind w:left="5720"/>
        <w:spacing w:after="0"/>
        <w:tabs>
          <w:tab w:leader="none" w:pos="6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Benjamin C.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34290</wp:posOffset>
            </wp:positionV>
            <wp:extent cx="30429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43" w:lineRule="exact"/>
        <w:rPr>
          <w:sz w:val="20"/>
          <w:szCs w:val="20"/>
          <w:color w:val="auto"/>
        </w:rPr>
      </w:pPr>
    </w:p>
    <w:p>
      <w:pPr>
        <w:ind w:left="5720"/>
        <w:spacing w:after="0"/>
        <w:tabs>
          <w:tab w:leader="none" w:pos="6440" w:val="left"/>
        </w:tabs>
        <w:rPr>
          <w:sz w:val="20"/>
          <w:szCs w:val="20"/>
          <w:color w:val="auto"/>
        </w:rPr>
      </w:pPr>
      <w:r>
        <w:rPr>
          <w:rFonts w:ascii="Times New Roman" w:cs="Times New Roman" w:eastAsia="Times New Roman" w:hAnsi="Times New Roman"/>
          <w:sz w:val="18"/>
          <w:szCs w:val="18"/>
          <w:color w:val="auto"/>
        </w:rPr>
        <w:t>Name:</w:t>
        <w:tab/>
        <w:t>Benjamin C. Adams</w:t>
      </w:r>
    </w:p>
    <w:p>
      <w:pPr>
        <w:spacing w:after="0" w:line="75" w:lineRule="exact"/>
        <w:rPr>
          <w:sz w:val="20"/>
          <w:szCs w:val="20"/>
          <w:color w:val="auto"/>
        </w:rPr>
      </w:pPr>
    </w:p>
    <w:p>
      <w:pPr>
        <w:ind w:left="5720"/>
        <w:spacing w:after="0"/>
        <w:tabs>
          <w:tab w:leader="none" w:pos="64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Financial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lowerRoman"/>
      <w:start w:val="2"/>
    </w:lvl>
  </w:abstractNum>
  <w:abstractNum w:abstractNumId="5">
    <w:nsid w:val="66EF438D"/>
    <w:multiLevelType w:val="hybridMultilevel"/>
    <w:lvl w:ilvl="0">
      <w:lvlJc w:val="left"/>
      <w:lvlText w:val="(%1)"/>
      <w:numFmt w:val="decimal"/>
      <w:start w:val="2"/>
    </w:lvl>
  </w:abstractNum>
  <w:abstractNum w:abstractNumId="6">
    <w:nsid w:val="140E0F76"/>
    <w:multiLevelType w:val="hybridMultilevel"/>
    <w:lvl w:ilvl="0">
      <w:lvlJc w:val="left"/>
      <w:lvlText w:val="(%1)"/>
      <w:numFmt w:val="lowerLetter"/>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lvl w:ilvl="1">
      <w:lvlJc w:val="left"/>
      <w:lvlText w:val="(%2)"/>
      <w:numFmt w:val="lowerRoman"/>
      <w:start w:val="1"/>
    </w:lvl>
  </w:abstractNum>
  <w:abstractNum w:abstractNumId="9">
    <w:nsid w:val="DED7263"/>
    <w:multiLevelType w:val="hybridMultilevel"/>
    <w:lvl w:ilvl="0">
      <w:lvlJc w:val="left"/>
      <w:lvlText w:val="(%1)"/>
      <w:numFmt w:val="lowerLetter"/>
      <w:start w:val="1"/>
    </w:lvl>
  </w:abstractNum>
  <w:abstractNum w:abstractNumId="10">
    <w:nsid w:val="7FDCC233"/>
    <w:multiLevelType w:val="hybridMultilevel"/>
    <w:lvl w:ilvl="0">
      <w:lvlJc w:val="left"/>
      <w:lvlText w:val="(%1)"/>
      <w:numFmt w:val="lowerLetter"/>
      <w:start w:val="1"/>
    </w:lvl>
  </w:abstractNum>
  <w:abstractNum w:abstractNumId="11">
    <w:nsid w:val="1BEFD79F"/>
    <w:multiLevelType w:val="hybridMultilevel"/>
    <w:lvl w:ilvl="0">
      <w:lvlJc w:val="left"/>
      <w:lvlText w:val="(%1)"/>
      <w:numFmt w:val="lowerLetter"/>
      <w:start w:val="2"/>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62" Type="http://schemas.openxmlformats.org/officeDocument/2006/relationships/hyperlink" Target="https://www.sec.gov/Archives/edgar/data/1834376/000110465921033328/tm2037889d18_ex3-1.htm" TargetMode="External"/><Relationship Id="rId63" Type="http://schemas.openxmlformats.org/officeDocument/2006/relationships/hyperlink" Target="https://www.sec.gov/Archives/edgar/data/1834376/000110465921033328/tm2037889d18_ex3-2.htm" TargetMode="External"/><Relationship Id="rId64" Type="http://schemas.openxmlformats.org/officeDocument/2006/relationships/hyperlink" Target="https://www.sec.gov/Archives/edgar/data/1834376/000183437624000080/ex101-mscarbroughemploym.htm" TargetMode="External"/><Relationship Id="rId65" Type="http://schemas.openxmlformats.org/officeDocument/2006/relationships/hyperlink" Target="https://www.sec.gov/Archives/edgar/data/1834376/000183437624000080/ex102-classbunitawardagree.htm" TargetMode="External"/><Relationship Id="rId66" Type="http://schemas.openxmlformats.org/officeDocument/2006/relationships/hyperlink" Target="https://www.sec.gov/Archives/edgar/data/1834376/000183437624000080/ex103-transitionandseparat.htm" TargetMode="External"/><Relationship Id="rId67" Type="http://schemas.openxmlformats.org/officeDocument/2006/relationships/hyperlink" Target="https://www.sec.gov/Archives/edgar/data/1834376/000183437624000080/ex104-amendmenttoceoemplo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2024-11-05T16:17:42Z</dcterms:created>
  <dcterms:modified xsi:type="dcterms:W3CDTF">2024-11-05T16:17:42Z</dcterms:modified>
</cp:coreProperties>
</file>