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386080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000" w:right="1540" w:hanging="2470"/>
        <w:spacing w:after="0" w:line="266" w:lineRule="auto"/>
        <w:tabs>
          <w:tab w:leader="none" w:pos="21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 w:lineRule="exact"/>
        <w:rPr>
          <w:sz w:val="24"/>
          <w:szCs w:val="24"/>
          <w:color w:val="auto"/>
        </w:rPr>
      </w:pPr>
    </w:p>
    <w:p>
      <w:pPr>
        <w:ind w:left="4000" w:right="1520" w:hanging="2488"/>
        <w:spacing w:after="0" w:line="270" w:lineRule="auto"/>
        <w:tabs>
          <w:tab w:leader="none" w:pos="216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3420"/>
        <w:spacing w:after="0"/>
        <w:tabs>
          <w:tab w:leader="none" w:pos="59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3529965</wp:posOffset>
            </wp:positionH>
            <wp:positionV relativeFrom="paragraph">
              <wp:posOffset>-9525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001-40159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84455</wp:posOffset>
            </wp:positionV>
            <wp:extent cx="1714500"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InnovAge Holding Corp.</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3"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39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81-0710819</w:t>
            </w:r>
          </w:p>
        </w:tc>
      </w:tr>
      <w:tr>
        <w:trPr>
          <w:trHeight w:val="149"/>
        </w:trPr>
        <w:tc>
          <w:tcPr>
            <w:tcW w:w="3960" w:type="dxa"/>
            <w:vAlign w:val="bottom"/>
          </w:tcPr>
          <w:p>
            <w:pPr>
              <w:jc w:val="center"/>
              <w:ind w:right="142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jc w:val="center"/>
              <w:ind w:left="14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jc w:val="center"/>
              <w:ind w:left="14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5"/>
        </w:trPr>
        <w:tc>
          <w:tcPr>
            <w:tcW w:w="39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8950 E. Lowry Boulevard</w:t>
            </w:r>
          </w:p>
        </w:tc>
        <w:tc>
          <w:tcPr>
            <w:tcW w:w="29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80230</w:t>
            </w:r>
          </w:p>
        </w:tc>
      </w:tr>
      <w:tr>
        <w:trPr>
          <w:trHeight w:val="148"/>
        </w:trPr>
        <w:tc>
          <w:tcPr>
            <w:tcW w:w="3960" w:type="dxa"/>
            <w:vAlign w:val="bottom"/>
          </w:tcPr>
          <w:p>
            <w:pPr>
              <w:jc w:val="center"/>
              <w:ind w:right="1428"/>
              <w:spacing w:after="0" w:line="149" w:lineRule="exact"/>
              <w:rPr>
                <w:sz w:val="20"/>
                <w:szCs w:val="20"/>
                <w:color w:val="auto"/>
              </w:rPr>
            </w:pPr>
            <w:r>
              <w:rPr>
                <w:rFonts w:ascii="Times New Roman" w:cs="Times New Roman" w:eastAsia="Times New Roman" w:hAnsi="Times New Roman"/>
                <w:sz w:val="14"/>
                <w:szCs w:val="14"/>
                <w:b w:val="1"/>
                <w:bCs w:val="1"/>
                <w:color w:val="auto"/>
              </w:rPr>
              <w:t>Denver, CO</w:t>
            </w:r>
          </w:p>
        </w:tc>
        <w:tc>
          <w:tcPr>
            <w:tcW w:w="2940" w:type="dxa"/>
            <w:vAlign w:val="bottom"/>
          </w:tcPr>
          <w:p>
            <w:pPr>
              <w:jc w:val="center"/>
              <w:ind w:left="1428"/>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3960" w:type="dxa"/>
            <w:vAlign w:val="bottom"/>
          </w:tcPr>
          <w:p>
            <w:pPr>
              <w:jc w:val="center"/>
              <w:ind w:right="14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40" w:type="dxa"/>
            <w:vAlign w:val="bottom"/>
          </w:tcPr>
          <w:p>
            <w:pPr>
              <w:spacing w:after="0"/>
              <w:rPr>
                <w:sz w:val="16"/>
                <w:szCs w:val="16"/>
                <w:color w:val="auto"/>
              </w:rPr>
            </w:pPr>
          </w:p>
        </w:tc>
      </w:tr>
    </w:tbl>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(844) 803-8745</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84455</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3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85"/>
        </w:trPr>
        <w:tc>
          <w:tcPr>
            <w:tcW w:w="3340" w:type="dxa"/>
            <w:vAlign w:val="bottom"/>
            <w:tcBorders>
              <w:left w:val="single" w:sz="8" w:color="auto"/>
              <w:bottom w:val="single" w:sz="8" w:color="auto"/>
              <w:right w:val="single" w:sz="8" w:color="auto"/>
            </w:tcBorders>
          </w:tcPr>
          <w:p>
            <w:pPr>
              <w:spacing w:after="0"/>
              <w:rPr>
                <w:sz w:val="7"/>
                <w:szCs w:val="7"/>
                <w:color w:val="auto"/>
              </w:rPr>
            </w:pPr>
          </w:p>
        </w:tc>
        <w:tc>
          <w:tcPr>
            <w:tcW w:w="3200" w:type="dxa"/>
            <w:vAlign w:val="bottom"/>
            <w:tcBorders>
              <w:bottom w:val="single" w:sz="8" w:color="auto"/>
              <w:right w:val="single" w:sz="8" w:color="auto"/>
            </w:tcBorders>
          </w:tcPr>
          <w:p>
            <w:pPr>
              <w:spacing w:after="0"/>
              <w:rPr>
                <w:sz w:val="7"/>
                <w:szCs w:val="7"/>
                <w:color w:val="auto"/>
              </w:rPr>
            </w:pPr>
          </w:p>
        </w:tc>
        <w:tc>
          <w:tcPr>
            <w:tcW w:w="3400" w:type="dxa"/>
            <w:vAlign w:val="bottom"/>
            <w:tcBorders>
              <w:bottom w:val="single" w:sz="8" w:color="auto"/>
              <w:right w:val="single" w:sz="8" w:color="auto"/>
            </w:tcBorders>
          </w:tcPr>
          <w:p>
            <w:pPr>
              <w:spacing w:after="0"/>
              <w:rPr>
                <w:sz w:val="7"/>
                <w:szCs w:val="7"/>
                <w:color w:val="auto"/>
              </w:rPr>
            </w:pPr>
          </w:p>
        </w:tc>
      </w:tr>
      <w:tr>
        <w:trPr>
          <w:trHeight w:val="180"/>
        </w:trPr>
        <w:tc>
          <w:tcPr>
            <w:tcW w:w="334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32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INNV</w:t>
            </w:r>
          </w:p>
        </w:tc>
        <w:tc>
          <w:tcPr>
            <w:tcW w:w="34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 (Nasdaq</w:t>
            </w:r>
          </w:p>
        </w:tc>
      </w:tr>
      <w:tr>
        <w:trPr>
          <w:trHeight w:val="212"/>
        </w:trPr>
        <w:tc>
          <w:tcPr>
            <w:tcW w:w="3340" w:type="dxa"/>
            <w:vAlign w:val="bottom"/>
            <w:tcBorders>
              <w:left w:val="single" w:sz="8" w:color="auto"/>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Global Select Market)</w:t>
            </w:r>
          </w:p>
        </w:tc>
      </w:tr>
      <w:tr>
        <w:trPr>
          <w:trHeight w:val="100"/>
        </w:trPr>
        <w:tc>
          <w:tcPr>
            <w:tcW w:w="3340" w:type="dxa"/>
            <w:vAlign w:val="bottom"/>
            <w:tcBorders>
              <w:left w:val="single" w:sz="8" w:color="auto"/>
              <w:bottom w:val="single" w:sz="8" w:color="auto"/>
              <w:right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spacing w:after="0"/>
              <w:rPr>
                <w:sz w:val="8"/>
                <w:szCs w:val="8"/>
                <w:color w:val="auto"/>
              </w:rPr>
            </w:pPr>
          </w:p>
        </w:tc>
      </w:tr>
    </w:tbl>
    <w:p>
      <w:pPr>
        <w:spacing w:after="0" w:line="108" w:lineRule="exact"/>
        <w:rPr>
          <w:sz w:val="24"/>
          <w:szCs w:val="24"/>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4">
            <w:col w:w="1780" w:space="720"/>
            <w:col w:w="160" w:space="60"/>
            <w:col w:w="2540" w:space="720"/>
            <w:col w:w="3960"/>
          </w:cols>
          <w:pgMar w:left="980" w:top="661" w:right="97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2" w:lineRule="exact"/>
        <w:rPr>
          <w:sz w:val="24"/>
          <w:szCs w:val="24"/>
          <w:color w:val="auto"/>
        </w:rPr>
      </w:pPr>
    </w:p>
    <w:p>
      <w:pPr>
        <w:sectPr>
          <w:pgSz w:w="11900" w:h="16838" w:orient="portrait"/>
          <w:cols w:equalWidth="0" w:num="6">
            <w:col w:w="1780" w:space="720"/>
            <w:col w:w="160" w:space="60"/>
            <w:col w:w="2540" w:space="720"/>
            <w:col w:w="140" w:space="80"/>
            <w:col w:w="2800" w:space="720"/>
            <w:col w:w="220"/>
          </w:cols>
          <w:pgMar w:left="980" w:top="661" w:right="979" w:bottom="1440" w:gutter="0" w:footer="0" w:header="0"/>
          <w:type w:val="continuous"/>
        </w:sectPr>
      </w:pPr>
    </w:p>
    <w:p>
      <w:pPr>
        <w:ind w:right="2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700" w:right="1600" w:hanging="68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7, 2022, there were 135,570,008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749935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115570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69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800" w:type="dxa"/>
            <w:vAlign w:val="bottom"/>
            <w:gridSpan w:val="5"/>
          </w:tcPr>
          <w:p>
            <w:pPr>
              <w:spacing w:after="0"/>
              <w:rPr>
                <w:sz w:val="24"/>
                <w:szCs w:val="24"/>
                <w:color w:val="auto"/>
              </w:rPr>
            </w:pP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452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2022 (Unaudited) and June 30,</w:t>
            </w: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September 30,</w:t>
            </w:r>
          </w:p>
        </w:tc>
        <w:tc>
          <w:tcPr>
            <w:tcW w:w="22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w:t>
            </w: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 (Unaudited)</w:t>
            </w:r>
          </w:p>
        </w:tc>
        <w:tc>
          <w:tcPr>
            <w:tcW w:w="58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September 30,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as of September 30, 2022 (Unaudited)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800" w:type="dxa"/>
            <w:vAlign w:val="bottom"/>
            <w:gridSpan w:val="5"/>
          </w:tcPr>
          <w:p>
            <w:pPr>
              <w:spacing w:after="0"/>
              <w:rPr>
                <w:sz w:val="24"/>
                <w:szCs w:val="24"/>
                <w:color w:val="auto"/>
              </w:rPr>
            </w:pPr>
          </w:p>
        </w:tc>
        <w:tc>
          <w:tcPr>
            <w:tcW w:w="64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 w:type="dxa"/>
            <w:vAlign w:val="bottom"/>
            <w:tcBorders>
              <w:top w:val="single" w:sz="8" w:color="0000EE"/>
            </w:tcBorders>
            <w:gridSpan w:val="3"/>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00" w:type="dxa"/>
            <w:vAlign w:val="bottom"/>
            <w:gridSpan w:val="5"/>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58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00" w:type="dxa"/>
            <w:vAlign w:val="bottom"/>
            <w:gridSpan w:val="5"/>
          </w:tcPr>
          <w:p>
            <w:pPr>
              <w:spacing w:after="0"/>
              <w:rPr>
                <w:sz w:val="24"/>
                <w:szCs w:val="24"/>
                <w:color w:val="auto"/>
              </w:rPr>
            </w:pPr>
          </w:p>
        </w:tc>
        <w:tc>
          <w:tcPr>
            <w:tcW w:w="69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780" w:type="dxa"/>
            <w:vAlign w:val="bottom"/>
            <w:gridSpan w:val="4"/>
          </w:tcPr>
          <w:p>
            <w:pPr>
              <w:spacing w:after="0"/>
              <w:rPr>
                <w:sz w:val="24"/>
                <w:szCs w:val="24"/>
                <w:color w:val="auto"/>
              </w:rPr>
            </w:pPr>
          </w:p>
        </w:tc>
        <w:tc>
          <w:tcPr>
            <w:tcW w:w="69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0" w:type="dxa"/>
            <w:vAlign w:val="bottom"/>
            <w:tcBorders>
              <w:top w:val="single" w:sz="8" w:color="0000EE"/>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100" w:type="dxa"/>
            <w:vAlign w:val="bottom"/>
            <w:tcBorders>
              <w:top w:val="single" w:sz="8" w:color="0000EE"/>
            </w:tcBorders>
          </w:tcPr>
          <w:p>
            <w:pPr>
              <w:spacing w:after="0"/>
              <w:rPr>
                <w:sz w:val="24"/>
                <w:szCs w:val="24"/>
                <w:color w:val="auto"/>
              </w:rPr>
            </w:pPr>
          </w:p>
        </w:tc>
        <w:tc>
          <w:tcPr>
            <w:tcW w:w="550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1A.</w:t>
            </w:r>
          </w:p>
        </w:tc>
        <w:tc>
          <w:tcPr>
            <w:tcW w:w="69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gridSpan w:val="2"/>
          </w:tcPr>
          <w:p>
            <w:pPr>
              <w:spacing w:after="0"/>
              <w:rPr>
                <w:sz w:val="24"/>
                <w:szCs w:val="24"/>
                <w:color w:val="auto"/>
              </w:rPr>
            </w:pPr>
          </w:p>
        </w:tc>
        <w:tc>
          <w:tcPr>
            <w:tcW w:w="680" w:type="dxa"/>
            <w:vAlign w:val="bottom"/>
            <w:gridSpan w:val="3"/>
          </w:tcPr>
          <w:p>
            <w:pPr>
              <w:spacing w:after="0"/>
              <w:rPr>
                <w:sz w:val="24"/>
                <w:szCs w:val="24"/>
                <w:color w:val="auto"/>
              </w:rPr>
            </w:pPr>
          </w:p>
        </w:tc>
        <w:tc>
          <w:tcPr>
            <w:tcW w:w="69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800" w:type="dxa"/>
            <w:vAlign w:val="bottom"/>
            <w:gridSpan w:val="5"/>
          </w:tcPr>
          <w:p>
            <w:pPr>
              <w:spacing w:after="0"/>
              <w:rPr>
                <w:sz w:val="24"/>
                <w:szCs w:val="24"/>
                <w:color w:val="auto"/>
              </w:rPr>
            </w:pPr>
          </w:p>
        </w:tc>
        <w:tc>
          <w:tcPr>
            <w:tcW w:w="43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60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800" w:type="dxa"/>
            <w:vAlign w:val="bottom"/>
            <w:gridSpan w:val="5"/>
          </w:tcPr>
          <w:p>
            <w:pPr>
              <w:spacing w:after="0"/>
              <w:rPr>
                <w:sz w:val="24"/>
                <w:szCs w:val="24"/>
                <w:color w:val="auto"/>
              </w:rPr>
            </w:pPr>
          </w:p>
        </w:tc>
        <w:tc>
          <w:tcPr>
            <w:tcW w:w="23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62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80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4"/>
          </w:tcPr>
          <w:p>
            <w:pPr>
              <w:spacing w:after="0"/>
              <w:rPr>
                <w:sz w:val="24"/>
                <w:szCs w:val="24"/>
                <w:color w:val="auto"/>
              </w:rPr>
            </w:pPr>
          </w:p>
        </w:tc>
        <w:tc>
          <w:tcPr>
            <w:tcW w:w="518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800" w:type="dxa"/>
            <w:vAlign w:val="bottom"/>
            <w:gridSpan w:val="5"/>
          </w:tcPr>
          <w:p>
            <w:pPr>
              <w:spacing w:after="0"/>
              <w:rPr>
                <w:sz w:val="24"/>
                <w:szCs w:val="24"/>
                <w:color w:val="auto"/>
              </w:rPr>
            </w:pPr>
          </w:p>
        </w:tc>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6340" w:type="dxa"/>
            <w:vAlign w:val="bottom"/>
            <w:gridSpan w:val="18"/>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1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Exhibit Index</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on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212529"/>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Forward-looking statements may be identified by the fact that they do not relate strictly to historical or current facts and may include statements about our expectations with respect to current audits and legal proceedings and actions, relationships and discussions with regulatory agencies, our expectations with respect to correcting deficiencies raised in audits and other processes, and our expectations to increase the number of participants we serve, to grow enrollment and capacity within existing centers, to build de novo centers, and other similar statements. The forward-looking statements contained in this Quarterly Report on Form 10-Q are generally located in the material set forth under the heading “Management’s Discussion and Analysis of Financial Condition and Results of Operations,” included in Part I, Item 2, and “Risk Factors,” included in Part II, Item 1A,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95" w:lineRule="exact"/>
        <w:rPr>
          <w:sz w:val="20"/>
          <w:szCs w:val="20"/>
          <w:color w:val="auto"/>
        </w:rPr>
      </w:pPr>
    </w:p>
    <w:p>
      <w:pPr>
        <w:ind w:left="900" w:right="79" w:hanging="377"/>
        <w:spacing w:after="0" w:line="25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periodic inspections, reviews, audits and investigations under the federal and state government programs, including the sanctions currently in place on our centers in Colorado and in our Sacramento center in California and our ability to sufficiently cure any deficiencies identified by the respective federal and state government programs including with respect to the audits of our Albuquerque, New Mexico center and San Bernardino, California center;</w:t>
      </w:r>
    </w:p>
    <w:p>
      <w:pPr>
        <w:spacing w:after="0" w:line="3" w:lineRule="exact"/>
        <w:rPr>
          <w:rFonts w:ascii="Times New Roman" w:cs="Times New Roman" w:eastAsia="Times New Roman" w:hAnsi="Times New Roman"/>
          <w:sz w:val="18"/>
          <w:szCs w:val="18"/>
          <w:color w:val="auto"/>
        </w:rPr>
      </w:pPr>
    </w:p>
    <w:p>
      <w:pPr>
        <w:ind w:left="900" w:right="25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spacing w:after="0" w:line="1" w:lineRule="exact"/>
        <w:rPr>
          <w:rFonts w:ascii="Times New Roman" w:cs="Times New Roman" w:eastAsia="Times New Roman" w:hAnsi="Times New Roman"/>
          <w:sz w:val="18"/>
          <w:szCs w:val="18"/>
          <w:color w:val="auto"/>
        </w:rPr>
      </w:pPr>
    </w:p>
    <w:p>
      <w:pPr>
        <w:ind w:left="900" w:right="33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w:t>
      </w:r>
    </w:p>
    <w:p>
      <w:pPr>
        <w:spacing w:after="0" w:line="9" w:lineRule="exact"/>
        <w:rPr>
          <w:rFonts w:ascii="Times New Roman" w:cs="Times New Roman" w:eastAsia="Times New Roman" w:hAnsi="Times New Roman"/>
          <w:sz w:val="18"/>
          <w:szCs w:val="18"/>
          <w:color w:val="auto"/>
        </w:rPr>
      </w:pPr>
    </w:p>
    <w:p>
      <w:pPr>
        <w:ind w:left="900" w:right="107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rules governing the Medicare, Medicaid or PACE programs or applicable licensure requirements;</w:t>
      </w:r>
    </w:p>
    <w:p>
      <w:pPr>
        <w:ind w:left="900" w:right="53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business strategy and our ability to realize expected results;</w:t>
      </w:r>
    </w:p>
    <w:p>
      <w:pPr>
        <w:spacing w:after="0" w:line="9" w:lineRule="exact"/>
        <w:rPr>
          <w:rFonts w:ascii="Times New Roman" w:cs="Times New Roman" w:eastAsia="Times New Roman" w:hAnsi="Times New Roman"/>
          <w:sz w:val="18"/>
          <w:szCs w:val="18"/>
          <w:color w:val="auto"/>
        </w:rPr>
      </w:pPr>
    </w:p>
    <w:p>
      <w:pPr>
        <w:ind w:left="900" w:right="77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capitation agreements with government payors;</w:t>
      </w: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an economic downturn</w:t>
      </w:r>
    </w:p>
    <w:p>
      <w:pPr>
        <w:spacing w:after="0" w:line="9" w:lineRule="exact"/>
        <w:rPr>
          <w:rFonts w:ascii="Times New Roman" w:cs="Times New Roman" w:eastAsia="Times New Roman" w:hAnsi="Times New Roman"/>
          <w:sz w:val="18"/>
          <w:szCs w:val="18"/>
          <w:color w:val="auto"/>
        </w:rPr>
      </w:pPr>
    </w:p>
    <w:p>
      <w:pPr>
        <w:ind w:left="900" w:right="57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pandemic, epidemic or outbreak of an infectious disease, including the ongoing effects of COVID-19;</w:t>
      </w: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 on our business;</w:t>
      </w:r>
    </w:p>
    <w:p>
      <w:pPr>
        <w:spacing w:after="0" w:line="9" w:lineRule="exact"/>
        <w:rPr>
          <w:rFonts w:ascii="Times New Roman" w:cs="Times New Roman" w:eastAsia="Times New Roman" w:hAnsi="Times New Roman"/>
          <w:sz w:val="18"/>
          <w:szCs w:val="18"/>
          <w:color w:val="auto"/>
        </w:rPr>
      </w:pPr>
    </w:p>
    <w:p>
      <w:pPr>
        <w:ind w:left="900" w:right="499" w:hanging="377"/>
        <w:spacing w:after="0" w:line="25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sustained material price increases on supplies or limitations on our ability to access new technology or medical products;</w:t>
      </w:r>
    </w:p>
    <w:p>
      <w:pPr>
        <w:ind w:left="900" w:right="79" w:hanging="377"/>
        <w:spacing w:after="0" w:line="26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relatively limited operating history as a for-profit company on investors’ ability to evaluate our current business and future prospects;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00" w:right="119" w:hanging="377"/>
        <w:spacing w:after="0" w:line="25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or attract new participants and grow our revenue, especially as a result of the sanctions currently in place on our centers in Colorado and in our Sacramento center in California and actions from other states;</w:t>
      </w:r>
    </w:p>
    <w:p>
      <w:pPr>
        <w:spacing w:after="0" w:line="1"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presence in Colorado;</w:t>
      </w:r>
    </w:p>
    <w:p>
      <w:pPr>
        <w:spacing w:after="0" w:line="9" w:lineRule="exact"/>
        <w:rPr>
          <w:rFonts w:ascii="Times New Roman" w:cs="Times New Roman" w:eastAsia="Times New Roman" w:hAnsi="Times New Roman"/>
          <w:sz w:val="18"/>
          <w:szCs w:val="18"/>
          <w:color w:val="auto"/>
        </w:rPr>
      </w:pPr>
    </w:p>
    <w:p>
      <w:pPr>
        <w:ind w:left="900" w:right="15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execute our business plan, maintain effective levels of service and participant satisfaction and adequately address competitive challenges;</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w:t>
      </w:r>
    </w:p>
    <w:p>
      <w:pPr>
        <w:spacing w:after="0" w:line="9" w:lineRule="exact"/>
        <w:rPr>
          <w:rFonts w:ascii="Times New Roman" w:cs="Times New Roman" w:eastAsia="Times New Roman" w:hAnsi="Times New Roman"/>
          <w:sz w:val="18"/>
          <w:szCs w:val="18"/>
          <w:color w:val="auto"/>
        </w:rPr>
      </w:pPr>
    </w:p>
    <w:p>
      <w:pPr>
        <w:ind w:left="900" w:right="47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presence in new geographic markets, especially as a result of the actions taken by certain states and us in light of our ongoing audit processes;</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for physicians and other clinical personnel and related increases in our labor costs;</w:t>
      </w:r>
    </w:p>
    <w:p>
      <w:pPr>
        <w:spacing w:after="0" w:line="9" w:lineRule="exact"/>
        <w:rPr>
          <w:rFonts w:ascii="Times New Roman" w:cs="Times New Roman" w:eastAsia="Times New Roman" w:hAnsi="Times New Roman"/>
          <w:sz w:val="18"/>
          <w:szCs w:val="18"/>
          <w:color w:val="auto"/>
        </w:rPr>
      </w:pPr>
    </w:p>
    <w:p>
      <w:pPr>
        <w:ind w:left="900" w:right="35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causing the compromise of sensitive information or preventing us from accessing critical information;</w:t>
      </w:r>
    </w:p>
    <w:p>
      <w:pPr>
        <w:ind w:left="900" w:right="67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invest in, implement improvements to and properly maintain the uninterrupted operation and data integrity of our information technology and other business systems;</w:t>
      </w:r>
    </w:p>
    <w:p>
      <w:pPr>
        <w:ind w:left="900" w:right="93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use of “open-source” software;</w:t>
      </w:r>
    </w:p>
    <w:p>
      <w:pPr>
        <w:spacing w:after="0" w:line="9" w:lineRule="exact"/>
        <w:rPr>
          <w:rFonts w:ascii="Times New Roman" w:cs="Times New Roman" w:eastAsia="Times New Roman" w:hAnsi="Times New Roman"/>
          <w:sz w:val="18"/>
          <w:szCs w:val="18"/>
          <w:color w:val="auto"/>
        </w:rPr>
      </w:pPr>
    </w:p>
    <w:p>
      <w:pPr>
        <w:ind w:left="900" w:right="41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publicity regarding the managed healthcare industry;</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and other factors beyond our control;</w:t>
      </w:r>
    </w:p>
    <w:p>
      <w:pPr>
        <w:spacing w:after="0" w:line="9" w:lineRule="exact"/>
        <w:rPr>
          <w:rFonts w:ascii="Times New Roman" w:cs="Times New Roman" w:eastAsia="Times New Roman" w:hAnsi="Times New Roman"/>
          <w:sz w:val="18"/>
          <w:szCs w:val="18"/>
          <w:color w:val="auto"/>
        </w:rPr>
      </w:pPr>
    </w:p>
    <w:p>
      <w:pPr>
        <w:ind w:left="900" w:right="47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CCPA and other privacy laws and regulations in the healthcare industry;</w:t>
      </w:r>
    </w:p>
    <w:p>
      <w:pPr>
        <w:spacing w:after="0" w:line="1"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9" w:lineRule="exact"/>
        <w:rPr>
          <w:rFonts w:ascii="Times New Roman" w:cs="Times New Roman" w:eastAsia="Times New Roman" w:hAnsi="Times New Roman"/>
          <w:sz w:val="18"/>
          <w:szCs w:val="18"/>
          <w:color w:val="auto"/>
        </w:rPr>
      </w:pPr>
    </w:p>
    <w:p>
      <w:pPr>
        <w:ind w:left="900" w:right="259" w:hanging="377"/>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 and other enhanced requirements of being a public company;</w:t>
      </w: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reputation and brand recognition;</w:t>
      </w:r>
    </w:p>
    <w:p>
      <w:pPr>
        <w:spacing w:after="0" w:line="9" w:lineRule="exact"/>
        <w:rPr>
          <w:rFonts w:ascii="Times New Roman" w:cs="Times New Roman" w:eastAsia="Times New Roman" w:hAnsi="Times New Roman"/>
          <w:sz w:val="18"/>
          <w:szCs w:val="18"/>
          <w:color w:val="auto"/>
        </w:rPr>
      </w:pPr>
    </w:p>
    <w:p>
      <w:pPr>
        <w:ind w:left="900" w:hanging="37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business continuity planning;</w:t>
      </w:r>
    </w:p>
    <w:p>
      <w:pPr>
        <w:spacing w:after="0" w:line="9" w:lineRule="exact"/>
        <w:rPr>
          <w:rFonts w:ascii="Times New Roman" w:cs="Times New Roman" w:eastAsia="Times New Roman" w:hAnsi="Times New Roman"/>
          <w:sz w:val="18"/>
          <w:szCs w:val="18"/>
          <w:color w:val="auto"/>
        </w:rPr>
      </w:pPr>
    </w:p>
    <w:p>
      <w:pPr>
        <w:ind w:left="900" w:right="79" w:hanging="377"/>
        <w:spacing w:after="0" w:line="253" w:lineRule="auto"/>
        <w:tabs>
          <w:tab w:leader="none" w:pos="9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 guidance, resulting in unfavorable accounting charges or effects; and other factors disclosed in the section entitled “Risk Factors” in our Annual Report for the year ended June 30, 2022 filed with the Securities and Exchange Commission (the “SEC”) on September 13, 2022, as supplemented by our subsequent filings with the SEC.</w:t>
      </w:r>
    </w:p>
    <w:p>
      <w:pPr>
        <w:spacing w:after="0" w:line="200" w:lineRule="exact"/>
        <w:rPr>
          <w:sz w:val="20"/>
          <w:szCs w:val="20"/>
          <w:color w:val="auto"/>
        </w:rPr>
      </w:pPr>
    </w:p>
    <w:p>
      <w:pPr>
        <w:spacing w:after="0" w:line="31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212529"/>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written and oral forward-looking statements attributable to us, or persons acting on our behalf, are expressly qualified in their entirety by these cautionary statements as well as other cautionary statements that are made from time to time in our other public communications and filings with the SEC. You should evaluate all forward-looking statements made in this Quarterly Report on Form 10-Q in the context of these risks and uncertainties.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Unless otherwise specified or unless the context requires otherwise, all references in this Quarterly Report on Form 10-Q to “InnovAge,” “the Company,” “we,” “us,” and “our,” or similar references, refer to InnovAge Holding Corp. and our consolidated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60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188,222</w:t>
            </w: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184,429</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($4,264 – September 30, 2022 and $3,403 – June 30, 2022)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37,517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35,907</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13,842</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242,931</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240,956</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181,086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176,260</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5,493</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Deposits and other</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2,812</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124,217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124,217</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5,858</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342,049</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314,640</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584,980</w:t>
            </w:r>
          </w:p>
        </w:tc>
        <w:tc>
          <w:tcPr>
            <w:tcW w:w="2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555,596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50,858</w:t>
            </w:r>
          </w:p>
        </w:tc>
        <w:tc>
          <w:tcPr>
            <w:tcW w:w="260" w:type="dxa"/>
            <w:vAlign w:val="bottom"/>
          </w:tcPr>
          <w:p>
            <w:pPr>
              <w:spacing w:after="0"/>
              <w:rPr>
                <w:sz w:val="12"/>
                <w:szCs w:val="12"/>
                <w:color w:val="auto"/>
              </w:rPr>
            </w:pP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50,562</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Reported and estimated claims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35,974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38,454</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Due to Medicaid and Medicare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9,130</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23,361</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131,415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105,307</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tax liability, net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17,761</w:t>
            </w:r>
          </w:p>
        </w:tc>
        <w:tc>
          <w:tcPr>
            <w:tcW w:w="0" w:type="dxa"/>
            <w:vAlign w:val="bottom"/>
          </w:tcPr>
          <w:p>
            <w:pPr>
              <w:spacing w:after="0"/>
              <w:rPr>
                <w:sz w:val="1"/>
                <w:szCs w:val="1"/>
                <w:color w:val="auto"/>
              </w:rPr>
            </w:pPr>
          </w:p>
        </w:tc>
      </w:tr>
      <w:tr>
        <w:trPr>
          <w:trHeight w:val="149"/>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Finance lease obligations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8,792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9,440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obligations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20,725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Long-term debt, net of debt issuance costs</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67,369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68,210</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243,726</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201,852</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(See Note 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Redeemable Noncontrolling Interests (See Note 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15,278</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06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Common stock, $0.001 par value; 500,000,000 authorized as of September 30, 2022 and June 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2022; 135,570,078 and 135,532,811 issued shares as of September 30, 2022 and June 30, 2022,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71"/>
        </w:trPr>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328,708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327,499</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Retained earnings (deficit)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4,729</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Total InnovAge Holding Corp.</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320,500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332,364</w:t>
            </w:r>
          </w:p>
        </w:tc>
        <w:tc>
          <w:tcPr>
            <w:tcW w:w="0" w:type="dxa"/>
            <w:vAlign w:val="bottom"/>
          </w:tcPr>
          <w:p>
            <w:pPr>
              <w:spacing w:after="0"/>
              <w:rPr>
                <w:sz w:val="1"/>
                <w:szCs w:val="1"/>
                <w:color w:val="auto"/>
              </w:rPr>
            </w:pPr>
          </w:p>
        </w:tc>
      </w:tr>
      <w:tr>
        <w:trPr>
          <w:trHeight w:val="149"/>
        </w:trPr>
        <w:tc>
          <w:tcPr>
            <w:tcW w:w="60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6,020</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6,102</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326,520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338,466</w:t>
            </w:r>
          </w:p>
        </w:tc>
        <w:tc>
          <w:tcPr>
            <w:tcW w:w="0" w:type="dxa"/>
            <w:vAlign w:val="bottom"/>
          </w:tcPr>
          <w:p>
            <w:pPr>
              <w:spacing w:after="0"/>
              <w:rPr>
                <w:sz w:val="1"/>
                <w:szCs w:val="1"/>
                <w:color w:val="auto"/>
              </w:rPr>
            </w:pPr>
          </w:p>
        </w:tc>
      </w:tr>
      <w:tr>
        <w:trPr>
          <w:trHeight w:val="142"/>
        </w:trPr>
        <w:tc>
          <w:tcPr>
            <w:tcW w:w="606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584,980</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555,596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ind w:left="1500" w:right="2160"/>
        <w:spacing w:after="0" w:line="26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thousands, except number of shares and per share data) (Unaudited)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Capitation revenue</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170,931</w:t>
            </w:r>
          </w:p>
        </w:tc>
        <w:tc>
          <w:tcPr>
            <w:tcW w:w="260" w:type="dxa"/>
            <w:vAlign w:val="bottom"/>
          </w:tcPr>
          <w:p>
            <w:pPr>
              <w:spacing w:after="0"/>
              <w:rPr>
                <w:sz w:val="18"/>
                <w:szCs w:val="18"/>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service revenue</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171,218</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173,070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External provider costs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InnovAge Holding Corp.</w:t>
            </w:r>
          </w:p>
        </w:tc>
        <w:tc>
          <w:tcPr>
            <w:tcW w:w="3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135,566,117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135,566,117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135,516,513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 basic</w:t>
            </w:r>
          </w:p>
        </w:tc>
        <w:tc>
          <w:tcPr>
            <w:tcW w:w="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 diluted</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28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0" w:type="dxa"/>
            <w:vAlign w:val="bottom"/>
            <w:tcBorders>
              <w:bottom w:val="single" w:sz="8" w:color="auto"/>
            </w:tcBorders>
            <w:gridSpan w:val="4"/>
            <w:vMerge w:val="continue"/>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 Net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3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7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300" w:type="dxa"/>
            <w:vAlign w:val="bottom"/>
            <w:gridSpan w:val="2"/>
            <w:vMerge w:val="continue"/>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135,516,513</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$ 323,760</w:t>
            </w:r>
          </w:p>
        </w:tc>
        <w:tc>
          <w:tcPr>
            <w:tcW w:w="40" w:type="dxa"/>
            <w:vAlign w:val="bottom"/>
          </w:tcPr>
          <w:p>
            <w:pPr>
              <w:spacing w:after="0"/>
              <w:rPr>
                <w:sz w:val="23"/>
                <w:szCs w:val="23"/>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$ 10,663</w:t>
            </w:r>
          </w:p>
        </w:tc>
        <w:tc>
          <w:tcPr>
            <w:tcW w:w="80" w:type="dxa"/>
            <w:vAlign w:val="bottom"/>
          </w:tcPr>
          <w:p>
            <w:pPr>
              <w:spacing w:after="0"/>
              <w:rPr>
                <w:sz w:val="23"/>
                <w:szCs w:val="23"/>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40" w:type="dxa"/>
            <w:vAlign w:val="bottom"/>
          </w:tcPr>
          <w:p>
            <w:pPr>
              <w:spacing w:after="0"/>
              <w:rPr>
                <w:sz w:val="23"/>
                <w:szCs w:val="23"/>
                <w:color w:val="auto"/>
              </w:rPr>
            </w:pP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340,979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16,986</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7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Stock-based</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vMerge w:val="restart"/>
            <w:shd w:val="clear" w:color="auto" w:fill="CCEEFF"/>
          </w:tcPr>
          <w:p>
            <w:pPr>
              <w:spacing w:after="0"/>
              <w:rPr>
                <w:sz w:val="6"/>
                <w:szCs w:val="6"/>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vMerge w:val="restart"/>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Adjustments to</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0"/>
                <w:szCs w:val="10"/>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redemption value</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7,686</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7,624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135,516,513</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$ 324,718</w:t>
            </w:r>
          </w:p>
        </w:tc>
        <w:tc>
          <w:tcPr>
            <w:tcW w:w="40" w:type="dxa"/>
            <w:vAlign w:val="bottom"/>
          </w:tcPr>
          <w:p>
            <w:pPr>
              <w:spacing w:after="0"/>
              <w:rPr>
                <w:sz w:val="9"/>
                <w:szCs w:val="9"/>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$ 18,936</w:t>
            </w:r>
          </w:p>
        </w:tc>
        <w:tc>
          <w:tcPr>
            <w:tcW w:w="80" w:type="dxa"/>
            <w:vAlign w:val="bottom"/>
          </w:tcPr>
          <w:p>
            <w:pPr>
              <w:spacing w:after="0"/>
              <w:rPr>
                <w:sz w:val="9"/>
                <w:szCs w:val="9"/>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6,326</w:t>
            </w:r>
          </w:p>
        </w:tc>
        <w:tc>
          <w:tcPr>
            <w:tcW w:w="40" w:type="dxa"/>
            <w:vAlign w:val="bottom"/>
          </w:tcPr>
          <w:p>
            <w:pPr>
              <w:spacing w:after="0"/>
              <w:rPr>
                <w:sz w:val="9"/>
                <w:szCs w:val="9"/>
                <w:color w:val="auto"/>
              </w:rPr>
            </w:pP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350,116</w:t>
            </w:r>
          </w:p>
        </w:tc>
        <w:tc>
          <w:tcPr>
            <w:tcW w:w="40" w:type="dxa"/>
            <w:vAlign w:val="bottom"/>
          </w:tcPr>
          <w:p>
            <w:pPr>
              <w:spacing w:after="0"/>
              <w:rPr>
                <w:sz w:val="9"/>
                <w:szCs w:val="9"/>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16,431</w:t>
            </w:r>
          </w:p>
        </w:tc>
        <w:tc>
          <w:tcPr>
            <w:tcW w:w="80" w:type="dxa"/>
            <w:vAlign w:val="bottom"/>
          </w:tcPr>
          <w:p>
            <w:pPr>
              <w:spacing w:after="0"/>
              <w:rPr>
                <w:sz w:val="9"/>
                <w:szCs w:val="9"/>
                <w:color w:val="auto"/>
              </w:rPr>
            </w:pPr>
          </w:p>
        </w:tc>
        <w:tc>
          <w:tcPr>
            <w:tcW w:w="7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0"/>
        </w:trPr>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28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0" w:type="dxa"/>
            <w:vAlign w:val="bottom"/>
            <w:tcBorders>
              <w:bottom w:val="single" w:sz="8" w:color="auto"/>
            </w:tcBorders>
            <w:gridSpan w:val="4"/>
            <w:vMerge w:val="continue"/>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 Net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3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7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
        </w:trPr>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300" w:type="dxa"/>
            <w:vAlign w:val="bottom"/>
            <w:gridSpan w:val="2"/>
            <w:vMerge w:val="continue"/>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135,532,811</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$ 327,499</w:t>
            </w:r>
          </w:p>
        </w:tc>
        <w:tc>
          <w:tcPr>
            <w:tcW w:w="40" w:type="dxa"/>
            <w:vAlign w:val="bottom"/>
          </w:tcPr>
          <w:p>
            <w:pPr>
              <w:spacing w:after="0"/>
              <w:rPr>
                <w:sz w:val="23"/>
                <w:szCs w:val="23"/>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80" w:type="dxa"/>
            <w:vAlign w:val="bottom"/>
          </w:tcPr>
          <w:p>
            <w:pPr>
              <w:spacing w:after="0"/>
              <w:rPr>
                <w:sz w:val="23"/>
                <w:szCs w:val="23"/>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40" w:type="dxa"/>
            <w:vAlign w:val="bottom"/>
          </w:tcPr>
          <w:p>
            <w:pPr>
              <w:spacing w:after="0"/>
              <w:rPr>
                <w:sz w:val="23"/>
                <w:szCs w:val="23"/>
                <w:color w:val="auto"/>
              </w:rPr>
            </w:pP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338,466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15,278</w:t>
            </w: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7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auto"/>
              </w:rPr>
              <w:t>Stock-based</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37,267</w:t>
            </w: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vMerge w:val="restart"/>
            <w:shd w:val="clear" w:color="auto" w:fill="CCEEFF"/>
          </w:tcPr>
          <w:p>
            <w:pPr>
              <w:spacing w:after="0"/>
              <w:rPr>
                <w:sz w:val="6"/>
                <w:szCs w:val="6"/>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vMerge w:val="restart"/>
            <w:shd w:val="clear" w:color="auto" w:fill="CCEEFF"/>
          </w:tcPr>
          <w:p>
            <w:pPr>
              <w:spacing w:after="0"/>
              <w:rPr>
                <w:sz w:val="6"/>
                <w:szCs w:val="6"/>
                <w:color w:val="auto"/>
              </w:rPr>
            </w:pPr>
          </w:p>
        </w:tc>
        <w:tc>
          <w:tcPr>
            <w:tcW w:w="70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7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Adjustments to</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redemption value</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(13,073)</w:t>
            </w:r>
          </w:p>
        </w:tc>
        <w:tc>
          <w:tcPr>
            <w:tcW w:w="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8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135,570,078</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$ 328,708</w:t>
            </w:r>
          </w:p>
        </w:tc>
        <w:tc>
          <w:tcPr>
            <w:tcW w:w="40" w:type="dxa"/>
            <w:vAlign w:val="bottom"/>
          </w:tcPr>
          <w:p>
            <w:pPr>
              <w:spacing w:after="0"/>
              <w:rPr>
                <w:sz w:val="9"/>
                <w:szCs w:val="9"/>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(8,344)</w:t>
            </w:r>
          </w:p>
        </w:tc>
        <w:tc>
          <w:tcPr>
            <w:tcW w:w="80" w:type="dxa"/>
            <w:vAlign w:val="bottom"/>
          </w:tcPr>
          <w:p>
            <w:pPr>
              <w:spacing w:after="0"/>
              <w:rPr>
                <w:sz w:val="9"/>
                <w:szCs w:val="9"/>
                <w:color w:val="auto"/>
              </w:rPr>
            </w:pPr>
          </w:p>
        </w:tc>
        <w:tc>
          <w:tcPr>
            <w:tcW w:w="4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40" w:type="dxa"/>
            <w:vAlign w:val="bottom"/>
          </w:tcPr>
          <w:p>
            <w:pPr>
              <w:spacing w:after="0"/>
              <w:rPr>
                <w:sz w:val="9"/>
                <w:szCs w:val="9"/>
                <w:color w:val="auto"/>
              </w:rPr>
            </w:pP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326,520</w:t>
            </w:r>
          </w:p>
        </w:tc>
        <w:tc>
          <w:tcPr>
            <w:tcW w:w="40" w:type="dxa"/>
            <w:vAlign w:val="bottom"/>
          </w:tcPr>
          <w:p>
            <w:pPr>
              <w:spacing w:after="0"/>
              <w:rPr>
                <w:sz w:val="9"/>
                <w:szCs w:val="9"/>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14,734</w:t>
            </w:r>
          </w:p>
        </w:tc>
        <w:tc>
          <w:tcPr>
            <w:tcW w:w="80" w:type="dxa"/>
            <w:vAlign w:val="bottom"/>
          </w:tcPr>
          <w:p>
            <w:pPr>
              <w:spacing w:after="0"/>
              <w:rPr>
                <w:sz w:val="9"/>
                <w:szCs w:val="9"/>
                <w:color w:val="auto"/>
              </w:rPr>
            </w:pPr>
          </w:p>
        </w:tc>
        <w:tc>
          <w:tcPr>
            <w:tcW w:w="70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0"/>
        </w:trPr>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78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860"/>
          </w:cols>
          <w:pgMar w:left="1220" w:top="513" w:right="81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96"/>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520" w:type="dxa"/>
            <w:vAlign w:val="bottom"/>
            <w:gridSpan w:val="2"/>
            <w:shd w:val="clear" w:color="auto" w:fill="CCEEFF"/>
          </w:tcPr>
          <w:p>
            <w:pPr>
              <w:jc w:val="right"/>
              <w:ind w:right="1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(13,699)</w:t>
            </w:r>
          </w:p>
        </w:tc>
        <w:tc>
          <w:tcPr>
            <w:tcW w:w="5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(Gain) Loss on disposal of assets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uncollectible accounts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3,433</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Deposits and other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Reported and estimated claims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Due to Medicaid and Medicare</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23,361</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13,127</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cost method investment</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(7,666)</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for finance lease obligations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Principal payments on long-term debt</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(948)</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(1,668)</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INCREASE IN CASH, CASH EQUIVALENTS &amp; RESTRICTED CASH</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184,446</w:t>
            </w:r>
          </w:p>
        </w:tc>
        <w:tc>
          <w:tcPr>
            <w:tcW w:w="2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203,700</w:t>
            </w:r>
          </w:p>
        </w:tc>
        <w:tc>
          <w:tcPr>
            <w:tcW w:w="0" w:type="dxa"/>
            <w:vAlign w:val="bottom"/>
          </w:tcPr>
          <w:p>
            <w:pPr>
              <w:spacing w:after="0"/>
              <w:rPr>
                <w:sz w:val="1"/>
                <w:szCs w:val="1"/>
                <w:color w:val="auto"/>
              </w:rPr>
            </w:pPr>
          </w:p>
        </w:tc>
      </w:tr>
      <w:tr>
        <w:trPr>
          <w:trHeight w:val="182"/>
        </w:trPr>
        <w:tc>
          <w:tcPr>
            <w:tcW w:w="5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260" w:type="dxa"/>
            <w:vAlign w:val="bottom"/>
          </w:tcPr>
          <w:p>
            <w:pPr>
              <w:spacing w:after="0"/>
              <w:rPr>
                <w:sz w:val="15"/>
                <w:szCs w:val="15"/>
                <w:color w:val="auto"/>
              </w:rPr>
            </w:pPr>
          </w:p>
        </w:tc>
        <w:tc>
          <w:tcPr>
            <w:tcW w:w="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188,239</w:t>
            </w:r>
          </w:p>
        </w:tc>
        <w:tc>
          <w:tcPr>
            <w:tcW w:w="24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217,765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520" w:type="dxa"/>
            <w:vAlign w:val="bottom"/>
            <w:gridSpan w:val="2"/>
            <w:shd w:val="clear" w:color="auto" w:fill="CCEEFF"/>
          </w:tcPr>
          <w:p>
            <w:pPr>
              <w:jc w:val="right"/>
              <w:ind w:right="1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5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520" w:type="dxa"/>
            <w:vAlign w:val="bottom"/>
            <w:gridSpan w:val="2"/>
          </w:tcPr>
          <w:p>
            <w:pPr>
              <w:jc w:val="right"/>
              <w:ind w:right="1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52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520" w:type="dxa"/>
            <w:vAlign w:val="bottom"/>
            <w:gridSpan w:val="2"/>
            <w:shd w:val="clear" w:color="auto" w:fill="CCEEFF"/>
          </w:tcPr>
          <w:p>
            <w:pPr>
              <w:jc w:val="right"/>
              <w:ind w:right="1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w:t>
            </w:r>
          </w:p>
        </w:tc>
        <w:tc>
          <w:tcPr>
            <w:tcW w:w="5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Property and equipment purchased under finance leases</w:t>
            </w:r>
          </w:p>
        </w:tc>
        <w:tc>
          <w:tcPr>
            <w:tcW w:w="520" w:type="dxa"/>
            <w:vAlign w:val="bottom"/>
            <w:gridSpan w:val="2"/>
          </w:tcPr>
          <w:p>
            <w:pPr>
              <w:jc w:val="right"/>
              <w:ind w:right="13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Business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InnovAge Holding Corp. and its subsidiaries, are headquartered in Denver, Colorado. The Company manages,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served approximately 6,540 PACE participants, making it the largest PACE provider in the United States of America (the “U.S.”) based upon participants served, and operates 18 PACE centers across Colorado, California, New Mexico, Pennsylvania and Virginia.</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InnovAge is obligated to provide, and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Nasdaq Stock Market LLC (“NASDAQ”) under the ticker symbol “INNV.”</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described its significant accounting policies in Note 2, “Summary of Significant Accounting Policies” of the Notes to Consolidated Financial Statements in its Annual Report on Form 10-K for the year ended June 30, 2022 (“2022 10-K”). With the exception of Recently Adopted Accounting Pronouncements described below, there were no significant changes to those accounting policies during the three months ended September 30,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2022. In the opinion of management, all adjustments (consisting of all normal and recurring adjustments) considered necessary for a fair presentation have been included. The condensed consolidated financial statements include the accounts of InnovAge, its wholly owned subsidiaries, variable interest entities (“VIEs”)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which it is the primary beneficiary and entities for which it has a controlling interest. All intercompany accounts and transactions have been eliminated in consolidation.</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comprehensive income and comprehensive income is equal to net income (loss) reported in the statements of operations for all periods presented.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September 30, 2022 and June 30, 2022:</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73"/>
        </w:trPr>
        <w:tc>
          <w:tcPr>
            <w:tcW w:w="3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- 40 years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vehicles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Depreciation of $3.1 million and $3.1 million was recorded during the three months ended September 30, 2022 and 2021,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was intended to increase transparency and comparability among organizations by recognizing lease assets and liabilities on the balance sheet and disclosing key information about leasing arrangements. Under the new guidance, lessees are required to recognize a right-of-use (“ROU”) asset and a lease liability, measured on a discounted basis, at the commencement date for all leases with terms greater than 12 months. Additionally, this guidance requires enhanced disclosures to help investors and other financial statement users to better understand the amount, timing, and uncertainty of cash flows arising from leases, including qualitative and quantitative requirements. In June 2020, the FASB issued ASU 2020-05 </w:t>
      </w:r>
      <w:r>
        <w:rPr>
          <w:rFonts w:ascii="Times New Roman" w:cs="Times New Roman" w:eastAsia="Times New Roman" w:hAnsi="Times New Roman"/>
          <w:sz w:val="18"/>
          <w:szCs w:val="18"/>
          <w:i w:val="1"/>
          <w:iCs w:val="1"/>
          <w:color w:val="auto"/>
        </w:rPr>
        <w:t>Revenue from contracts with customers (Topic 606) and leases (Topic 842) – Effective dates for certain entities</w:t>
      </w:r>
      <w:r>
        <w:rPr>
          <w:rFonts w:ascii="Times New Roman" w:cs="Times New Roman" w:eastAsia="Times New Roman" w:hAnsi="Times New Roman"/>
          <w:sz w:val="18"/>
          <w:szCs w:val="18"/>
          <w:color w:val="auto"/>
        </w:rPr>
        <w:t xml:space="preserve"> which deferred the new lease standard effective date for the Company to interim periods beginning after December 15, 2022, with early adoption permitted.</w:t>
      </w:r>
    </w:p>
    <w:p>
      <w:pPr>
        <w:spacing w:after="0" w:line="18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adopted the new standard on July 1, 2022 using the modified retrospective transition approach as permitted in ASU 2018-11. In accordance with this approach, the effective date of Topic 842 is also the application date of the new requirements, with prior comparative periods presented in the financial statements with the legacy requirements of ASC Topic 840, Leases. We elected the package of practical expedients which permits us not to reassess under the new lease standard our prior conclusions for lease identification and lease classification on expired or existing contracts and whether initial direct costs previously capitalized would qualify for capitalization under the new lease standard. We also elected to adopt the optional transition method which allows an entity to recognize, if necessary, a cumulative-effect adjustment to the opening balance of retained earnings in the period of adoption. The Company did not elect the practical expedient to use hindsight in determining the lease term and in assessing impairment conclusions on the ROU assets. Comparative periods presented in the financial statements continue to be presented in accordance with GAAP related to leases prior to transitioning to the new lease standard. The adoption of Topic 842 resulted in the recognition of operating lease liabilities and ROU assets of $25.1 million and $23.6 million, respectively, while our accounting for capital leases (now referred to as finance leases) remained substantially unchanged. The impact of adopting Topic 842 was not material to our Statements of Operations and Statements of Cash Flows. See Note 7,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April 2019, the FASB issued ASU 2019-04, </w:t>
      </w:r>
      <w:r>
        <w:rPr>
          <w:rFonts w:ascii="Times New Roman" w:cs="Times New Roman" w:eastAsia="Times New Roman" w:hAnsi="Times New Roman"/>
          <w:sz w:val="18"/>
          <w:szCs w:val="18"/>
          <w:i w:val="1"/>
          <w:iCs w:val="1"/>
          <w:color w:val="auto"/>
        </w:rPr>
        <w:t>Codification Improvements to Topic 326,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815, Derivatives and Hedging, and Topic 825, Financial Instruments (</w:t>
      </w:r>
      <w:r>
        <w:rPr>
          <w:rFonts w:ascii="Times New Roman" w:cs="Times New Roman" w:eastAsia="Times New Roman" w:hAnsi="Times New Roman"/>
          <w:sz w:val="18"/>
          <w:szCs w:val="18"/>
          <w:color w:val="auto"/>
        </w:rPr>
        <w:t>“ASU 2019-04”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ASU 2019-04 is effective for the Company for fiscal years beginning after December 15, 2022, including interim periods within those fiscal years. The Company will adopt this guidance for the annual and interim reporting periods beginning July 1, 2023. The Company has not determined the effect of the standard on its condensed consolidated financial statements.</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that any other recently issued accounting guidance will have a significant effect on our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performed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three months ended:</w:t>
      </w:r>
    </w:p>
    <w:p>
      <w:pPr>
        <w:spacing w:after="0" w:line="327"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66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Medicaid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pay and other</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13% and 12% of capitation revenues for the three months ended September 30, 2022 and 2021, respectively.</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accounts receivable as of September 30, 2022 and June 30, 2022 is primarily from capitation revenue arrangements. The concentration of net receivables from participants and third-party payers was as follows:</w:t>
      </w:r>
    </w:p>
    <w:p>
      <w:pPr>
        <w:spacing w:after="0" w:line="23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9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Medicaid</w:t>
            </w:r>
          </w:p>
        </w:tc>
        <w:tc>
          <w:tcPr>
            <w:tcW w:w="19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pay and other</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0"/>
        </w:trPr>
        <w:tc>
          <w:tcPr>
            <w:tcW w:w="20" w:type="dxa"/>
            <w:vAlign w:val="bottom"/>
          </w:tcPr>
          <w:p>
            <w:pPr>
              <w:spacing w:after="0"/>
              <w:rPr>
                <w:sz w:val="18"/>
                <w:szCs w:val="18"/>
                <w:color w:val="auto"/>
              </w:rPr>
            </w:pP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$4.3 million as of September 30, 2022, compared to $3.4 million as of June 30, 2022. Accounts are written off as bad debts when they are deemed uncollectible based upon individual credit evaluations and specific circumstances underlying the accounts.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service revenue is comprised of rents earned related to Senior Housing and other fee for service revenue. Other service revenue was 0.2% and 0.3% of total revenue for the three months ended September 30, 2022 and 2021, respectively. Accounts receivable related to other service revenue was not significant as of both September 30, 2022 and June 30, 2022.</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holds equity method and cost method investments as of:</w:t>
      </w:r>
    </w:p>
    <w:p>
      <w:pPr>
        <w:spacing w:after="0" w:line="30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3"/>
                <w:szCs w:val="13"/>
                <w:color w:val="auto"/>
              </w:rPr>
            </w:pP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38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Nonconsolidated Entities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three months ended September 30, 2022 and 2021, there were no observable price changes or impairments recorded.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Jetdoc</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August 2021, the Company acquired a minority interest equal to 806,481 shares of the outstanding common</w:t>
      </w:r>
    </w:p>
    <w:p>
      <w:pPr>
        <w:spacing w:after="0" w:line="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DispatchHealth</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The balance of the Company’s investment is $2.6 million which represents the maximum exposure to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Pinewood Lodge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operations include a Senior Housing unit that primarily includes the accounts of Continental Community Housing (“CCH”), the general partner of Pinewood Lodge, LLP (“ PWD”) which was organized to develop, construct, own, maintain, and operate certain apartment complexes intended for rental to low-income elderly individuals aged 62 or older.</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The equity earnings of PWD are insignificant. As of September 30, 2022, the balance of the Company’s investment in PWD is $0.8 million which represents the maximum exposure to loss.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 and 13.7%, respectively. In fiscal year 2021, the Company made an additional contribution of $52,000 and obtained an additional 0.1% membership interest in the joint venture, which resulted in the Company obtaining control and consolidating InnovAge Sacramento as of January 1, 2021.</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September 30, 2022, none of the conditions specified in the JV Agreement had been met. At the time the Company became a publicly traded company these put rights held by the noncontrolling interests of the joint venture were required to be presented as temporary equity. The redeemable noncontrolling interest of $14.7 million was recorded at carrying value as of September 30, 2022.</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221" w:lineRule="exact"/>
        <w:rPr>
          <w:sz w:val="20"/>
          <w:szCs w:val="20"/>
          <w:color w:val="auto"/>
        </w:rPr>
      </w:pPr>
    </w:p>
    <w:p>
      <w:pPr>
        <w:ind w:left="1800" w:right="79" w:hanging="890"/>
        <w:spacing w:after="0" w:line="282"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that the entity has the ability to access at the measurement date</w:t>
      </w:r>
    </w:p>
    <w:p>
      <w:pPr>
        <w:spacing w:after="0" w:line="162" w:lineRule="exact"/>
        <w:rPr>
          <w:sz w:val="20"/>
          <w:szCs w:val="20"/>
          <w:color w:val="auto"/>
        </w:rPr>
      </w:pPr>
    </w:p>
    <w:p>
      <w:pPr>
        <w:ind w:left="1800" w:right="79" w:hanging="890"/>
        <w:spacing w:after="0" w:line="282"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assets or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0" w:right="79" w:hanging="890"/>
        <w:spacing w:after="0" w:line="282"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to the valuation techniques that are significant to the fair value measurements of the assets or liabilities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September 30, 2022, the Company’s redeemable noncontrolling interest was recorded at carrying value of $14.7 million.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transfers in and out of Level 3 during the three months ended September 30, 2022 or 2021.</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Goodwill amounted to $124.2 million at each of September 30, 2022 and June 30, 2022. Goodwill is not amortized.</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Pursuant to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three months ended September 30, 2022 and 2021.</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Intangibles assets consisted of the following as of:</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80" w:type="dxa"/>
            <w:vAlign w:val="bottom"/>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382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1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acquired through business acquisitions. The Company recorded amortization expense of $0.2 million and $0.2 million for the three months ended September 30, 2022 and 2021, respectively.</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three months ended September 30, 2022 and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Arrangements as Lessee</w:t>
      </w:r>
    </w:p>
    <w:p>
      <w:pPr>
        <w:spacing w:after="0" w:line="227"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2022 through 2032. We determine if an arrangement is a lease upon commencement of the contract. If an arrangement</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is determined to be a long-term lease (greater than 12 months), we recognize an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components of our ROU assets and their classification in our Balance Sheet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Balances</w:t>
            </w: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280" w:type="dxa"/>
            <w:vAlign w:val="bottom"/>
          </w:tcPr>
          <w:p>
            <w:pPr>
              <w:spacing w:after="0"/>
              <w:rPr>
                <w:sz w:val="20"/>
                <w:szCs w:val="20"/>
                <w:color w:val="auto"/>
              </w:rPr>
            </w:pPr>
          </w:p>
        </w:tc>
        <w:tc>
          <w:tcPr>
            <w:tcW w:w="27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5"/>
        </w:trPr>
        <w:tc>
          <w:tcPr>
            <w:tcW w:w="2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6"/>
        </w:trPr>
        <w:tc>
          <w:tcPr>
            <w:tcW w:w="2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tcPr>
          <w:p>
            <w:pPr>
              <w:jc w:val="right"/>
              <w:ind w:right="995"/>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22,995</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r>
      <w:tr>
        <w:trPr>
          <w:trHeight w:val="209"/>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33,429</w:t>
            </w:r>
          </w:p>
        </w:tc>
      </w:tr>
      <w:tr>
        <w:trPr>
          <w:trHeight w:val="20"/>
        </w:trPr>
        <w:tc>
          <w:tcPr>
            <w:tcW w:w="2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components of our lease cost and the classification of such costs in our Statements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for the three months ended September 30,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Statements of Operations Line Items</w:t>
            </w:r>
          </w:p>
        </w:tc>
        <w:tc>
          <w:tcPr>
            <w:tcW w:w="260" w:type="dxa"/>
            <w:vAlign w:val="bottom"/>
          </w:tcPr>
          <w:p>
            <w:pPr>
              <w:spacing w:after="0"/>
              <w:rPr>
                <w:sz w:val="20"/>
                <w:szCs w:val="20"/>
                <w:color w:val="auto"/>
              </w:rPr>
            </w:pPr>
          </w:p>
        </w:tc>
        <w:tc>
          <w:tcPr>
            <w:tcW w:w="27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15"/>
        </w:trPr>
        <w:tc>
          <w:tcPr>
            <w:tcW w:w="2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5"/>
        </w:trPr>
        <w:tc>
          <w:tcPr>
            <w:tcW w:w="26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tcPr>
          <w:p>
            <w:pPr>
              <w:jc w:val="right"/>
              <w:ind w:right="99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198"/>
        </w:trPr>
        <w:tc>
          <w:tcPr>
            <w:tcW w:w="26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r>
      <w:tr>
        <w:trPr>
          <w:trHeight w:val="216"/>
        </w:trPr>
        <w:tc>
          <w:tcPr>
            <w:tcW w:w="26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amortization and Corporate, general and</w:t>
            </w:r>
          </w:p>
        </w:tc>
        <w:tc>
          <w:tcPr>
            <w:tcW w:w="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3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198"/>
        </w:trPr>
        <w:tc>
          <w:tcPr>
            <w:tcW w:w="26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r>
      <w:tr>
        <w:trPr>
          <w:trHeight w:val="216"/>
        </w:trPr>
        <w:tc>
          <w:tcPr>
            <w:tcW w:w="26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amortization and Corporate, general and</w:t>
            </w:r>
          </w:p>
        </w:tc>
        <w:tc>
          <w:tcPr>
            <w:tcW w:w="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r>
        <w:trPr>
          <w:trHeight w:val="23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CEEFF"/>
          </w:tcPr>
          <w:p>
            <w:pPr>
              <w:spacing w:after="0"/>
              <w:rPr>
                <w:sz w:val="20"/>
                <w:szCs w:val="20"/>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20" w:type="dxa"/>
            <w:vAlign w:val="bottom"/>
          </w:tcPr>
          <w:p>
            <w:pPr>
              <w:spacing w:after="0"/>
              <w:rPr>
                <w:sz w:val="17"/>
                <w:szCs w:val="17"/>
                <w:color w:val="auto"/>
              </w:rPr>
            </w:pPr>
          </w:p>
        </w:tc>
        <w:tc>
          <w:tcPr>
            <w:tcW w:w="330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6"/>
        </w:trPr>
        <w:tc>
          <w:tcPr>
            <w:tcW w:w="2620" w:type="dxa"/>
            <w:vAlign w:val="bottom"/>
          </w:tcPr>
          <w:p>
            <w:pPr>
              <w:spacing w:after="0"/>
              <w:rPr>
                <w:sz w:val="18"/>
                <w:szCs w:val="18"/>
                <w:color w:val="auto"/>
              </w:rPr>
            </w:pPr>
          </w:p>
        </w:tc>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amortization and Corporate, general and</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2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0"/>
        </w:trPr>
        <w:tc>
          <w:tcPr>
            <w:tcW w:w="26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and finance leases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6300" w:type="dxa"/>
            <w:vAlign w:val="bottom"/>
            <w:tcBorders>
              <w:bottom w:val="single" w:sz="8" w:color="CCEEFF"/>
            </w:tcBorders>
          </w:tcPr>
          <w:p>
            <w:pPr>
              <w:spacing w:after="0"/>
              <w:rPr>
                <w:sz w:val="18"/>
                <w:szCs w:val="18"/>
                <w:color w:val="auto"/>
              </w:rPr>
            </w:pPr>
          </w:p>
        </w:tc>
        <w:tc>
          <w:tcPr>
            <w:tcW w:w="260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6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8.8 years</w:t>
            </w:r>
          </w:p>
        </w:tc>
      </w:tr>
      <w:tr>
        <w:trPr>
          <w:trHeight w:val="234"/>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3.8 years</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900" w:type="dxa"/>
            <w:vAlign w:val="bottom"/>
            <w:gridSpan w:val="2"/>
          </w:tcPr>
          <w:p>
            <w:pPr>
              <w:jc w:val="right"/>
              <w:ind w:right="109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6000" w:type="dxa"/>
            <w:vAlign w:val="bottom"/>
            <w:tcBorders>
              <w:bottom w:val="single" w:sz="8" w:color="CCEEFF"/>
            </w:tcBorders>
          </w:tcPr>
          <w:p>
            <w:pPr>
              <w:spacing w:after="0"/>
              <w:rPr>
                <w:sz w:val="18"/>
                <w:szCs w:val="18"/>
                <w:color w:val="auto"/>
              </w:rPr>
            </w:pPr>
          </w:p>
        </w:tc>
        <w:tc>
          <w:tcPr>
            <w:tcW w:w="248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CCEEFF"/>
            </w:tcBorders>
          </w:tcPr>
          <w:p>
            <w:pPr>
              <w:spacing w:after="0"/>
              <w:rPr>
                <w:sz w:val="18"/>
                <w:szCs w:val="18"/>
                <w:color w:val="auto"/>
              </w:rPr>
            </w:pPr>
          </w:p>
        </w:tc>
      </w:tr>
      <w:tr>
        <w:trPr>
          <w:trHeight w:val="212"/>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8.76 %</w:t>
            </w:r>
          </w:p>
        </w:tc>
      </w:tr>
    </w:tbl>
    <w:p>
      <w:pPr>
        <w:spacing w:after="0" w:line="39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and finance leases for periods subsequent to September 30, 2022:</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4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7"/>
                <w:szCs w:val="17"/>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remaining in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10,839</w:t>
            </w:r>
          </w:p>
        </w:tc>
      </w:tr>
      <w:tr>
        <w:trPr>
          <w:trHeight w:val="20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liability accretion / imputed interest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(6,247)</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(2,285)</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r>
      <w:tr>
        <w:trPr>
          <w:trHeight w:val="209"/>
        </w:trPr>
        <w:tc>
          <w:tcPr>
            <w:tcW w:w="6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6,796</w:t>
            </w:r>
          </w:p>
        </w:tc>
      </w:tr>
      <w:tr>
        <w:trPr>
          <w:trHeight w:val="210"/>
        </w:trPr>
        <w:tc>
          <w:tcPr>
            <w:tcW w:w="6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includes the future maturities of minimum rental payments that are required to be paid under all non-cancelable operating and capital lease obligations as previously disclosed in our 2022 Annual Report on Form 10-K as of June 30, 2022, prior to the adoption of ASC 842:</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3"/>
                <w:szCs w:val="13"/>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280" w:type="dxa"/>
            <w:vAlign w:val="bottom"/>
          </w:tcPr>
          <w:p>
            <w:pPr>
              <w:spacing w:after="0"/>
              <w:rPr>
                <w:sz w:val="15"/>
                <w:szCs w:val="15"/>
                <w:color w:val="auto"/>
              </w:rPr>
            </w:pPr>
          </w:p>
        </w:tc>
        <w:tc>
          <w:tcPr>
            <w:tcW w:w="11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remaining in 2023</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Total minimal rental payments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jc w:val="right"/>
              <w:ind w:right="272"/>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jc w:val="right"/>
              <w:ind w:right="272"/>
              <w:spacing w:after="0"/>
              <w:rPr>
                <w:sz w:val="20"/>
                <w:szCs w:val="20"/>
                <w:color w:val="auto"/>
              </w:rPr>
            </w:pPr>
            <w:r>
              <w:rPr>
                <w:rFonts w:ascii="Times New Roman" w:cs="Times New Roman" w:eastAsia="Times New Roman" w:hAnsi="Times New Roman"/>
                <w:sz w:val="18"/>
                <w:szCs w:val="18"/>
                <w:color w:val="auto"/>
              </w:rPr>
              <w:t>Current portion</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Long Term Debt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consisted of the following at September 30, 2022 and June 30, 2022:</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40" w:type="dxa"/>
            <w:vAlign w:val="bottom"/>
            <w:gridSpan w:val="4"/>
          </w:tcPr>
          <w:p>
            <w:pPr>
              <w:ind w:left="1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9"/>
        </w:trPr>
        <w:tc>
          <w:tcPr>
            <w:tcW w:w="48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6"/>
                <w:szCs w:val="16"/>
                <w:i w:val="1"/>
                <w:iCs w:val="1"/>
                <w:color w:val="auto"/>
                <w:w w:val="81"/>
              </w:rPr>
              <w:t>in thousands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80" w:type="dxa"/>
            <w:vAlign w:val="bottom"/>
            <w:gridSpan w:val="3"/>
            <w:vMerge w:val="continue"/>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Term Loan Facility</w:t>
            </w:r>
          </w:p>
        </w:tc>
        <w:tc>
          <w:tcPr>
            <w:tcW w:w="14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$ 71,250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term loan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10"/>
        </w:trPr>
        <w:tc>
          <w:tcPr>
            <w:tcW w:w="48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Noncurrent maturities</w:t>
            </w:r>
          </w:p>
        </w:tc>
        <w:tc>
          <w:tcPr>
            <w:tcW w:w="1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$ 68,210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00" w:hanging="318"/>
        <w:spacing w:after="0"/>
        <w:tabs>
          <w:tab w:leader="none" w:pos="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 Term Loan Facility and Revolving Credit Facility are described below.</w:t>
      </w:r>
    </w:p>
    <w:p>
      <w:pPr>
        <w:spacing w:after="0" w:line="3" w:lineRule="exact"/>
        <w:rPr>
          <w:rFonts w:ascii="Times New Roman" w:cs="Times New Roman" w:eastAsia="Times New Roman" w:hAnsi="Times New Roman"/>
          <w:sz w:val="14"/>
          <w:szCs w:val="14"/>
          <w:color w:val="auto"/>
        </w:rPr>
      </w:pPr>
    </w:p>
    <w:p>
      <w:pPr>
        <w:ind w:left="800" w:right="159" w:hanging="318"/>
        <w:spacing w:after="0" w:line="233" w:lineRule="auto"/>
        <w:tabs>
          <w:tab w:leader="none" w:pos="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capacity under the Revolving Credit Facility as of September 30, 2022 was $100.0 million, subject to (i) any issued amounts under our letters of credit, which as of September 30, 2022 was $2.6 million, and (ii) applicable covenant compliance restrictions and any other conditions precedent to borrowing.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Credit Agreement</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Loans under the 2021 Credit Agreement are secured by substantially all of the Company’s assets. Principal on the Term Loan Facility is paid each calendar quarter in an amount equal to 1.25% of the initial term loan on closing date. Proceeds of the Term Loan Facility, together with proceeds from the Company’s initial public offering (“IPO”), were used to repay long term debt amounts then outstanding.</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September 30, 2022, the interest rate on the Term Loan Facility was 2.21%. Under the terms of the 2021 Credit Agreement, the Revolving Credit Facility fee accrues at 0.25% of the average daily unused amount and is paid quarterly. As of September 30, 2022, we had no borrowings outstanding under the Revolving Credit Facility.</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September 30, 2022, the Company was in compliance with the covenants of the 2021 Credit Agreement.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deferred financing costs of $2.0 million are amortized over the term of the underlying debt and unamortized amounts have been offset against long-term debt in the condensed consolidated balance sheets. Total amortization of deferred financing costs was $0.3 million for the three months ended September 30, 2022.</w:t>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227" w:lineRule="exact"/>
        <w:rPr>
          <w:sz w:val="20"/>
          <w:szCs w:val="20"/>
          <w:color w:val="auto"/>
        </w:rPr>
      </w:pPr>
    </w:p>
    <w:p>
      <w:pPr>
        <w:jc w:val="both"/>
        <w:ind w:left="60" w:right="59" w:firstLine="389"/>
        <w:spacing w:after="0" w:line="266" w:lineRule="auto"/>
        <w:rPr>
          <w:sz w:val="20"/>
          <w:szCs w:val="20"/>
          <w:color w:val="auto"/>
        </w:rPr>
      </w:pPr>
      <w:r>
        <w:rPr>
          <w:rFonts w:ascii="Times New Roman" w:cs="Times New Roman" w:eastAsia="Times New Roman" w:hAnsi="Times New Roman"/>
          <w:sz w:val="18"/>
          <w:szCs w:val="18"/>
          <w:color w:val="auto"/>
        </w:rPr>
        <w:t>On June 29, 2015, SH1 entered into a convertible term loan. Monthly principal and interest payments of $0.02 million commenced on September 1, 2015. The loan is secured by a deed of trust to Public Trustee, assignment of leases and rents, security agreements, and SH1’s fixture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is involved in or subject to legal proceedings related to its business, including those described below.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pacing w:after="0" w:line="183" w:lineRule="exact"/>
        <w:rPr>
          <w:sz w:val="20"/>
          <w:szCs w:val="20"/>
          <w:color w:val="auto"/>
        </w:rPr>
      </w:pPr>
    </w:p>
    <w:p>
      <w:pPr>
        <w:jc w:val="both"/>
        <w:ind w:left="60" w:right="59" w:firstLine="389"/>
        <w:spacing w:after="0" w:line="254" w:lineRule="auto"/>
        <w:rPr>
          <w:sz w:val="20"/>
          <w:szCs w:val="20"/>
          <w:color w:val="auto"/>
        </w:rPr>
      </w:pPr>
      <w:r>
        <w:rPr>
          <w:rFonts w:ascii="Times New Roman" w:cs="Times New Roman" w:eastAsia="Times New Roman" w:hAnsi="Times New Roman"/>
          <w:sz w:val="18"/>
          <w:szCs w:val="18"/>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Through the complaint, plaintiffs are asserting claims against the Company, certain of the Company’s officers and the underwriters in the Company’s IPO, alleging violations of Sections 11, 12(a)(2) and 15 of the Securities Act of 1933 and Sections 10(b) and 20(a) of the Securities Exchange Act of 1934, as amended (the “Exchange Act”), for making allegedly inaccurate and misleading statements and omissions in connection with the Company’s IPO and subsequent earnings calls and public filings, and seeking compensatory damages, among other things. We are currently unable to predict the outcome of this matter.</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The Company continues to fully cooperate with the Attorney General and produce the requested information and documentation. We are currently unable to predict the outcome of this investigation.</w:t>
      </w:r>
    </w:p>
    <w:p>
      <w:pPr>
        <w:spacing w:after="0" w:line="183"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The Company continues to fully cooperate with the DOJ and produce the requested information and documentation. We are currently unable to predict the outcome of this investigation.</w:t>
      </w:r>
    </w:p>
    <w:p>
      <w:pPr>
        <w:spacing w:after="0" w:line="187"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 summary of our aggregate stock-based compensation expense is set forth below. Stock-based compensation expense is included in corporate, general and administrative expenses on our consolidated statements of operations.</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5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Profits interests units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TCO Group Holdings, L.P. (the “LP”), the Company’s largest shareholder and prior to the IPO, the Company’s parent, maintains the 2020 Equity Incentive Plan pursuant to which interests in the LP in the form of Class B Units (profits interests) could be granted to employees, directors, consultants, and advisers. A maximum number of 16,162,177 Class B Units were authorized for grant under the 2020 Equity Incentive Plan. As of September 30, 2022, a total of 13,009,137 profits interests units had been granted under the 2020 Equity Incentive Plan.</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profits interests units at the time of the grant. There were no grants following the IPO and during the three months ended September 30, 2022.</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profits interests activity for the three months ended September 30, 2022 was as follows:</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5"/>
        </w:trPr>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Time-based unit awards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4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2,158,072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(821,331)$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September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1,336,741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5"/>
        </w:trPr>
        <w:tc>
          <w:tcPr>
            <w:tcW w:w="4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Performance-based unit awards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145"/>
        </w:trPr>
        <w:tc>
          <w:tcPr>
            <w:tcW w:w="20" w:type="dxa"/>
            <w:vAlign w:val="bottom"/>
            <w:tcBorders>
              <w:top w:val="single" w:sz="8" w:color="auto"/>
            </w:tcBorders>
          </w:tcPr>
          <w:p>
            <w:pPr>
              <w:spacing w:after="0"/>
              <w:rPr>
                <w:sz w:val="12"/>
                <w:szCs w:val="12"/>
                <w:color w:val="auto"/>
              </w:rPr>
            </w:pPr>
          </w:p>
        </w:tc>
        <w:tc>
          <w:tcPr>
            <w:tcW w:w="4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2,217,865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September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2,217,865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September 30, 2022 was $2.8 million, comprised (i) $1.6 million related to time-based unit awards expected to be recognized over a weighted-average period of 0.9 years and (ii) $1.3 million related to performance-based unit awards, which will be recorded when it is probable that the performance-based criteria will be met.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March 2021, the compensation committee of our Board of Directors approved the InnovAge Holding Corp. 2021 Omnibus Incentive Plan (the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 been used. The grant date fair value of restricted stock units with time based vesting is based on the closing market price of our common stock on the date of grant. Certain awards under this plan vest upon achieving specific share price performance criteria and are determined to have performance-based vesting conditions. The Company has issued time-based stock options under this plan to its employees which generally vest at various intervals over a three-year period. Certain awards under this plan vest upon achieving specific share price performance criteria and are determined to have performance-based vesting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summary of time-based vesting restricted stock units activity for the three months ended September 30, 2022 was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 - time based</w:t>
            </w: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476,768</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(51,519)</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986,200</w:t>
            </w:r>
          </w:p>
        </w:tc>
        <w:tc>
          <w:tcPr>
            <w:tcW w:w="4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September 30,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1,326,761</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 based restricted stock units outstanding as of September 30, 2022 was $5.9 million and is expected to be recognized over a weighted-average period of 2.6 years.</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summary of performance based vesting restricted stock units activity for the three months ended September 30, 2022 was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33"/>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15"/>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performance based</w:t>
            </w: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r>
      <w:tr>
        <w:trPr>
          <w:trHeight w:val="199"/>
        </w:trPr>
        <w:tc>
          <w:tcPr>
            <w:tcW w:w="5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16"/>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89"/>
        <w:spacing w:after="0" w:line="312" w:lineRule="auto"/>
        <w:rPr>
          <w:sz w:val="20"/>
          <w:szCs w:val="20"/>
          <w:color w:val="auto"/>
        </w:rPr>
      </w:pPr>
      <w:r>
        <w:rPr>
          <w:rFonts w:ascii="Times New Roman" w:cs="Times New Roman" w:eastAsia="Times New Roman" w:hAnsi="Times New Roman"/>
          <w:sz w:val="17"/>
          <w:szCs w:val="17"/>
          <w:color w:val="auto"/>
        </w:rPr>
        <w:t>The total unrecognized compensation cost related to performance based vesting restricted stock units outstanding as of September 30, 2022 was $1.0 million and is expected to be recognized over a weighted-average period of 3.1 years.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three months ended September 30, 2022 was as follows:</w:t>
      </w:r>
    </w:p>
    <w:p>
      <w:pPr>
        <w:spacing w:after="0" w:line="282"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 options - time based</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554,499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balance, September 30, 2022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635,581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time-based vesting stock options outstanding as of September 30, 2022 was $0.6 million and is expected to be recognized over a weighted-average period of 2.4 years.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time-based stock options granted during the three months ended September 30, 2022, was based upon the Black-Scholes option pricing model using the assumptions in the following table:</w:t>
      </w:r>
    </w:p>
    <w:p>
      <w:pPr>
        <w:spacing w:after="0" w:line="263" w:lineRule="exact"/>
        <w:rPr>
          <w:sz w:val="20"/>
          <w:szCs w:val="20"/>
          <w:color w:val="auto"/>
        </w:rPr>
      </w:pPr>
    </w:p>
    <w:tbl>
      <w:tblPr>
        <w:tblLayout w:type="fixed"/>
        <w:tblInd w:w="760" w:type="dxa"/>
        <w:tblCellMar>
          <w:top w:w="0" w:type="dxa"/>
          <w:left w:w="0" w:type="dxa"/>
          <w:bottom w:w="0" w:type="dxa"/>
          <w:right w:w="0" w:type="dxa"/>
        </w:tblCellMar>
      </w:tblPr>
      <w:tr>
        <w:trPr>
          <w:trHeight w:val="173"/>
        </w:trPr>
        <w:tc>
          <w:tcPr>
            <w:tcW w:w="6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23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life (years) - time vesting units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1"/>
                <w:szCs w:val="21"/>
                <w:color w:val="auto"/>
              </w:rPr>
            </w:pPr>
          </w:p>
        </w:tc>
      </w:tr>
      <w:tr>
        <w:trPr>
          <w:trHeight w:val="2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shd w:val="clear" w:color="auto" w:fill="CCEEFF"/>
          </w:tcPr>
          <w:p>
            <w:pPr>
              <w:spacing w:after="0"/>
              <w:rPr>
                <w:sz w:val="21"/>
                <w:szCs w:val="2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Pr>
          <w:p>
            <w:pPr>
              <w:spacing w:after="0"/>
              <w:rPr>
                <w:sz w:val="21"/>
                <w:szCs w:val="2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summary of performance-based vesting stock option activity for the three months ended September 30, 2022 was as follows: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5"/>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 options - performance based</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June 30,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balance, September 30, 2022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September 30, 2022 was $1.9 million and is expected to be recognized over a weighted-average period of 3.1 years.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benefit of $3.5 million and an income tax provision of $3.0 million for the three months ended September 30, 2022 and 2021, respectively. This represents an effective tax rate of 20.6% and 28.2% for the three months ended September 30, 2022 and 2021,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effective rate for the three months ended September 30, 2022 was different from the federal statutory rate primarily due to the Company’s book loss offset partially by disallowed officers’ compensation under Internal Revenue Code (“IRC”) Section 162(m), disallowed stock options related to the profit interest units, and lobbying expenses which occurred during the three month period.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three-month period ended September 30, 2022, the Company has determined that it is not “more likely than not” that the deferred tax assets associated with certain state net operating losses will be realized and as such continues to maintain a valuation allowance against these state deferred tax assets. The Company has provided $4.1 million at each of September 30, 2022 and June 30, 2022, as a valuation allowance against its deferred tax assets for state net operating losses where there is not sufficient positive evidence to substantiate that these deferred tax assets will be realized at a more-likely-than-not level of assurance.</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Earnings per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 end of the reporting period. As of September 30, 2022, there was no dilutive shares therefore, there was no difference between basic and diluted net loss per common shares.</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280" w:type="dxa"/>
            <w:vAlign w:val="bottom"/>
          </w:tcPr>
          <w:p>
            <w:pPr>
              <w:spacing w:after="0"/>
              <w:rPr>
                <w:sz w:val="15"/>
                <w:szCs w:val="15"/>
                <w:color w:val="auto"/>
              </w:rPr>
            </w:pPr>
          </w:p>
        </w:tc>
        <w:tc>
          <w:tcPr>
            <w:tcW w:w="2360" w:type="dxa"/>
            <w:vAlign w:val="bottom"/>
            <w:tcBorders>
              <w:bottom w:val="single" w:sz="8" w:color="auto"/>
            </w:tcBorders>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InnovAge Holding Corp.</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135,566,117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135,516,513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135,566,117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135,516,513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applies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performance and allocates capital resources to each segment based on an operating model that is designed to maximize the provision of services provided and profitability. The Company does not review assets by segment and therefore assets by segment are not disclosed below. For the periods presented, all of the Company’s long-lived assets were located in the U.S. and all revenue was earned in the U.S.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segments. Center-level Contribution Margin is defined as total revenues less external provider costs and cost of care (excluding depreciation and amortization), which includes all medical and pharmacy costs. The Company allocates corporate level expenses to its segments with a majority of the allocation going to the PACE segment.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reportable segment:</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PACE</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6"/>
                <w:szCs w:val="16"/>
                <w:b w:val="1"/>
                <w:bCs w:val="1"/>
                <w:color w:val="auto"/>
                <w:vertAlign w:val="superscript"/>
              </w:rPr>
              <w:t>(1)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PACE</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6"/>
                <w:szCs w:val="16"/>
                <w:b w:val="1"/>
                <w:bCs w:val="1"/>
                <w:color w:val="auto"/>
                <w:vertAlign w:val="superscript"/>
              </w:rPr>
              <w:t>(1)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172,554</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173,070</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90,012</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53,411</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53,557</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40,101</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40,728</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42,330</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100"/>
              <w:spacing w:after="0" w:line="210" w:lineRule="exact"/>
              <w:rPr>
                <w:sz w:val="20"/>
                <w:szCs w:val="20"/>
                <w:color w:val="auto"/>
              </w:rPr>
            </w:pPr>
            <w:r>
              <w:rPr>
                <w:rFonts w:ascii="Times New Roman" w:cs="Times New Roman" w:eastAsia="Times New Roman" w:hAnsi="Times New Roman"/>
                <w:sz w:val="17"/>
                <w:szCs w:val="17"/>
                <w:color w:val="auto"/>
              </w:rPr>
              <w:t>Overhead costs</w:t>
            </w:r>
            <w:r>
              <w:rPr>
                <w:rFonts w:ascii="Times New Roman" w:cs="Times New Roman" w:eastAsia="Times New Roman" w:hAnsi="Times New Roman"/>
                <w:sz w:val="24"/>
                <w:szCs w:val="24"/>
                <w:color w:val="auto"/>
                <w:vertAlign w:val="superscript"/>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27,377</w:t>
            </w:r>
          </w:p>
        </w:tc>
        <w:tc>
          <w:tcPr>
            <w:tcW w:w="0" w:type="dxa"/>
            <w:vAlign w:val="bottom"/>
          </w:tcPr>
          <w:p>
            <w:pPr>
              <w:spacing w:after="0"/>
              <w:rPr>
                <w:sz w:val="1"/>
                <w:szCs w:val="1"/>
                <w:color w:val="auto"/>
              </w:rPr>
            </w:pPr>
          </w:p>
        </w:tc>
      </w:tr>
      <w:tr>
        <w:trPr>
          <w:trHeight w:val="216"/>
        </w:trPr>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60" w:right="199" w:hanging="10"/>
        <w:spacing w:after="0" w:line="267" w:lineRule="auto"/>
        <w:tabs>
          <w:tab w:leader="none" w:pos="70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1" w:lineRule="exact"/>
        <w:rPr>
          <w:rFonts w:ascii="Times New Roman" w:cs="Times New Roman" w:eastAsia="Times New Roman" w:hAnsi="Times New Roman"/>
          <w:sz w:val="16"/>
          <w:szCs w:val="16"/>
          <w:color w:val="auto"/>
        </w:rPr>
      </w:pPr>
    </w:p>
    <w:p>
      <w:pPr>
        <w:ind w:left="700" w:hanging="650"/>
        <w:spacing w:after="0"/>
        <w:tabs>
          <w:tab w:leader="none" w:pos="7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Overhead consists of the Sales and marketing and Corporate, general and administrative financial statement line items.</w:t>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PWD Amended and Restated Agreement of Limited Partnership, the general partner, who is a subsidiary of the Company (the “General Partner”), helped fund operating deficits and shortfalls of PWD in the form of a loan. At each of September 30, 2022 and June 30, 2022, $0.7 million was recorded in Deposits and other. Additionally, the General Partner is paid an administration fee of $35,000 per year.</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condensed consolidated financial statements were issued.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our Annual Report on Form 10-K for the fiscal year ended June 30, 2022 (“2022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InnovAge Holding Corp. (“InnovAge”) became a public company in March 2021. As of September 30, 2022, the Company served approximately 6,540 PACE participants, and operated 18 PACE centers across Colorado, California, New Mexico, Pennsylvania, and Virginia.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and Uncertainties Affecting the Company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fiscal year 2022, the U.S. and global economies experienced adverse macroeconomic effects in part resulting from the ongoing effects of the COVID-19 pandemic, as discussed in more detail below. These effects included inflation and increased wages due to labor shortages. In fiscal year 2022, in response to high levels of inflation, we began to implement various mitigation strategies to reduce costs of operation, including consolidating services and price negotiations with providers and vendors. The effects of inflation, after accounting for these mitigation strategies, were immaterial to our financial results for the three months ended September 30, 2022. However, we expect inflation is likely to continue for most or all of fiscal year 2023, and even though we expect to continue mitigation efforts, there can be no assurance that our strategies will be sufficient.</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the increased wage pressure, exacerbated by the labor shortage, increased the cost of providing care and our overall operating expenses. The combination of increased wage pressure and labor shortage amongst healthcare personnel, and specifically, trained personnel, has impacted and may continue to impact our expenses and ability to adhere to the complex government laws and regulations that apply to our business. Operating expenses increased $26.4 million, or 16.4%, for the three months ended September 30, 2022 compared to 2021 due to, in part, the increased cost of care and related cost per participant. We continue to evaluate increased costs and methods to mitigate or offset such costs.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Impact of Macroeconomic Conditions and COVID-19</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COVID-19 pandemic altered the behavior of businesses and people, the effects of which, to some extent, continue on federal, state and local economies.</w:t>
      </w:r>
    </w:p>
    <w:p>
      <w:pPr>
        <w:spacing w:after="0" w:line="16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virus has and continues to impact older adults, especially those with chronic illnesses, which describes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participants. The United States experienced supply chain issues with respect to personal protective equipment (“PPE”) and other medical supplies during the height of the pandemic. Global logistics network challenges resulted in higher prices for medical supplies we require. While uncertainties related to the magnitude and duration of global supply chain disruptions have adversely affected, and may continue to adversely affect, our business and outlook, supply chain disruptions have begun to alleviate and prices for certain medical supplies have begun to normalize.</w:t>
      </w:r>
    </w:p>
    <w:p>
      <w:pPr>
        <w:spacing w:after="0" w:line="18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Labor market</w:t>
      </w:r>
      <w:r>
        <w:rPr>
          <w:rFonts w:ascii="Times New Roman" w:cs="Times New Roman" w:eastAsia="Times New Roman" w:hAnsi="Times New Roman"/>
          <w:sz w:val="18"/>
          <w:szCs w:val="18"/>
          <w:color w:val="auto"/>
        </w:rPr>
        <w:t>. The COVID-19 pandemic has and continues to exacerbate difficulties to hire additional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professionals, causing certain of our centers to be understaffed or staffed with personnel that requires training. In fiscal year 2022, we experienced workforce and labor shortages, within all of our centers. We recognize that our participant-facing staff is critical to delivering quality care. As such, we made market adjustments to certain roles to increase retention and improve our ability to hire. These adjustments resulted in an increase in cost of care further impacted by additional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staffing related to compliance and remediation efforts. This increase in conjunction with higher headcount has contributed to increased cost of care for the three months ended September 30, 2022 as discussed in “Results of Operations” below. We continue to assess key roles and benchmarks to market while monitoring trends in the labor market.</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macroeconomic events and the ongoing COVID-19 pandemic, please see the section entitled “Risk Factors” included in Part I, Item 1A of our 2022 10-K.</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Performance</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160" w:lineRule="exact"/>
        <w:rPr>
          <w:sz w:val="20"/>
          <w:szCs w:val="20"/>
          <w:color w:val="auto"/>
        </w:rPr>
      </w:pPr>
    </w:p>
    <w:p>
      <w:pPr>
        <w:jc w:val="both"/>
        <w:ind w:left="1040" w:right="79" w:hanging="315"/>
        <w:spacing w:after="0" w:line="255"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effectively implement remediation efforts in our centers as a result of our recent audits.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priority is to remediate the deficiencies raised in the audit processes in California, Colorado and New Mexico. As part of its actions to do so, the Company has worked with the appropriate authorities to make the necessary changes within the Company to increase care coordination and care documentation among our centers, including working to fill critical personnel gaps at our centers, standardizing the process of our Interdisciplinary Care Teams (“IDTs”), strengthening our home care network and reliability, improving timelines of scheduling and coordinating care with providers outside our centers, among others. See “Audit Processes and Remediation Efforts” below.</w:t>
      </w:r>
    </w:p>
    <w:p>
      <w:pPr>
        <w:spacing w:after="0" w:line="157"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risk adjustment factor (“RAF”) score of 2.35 based on InnovAge data as of September 30, 2022; and (ii) we manage Medicaid spend in addition to Medicare. Our participants are managed on a capitated, or at-risk basis, where InnovAge is financially responsible for all of participant medical costs. Our comprehensive care model and globally capitated payments are designed to cover participants from enrollment until the end of life, including coverage for participants requiring hospice and palliative care. For dual-eligible participants, we receive per member, per month (“PMPM”) payments directly from Medicare and Medicaid, which provides recurring revenue streams and significant visibility into our revenue. The Medicare portion of our capitated payment is risk-based on the underlying medical conditions and frailty of each participant.</w:t>
      </w:r>
    </w:p>
    <w:p>
      <w:pPr>
        <w:spacing w:after="0" w:line="155"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the type of all-inclusive care offered by the PACE model. Several factors can affect our ability to grow enrollment and capacity within existing centers, including sanctions issued by regulators. Currently, the Centers for Medicare and Medicaid Services (“CMS”) and state agencies have suspended new enrollments at our Sacramento, California center and at our centers in the State of Colorado.</w:t>
      </w:r>
    </w:p>
    <w:p>
      <w:pPr>
        <w:spacing w:after="0" w:line="142" w:lineRule="exact"/>
        <w:rPr>
          <w:rFonts w:ascii="Times New Roman" w:cs="Times New Roman" w:eastAsia="Times New Roman" w:hAnsi="Times New Roman"/>
          <w:sz w:val="18"/>
          <w:szCs w:val="18"/>
          <w:color w:val="auto"/>
        </w:rPr>
      </w:pPr>
    </w:p>
    <w:p>
      <w:pPr>
        <w:jc w:val="both"/>
        <w:ind w:left="1040" w:right="79" w:hanging="315"/>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We achieved an 76%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rating as of July 1, 2022 and average participant tenure was 3.2 years as of September 30, 2022, measured as tenure from enrollment to disenrollment, among our centers that have been operated by us for at least five years. Furthermore, we experience low levels of voluntary disenrollment, averaging 5.7% annually over the last three fiscal years. Approximately 75% of our historical disenrollments have been involuntary, due primarily to participant death or otherwise due to participants moving out of our service areas.</w:t>
      </w:r>
    </w:p>
    <w:p>
      <w:pPr>
        <w:spacing w:after="0" w:line="155" w:lineRule="exact"/>
        <w:rPr>
          <w:rFonts w:ascii="Times New Roman" w:cs="Times New Roman" w:eastAsia="Times New Roman" w:hAnsi="Times New Roman"/>
          <w:sz w:val="18"/>
          <w:szCs w:val="18"/>
          <w:color w:val="auto"/>
        </w:rPr>
      </w:pPr>
    </w:p>
    <w:p>
      <w:pPr>
        <w:jc w:val="both"/>
        <w:ind w:left="1040" w:right="79" w:hanging="315"/>
        <w:spacing w:after="0" w:line="26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Effectively managing the cost of care for our participants</w:t>
      </w:r>
      <w:r>
        <w:rPr>
          <w:rFonts w:ascii="Times New Roman" w:cs="Times New Roman" w:eastAsia="Times New Roman" w:hAnsi="Times New Roman"/>
          <w:sz w:val="18"/>
          <w:szCs w:val="18"/>
          <w:color w:val="auto"/>
        </w:rPr>
        <w:t>. We receive capitated payments to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totality of a participant’s medical care across all settings. Because our participants are among the most frail and medically complex individuals in the U.S. healthcare system, our external provider costs and cost of</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58" w:lineRule="auto"/>
        <w:rPr>
          <w:sz w:val="20"/>
          <w:szCs w:val="20"/>
          <w:color w:val="auto"/>
        </w:rPr>
      </w:pPr>
      <w:r>
        <w:rPr>
          <w:rFonts w:ascii="Times New Roman" w:cs="Times New Roman" w:eastAsia="Times New Roman" w:hAnsi="Times New Roman"/>
          <w:sz w:val="18"/>
          <w:szCs w:val="18"/>
          <w:color w:val="auto"/>
        </w:rPr>
        <w:t>care, excluding depreciation and amortization, represented approximately 87% of our revenue in the three months ended September 30, 2022.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spacing w:after="0" w:line="154" w:lineRule="exact"/>
        <w:rPr>
          <w:sz w:val="20"/>
          <w:szCs w:val="20"/>
          <w:color w:val="auto"/>
        </w:rPr>
      </w:pPr>
    </w:p>
    <w:p>
      <w:pPr>
        <w:jc w:val="both"/>
        <w:ind w:left="1040" w:right="79" w:hanging="315"/>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As we serve more participants in existing centers, we leverage our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base at those centers and the value of a center to our business increases over time. The enrollment sanctions in place in Sacramento, California and Colorado limit our ability to grow our participant census and impact Center-level Contribution Margin.</w:t>
      </w:r>
    </w:p>
    <w:p>
      <w:pPr>
        <w:spacing w:after="0" w:line="139"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acquisition or de novo centers within existing and new markets. </w:t>
      </w:r>
      <w:r>
        <w:rPr>
          <w:rFonts w:ascii="Times New Roman" w:cs="Times New Roman" w:eastAsia="Times New Roman" w:hAnsi="Times New Roman"/>
          <w:sz w:val="18"/>
          <w:szCs w:val="18"/>
          <w:color w:val="auto"/>
        </w:rPr>
        <w:t>Several factors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our ability to open de novo centers, including sanctions issued by regulators. On January 7, 2022, the Department of Health Care Services (“DHCS”) of the State of California notified us that it was suspending the State’s previously provided assurances that it would enter into a PACE program agreement with the Company (State Attestations) with respect to de novo centers in the State of California until such time as the corrective action plans (“CAPs”) and the remediation and validation processes for our Sacramento center have been successfully completed and the enrollment sanctions are lifted. In addition, on February 9, 2022, we received notice from the Cabinet for Health and Family Services of the State of Kentucky informing us that they no longer intend to enter into an agreement with us to be a PACE provider in the State of Kentucky. On February 14, 2022, CMS denied our application to develop the previously announced PACE center in Terre Haute, Indiana, which was projected to open in fiscal year 2024 based on deficiencies detected during CMS’ 2021 audits of our Sacramento and Colorado PACE programs. In addition, we have committed to CMS and the Agency for Healthcare Administration in the State of Florida, that we will proactively pause remaining steps with respect to de novo centers to focus on remediating deficiencies raised in the audit processes.</w:t>
      </w:r>
    </w:p>
    <w:p>
      <w:pPr>
        <w:spacing w:after="0" w:line="155"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tuck-in acquisitions. </w:t>
      </w:r>
      <w:r>
        <w:rPr>
          <w:rFonts w:ascii="Times New Roman" w:cs="Times New Roman" w:eastAsia="Times New Roman" w:hAnsi="Times New Roman"/>
          <w:sz w:val="18"/>
          <w:szCs w:val="18"/>
          <w:color w:val="auto"/>
        </w:rPr>
        <w:t>From fiscal year 2019 through fiscal year 2021, we acquired and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PACE organizations, expanding our InnovAge Platform to one new state and four new markets through those acquisitions. We are disciplined in our approach to acquisitions and have executed multiple types of transactions, including turnarounds and non-profit conversions. Historically, when integrating acquired programs, we worked closely with key constituencies, including local governments, health systems and senior housing providers, to enable continuity of high-quality care for participants. Once restrictions on our ability to open de novo centers are lifted or resolved, we intend to resume execution of tuck-in acquisitions.</w:t>
      </w:r>
    </w:p>
    <w:p>
      <w:pPr>
        <w:spacing w:after="0" w:line="155"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payors, namely Medicare 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42"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organization to support long-term growth. We expect our expenses to increase in absolute dollars for the foreseeable future to support our growth and due to additional costs we are incurring and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also expect to incur additional expenses for the foreseeable future in connection with current and future audits to our centers, remediation plans and current and potential legal and regulatory proceedings.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040" w:right="79" w:hanging="315"/>
        <w:spacing w:after="0" w:line="253"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of our business</w:t>
      </w:r>
      <w:r>
        <w:rPr>
          <w:rFonts w:ascii="Times New Roman" w:cs="Times New Roman" w:eastAsia="Times New Roman" w:hAnsi="Times New Roman"/>
          <w:sz w:val="18"/>
          <w:szCs w:val="18"/>
          <w:color w:val="auto"/>
        </w:rPr>
        <w:t>. Our operational and financial results, including medical costs and per-participant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true-ups, will experience some variability depending upon the time of year in which they are measured. Medical costs vary most significantly as a result of (i) the weather, with certain illnesses, such as the influenza virus,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Risk Adjustment Factor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nor control over the timing of such payments.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Audit Processes and Remediation Efforts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routinely subject to, and will continue to be subject to, various governmental inspections, reviews and audits.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 forth below is a summary of the ongoing audits at our centers and updates on such audit processes.</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Colorado. </w:t>
      </w:r>
      <w:r>
        <w:rPr>
          <w:rFonts w:ascii="Times New Roman" w:cs="Times New Roman" w:eastAsia="Times New Roman" w:hAnsi="Times New Roman"/>
          <w:sz w:val="18"/>
          <w:szCs w:val="18"/>
          <w:color w:val="auto"/>
        </w:rPr>
        <w:t>In December 2021, each of CMS and the Colorado Department of Health Care Policy &amp;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(“HCPF”) suspended new enrollments at the Company’s Colorado centers, based on deficiencies related to participant provision of services detected in the joint audit initiated in May and June 2021. In January and February 2022, we submitted corrective action plans (“CAP”) to each of these agencies, which have been accepted and, in June 2022, both CMS and HCPF began monitoring the implementation of the CAPs. In October 2022, the Company submitted an “Attestation” to CMS stating that it believes it has rectified the deficiencies and complied with the CAPs. CMS will begin validating compliance in December 2022. HCPF will collaborate with CMS but has not provided timing. Timing and results of validation are uncertain and there can be no assurance that the agencies will agree with us or release us from sanctions.</w:t>
      </w:r>
    </w:p>
    <w:p>
      <w:pPr>
        <w:spacing w:after="0" w:line="14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California. </w:t>
      </w:r>
      <w:r>
        <w:rPr>
          <w:rFonts w:ascii="Times New Roman" w:cs="Times New Roman" w:eastAsia="Times New Roman" w:hAnsi="Times New Roman"/>
          <w:sz w:val="18"/>
          <w:szCs w:val="18"/>
          <w:color w:val="auto"/>
        </w:rPr>
        <w:t>On May 10, 2021, CMS began an audit of our Sacramento, California center. In September 2021, CMS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to suspend new enrollments at our Sacramento center based on deficiencies detected in the audit related to participant provision of services. In that same month, we were further notified that the Department of Health Care Services (“DHCS”) of the State of California had reached the same determination. In October 2021, we submitted a CAP to each of these agencies and have since been executing the CAPs. In October 2022, the Company submitted “Attestations” to CMS and DHCS, stating that it believes it has rectified the deficiencies and complied with the CAPs. CMS will begin validating compliance in November 2022. DHCS has not provided a start date. Timing and results of validation are uncertain and there can be no assurance that the agencies will agree with us or release us from sanctions.</w:t>
      </w:r>
    </w:p>
    <w:p>
      <w:pPr>
        <w:spacing w:after="0" w:line="14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January 2022, DHCS notified us that it was suspending the State Attestations with respect to de novo centers in the State of California until such time as the enrollment sanctions are lifted.</w:t>
      </w:r>
    </w:p>
    <w:p>
      <w:pPr>
        <w:spacing w:after="0" w:line="135"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March 2022, CMS and DHCS began separate audits of our San Bernardino, California center. In September 2022, CMS issued a final audit report identifying certain deficiencies previously noted in preliminary results. CMS has verbally notified us that no enforcement actions will be taken. We are implementing corrective actions (“iCARs”), and are currently working on the audit close process.</w:t>
      </w:r>
    </w:p>
    <w:p>
      <w:pPr>
        <w:spacing w:after="0" w:line="13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Mexico. </w:t>
      </w:r>
      <w:r>
        <w:rPr>
          <w:rFonts w:ascii="Times New Roman" w:cs="Times New Roman" w:eastAsia="Times New Roman" w:hAnsi="Times New Roman"/>
          <w:sz w:val="18"/>
          <w:szCs w:val="18"/>
          <w:color w:val="auto"/>
        </w:rPr>
        <w:t>In November 2021, CMS began an audit of our Albuquerque, New Mexico center. In July 2022, CMS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verbally notified us that no enforcement actions will be taken, and in October 2022, CMS issued a final audit report. To address the deficiencies related to participant provision of services identified in the audit, we are implementing iCARs are currently working with CMS on the audit close out process.</w:t>
      </w:r>
    </w:p>
    <w:p>
      <w:pPr>
        <w:spacing w:after="0" w:line="139"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Kentucky, Indiana and Florida</w:t>
      </w:r>
      <w:r>
        <w:rPr>
          <w:rFonts w:ascii="Times New Roman" w:cs="Times New Roman" w:eastAsia="Times New Roman" w:hAnsi="Times New Roman"/>
          <w:sz w:val="18"/>
          <w:szCs w:val="18"/>
          <w:color w:val="auto"/>
        </w:rPr>
        <w:t>. The States of Kentucky and Indiana have taken actions to suspend our ability to open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 novo centers in those states, and we have committed to regulatory agencies in the State of Florida, that we will proactively pause remaining steps with respect to planned de novo centers in that state.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priority is to remediate the deficiencies raised in the audit processes and to return to growth as a company, both for the short- and long-term. We continue to work with the appropriate authorities to make the necessary changes within the Company to increase care coordination and care documentation among our centers.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care across all settings, we receive fixed or capitated fees per participant that are paid monthly by Medicare, Medicaid, Veterans Affairs (“VA”) and private pay sources.</w:t>
      </w:r>
    </w:p>
    <w:p>
      <w:pPr>
        <w:spacing w:after="0" w:line="1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New amendments have been executed for the periods (i) January 1, 2021 through December 31, 2022 for California and (ii) July 1, 2022 through June 30, 2023 for all other states, except Pennsylvania, for which we are currently operating in good standing under the 2020 amended agreement while the agency finalizes its current amendment.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2022 10-K.</w:t>
      </w:r>
    </w:p>
    <w:p>
      <w:pPr>
        <w:spacing w:after="0" w:line="19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fee-for-service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arrangements, state food grants, rent revenues and management fees. Prior to June 30, 2022 we generated fee-for-service revenue from providing home-care services to non-PACE patients in their homes, for which we billed the patient or their insurance plan on a fee-for-service basis. We no longer offer in-home care services.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2022 10-K.</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non-InnovAge providers. We separate external provider costs into four categories: inpatient (e.g., hospital), housing (e.g., assisted living and skilled nursing facility), outpatient and pharmacy. In aggregate, external provider costs represent the largest portion of our expenses.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the costs we incur to operate 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200" w:lineRule="exact"/>
        <w:rPr>
          <w:sz w:val="20"/>
          <w:szCs w:val="20"/>
          <w:color w:val="auto"/>
        </w:rPr>
      </w:pPr>
    </w:p>
    <w:p>
      <w:pPr>
        <w:spacing w:after="0" w:line="20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7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include employee-related expenses, including salaries and related costs. In addition, general and administrative expenses include all corporate technology and occupancy costs associated with our regional corporate offices. We expect our general and administrative expenses to increase in absolute dollars due to the additional legal, accounting, insurance, investor relations and other costs that we incur as a public company, as well as other costs associated with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200" w:lineRule="exact"/>
        <w:rPr>
          <w:sz w:val="20"/>
          <w:szCs w:val="20"/>
          <w:color w:val="auto"/>
        </w:rPr>
      </w:pPr>
    </w:p>
    <w:p>
      <w:pPr>
        <w:spacing w:after="0" w:line="205"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leasehold improvements and our equipment and vehicles. Depreciation and amortization are recorded using the straight-line method over the shorter of estimated useful life or lease terms, to the extent the assets are being leased.</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2022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9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5"/>
          </w:tcPr>
          <w:p>
            <w:pPr>
              <w:ind w:left="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170,931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172,554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173,070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External provider costs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Cost of care, excluding depreciation and amortization</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161,410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3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458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(Loss) Attributable to InnovAge Holding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Corp.</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Capitation revenue</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170,931</w:t>
            </w:r>
          </w:p>
        </w:tc>
        <w:tc>
          <w:tcPr>
            <w:tcW w:w="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172,554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service revenue</w:t>
            </w:r>
          </w:p>
        </w:tc>
        <w:tc>
          <w:tcPr>
            <w:tcW w:w="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171,218</w:t>
            </w:r>
          </w:p>
        </w:tc>
        <w:tc>
          <w:tcPr>
            <w:tcW w:w="40" w:type="dxa"/>
            <w:vAlign w:val="bottom"/>
            <w:tcBorders>
              <w:bottom w:val="single" w:sz="8" w:color="auto"/>
            </w:tcBorders>
            <w:gridSpan w:val="2"/>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173,070</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$170.9 million for the three months ended September 30, 2022,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$1.6 million, or 0.9%, compared to $172.6 million for the three months ended September 30, 2021. This decrease was driven by a 5.6% decrease in member months partially offset by a 4.9% increase in capitation rates. The decrease in member months is primarily due to disenrollments and our inability to enroll new participants at our Sacramento, California and Colorado centers as a result of the sanctions. The increase in capitation rates was primarily driven by an annual increase in Medicaid capitation rates as determined by the States and Medicare capitation rates as a result of increased risk score and county rates.</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was $0.3 million for the three months ended September 30, 2022,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$0.2 million, or 44.4%, from $0.5 million for the three months ended September 30, 2021. The decrease is primarily due to less fee-for-service revenue as a result of winding down our in-home care services during fiscal year 2022.</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45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6"/>
        </w:trPr>
        <w:tc>
          <w:tcPr>
            <w:tcW w:w="45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6"/>
        </w:trPr>
        <w:tc>
          <w:tcPr>
            <w:tcW w:w="4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187,821</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161,410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$96.2 million for the three months ended September 30, 2022,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$6.2 million, or 6.9%, compared to $90.0 million for the three months ended September 30, 2021. The increase is primarily driven by an increase of $11.2 million, or 13.2%, in cost per participant partially offset by a decrease of $5.0 million, or 5.6%, in member months. The increase in cost per participant is primarily driven by a $7.7 million increase associated with increased housing utilization and cost per day as mandated by certain states.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was $53.6 million for the three months ended September 30, 2022, an increase of $12.8 million, or 31.5%, compared to $40.7 million for the three months ended September 30, 2021, primarily due to an increase of $15.1 million, or 39.3%, in cost per participant partially offset by a decrease of $2.3 million, or 5.6%, in member months. Of the total variance, the increase was primarily driven by (i) a $7.8 million increase salaries, wages and benefits associated with increased headcount and higher wage rates due to the ongoing competitive labor market, (ii) $1.0 million in third party audit and compliance support, (iii) $1.3 million in increased fleet and contract transportation as a result of higher average daily attendance, increase in external appointments, and higher fuel costs, and (iv) $0.6 million in de novo costs.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$4.4 million for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$1.9 million, or 29.9%, compared to $6.3 million for the three months ended September 30, 2021, primarily due to a $1.3 million reduction in marketing spend and $0.5 million associated with fewer headcount within the sales department, both as a result of sanctions in our Colorado and Sacramento centers.</w:t>
      </w:r>
    </w:p>
    <w:p>
      <w:pPr>
        <w:spacing w:after="0" w:line="180" w:lineRule="exact"/>
        <w:rPr>
          <w:sz w:val="20"/>
          <w:szCs w:val="20"/>
          <w:color w:val="auto"/>
        </w:rPr>
      </w:pPr>
    </w:p>
    <w:p>
      <w:pPr>
        <w:jc w:val="both"/>
        <w:ind w:left="60" w:right="7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were $30.2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2022, an increase of $9.1 million, or 43.1%, compared to $21.1 million for the three months ended September 30, 2021. The increase was primarily due to (i) a $3.1 million increase in employee compensation and benefits as the result of an increase in headcount, to support compliance and bolster organizational capabilities, and (ii) $5.1 million in third party costs associated with strengthening organizational capabilities, implementing our core provider initiatives, and assessing our risk-bearing payor capabilities.</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45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6"/>
        </w:trPr>
        <w:tc>
          <w:tcPr>
            <w:tcW w:w="45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6"/>
        </w:trPr>
        <w:tc>
          <w:tcPr>
            <w:tcW w:w="4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(603)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107.5 %</w:t>
            </w:r>
          </w:p>
        </w:tc>
      </w:tr>
      <w:tr>
        <w:trPr>
          <w:trHeight w:val="209"/>
        </w:trPr>
        <w:tc>
          <w:tcPr>
            <w:tcW w:w="4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r>
      <w:tr>
        <w:trPr>
          <w:trHeight w:val="20"/>
        </w:trPr>
        <w:tc>
          <w:tcPr>
            <w:tcW w:w="4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income earned on our cash and cash equivalents and restricted cash. Interest expense, net was $0.6 million for</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three months ended September 30, 2022, an increase of $0.1 million, or 10.2%, compared to $0.5 million for the three months ended September 30, 2021. The increase was primarily due to a higher average interest rate, partially offset by a lower outstanding debt balance. For additional information regarding our outstanding indebtedness, see Note 8, “Long-Term Debt” to our condensed consolidated financial statements.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consists primarily of the net proceeds received from the sale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of property and equipment. Other income (expense) was $0.04 million for the three months ended September 30, 2022, an increase of $0.5 million, or 107.5%, compared to $(0.5 million) for the three months ended September 30, 2021. The increase is primarily due to the recognition of a loss on disposal of assets of $0.5 million during the three months ended September 30, 2021 related to the write off of certain assets in conjunction with a move to a new facility at our Roanoke, Virginia center.</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Sacramento have elected to be taxed as partnerships, and no provision for income taxes for SH1 or Sacramento is included in these condensed consolidated financial statements.</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6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reported benefit for income taxes of $3.5 million and a provision for income taxes of $3.0 million, respectively. The decrease of $6.5 million is primarily due (i) our pretax book loss recognized during the three months ended September 30, 2022, as compared to pretax book income recognized during the three months ended September 30, 2021 and (ii) certain permanent differences between the financial and tax accounting treatment of (a) the Section 162(m) limitation on compensation of five highest paid officers, (b) income from entities not subject to tax, and (c) disallowed stock options related to profit unit interests.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InnovAge Senior Housing Thornton, LLC (“SH1”)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are recorded in the consolidated statements of operations and the share of the other noncontrolling interest holders’ earnings are recorded as net loss attributable to noncontrolling interests.</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share of earnings are recorded in the consolidated statements of operations and the share of the other noncontrolling interest holders’ earnings are recorded as net loss attributable to noncontrolling interests.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reported net income (loss) of ($13.7 million) and $7.6 million, respectively, consisting of (i) income (loss) from operations of ($16.6 million) and $11.7 million,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respectively, (ii) other expense of $0.6 million and $1.0 million, respectively, and (iii) a benefit for income taxes of $3.5 million and provision of $3.0 million, respectively, each as described above.</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Key Business Metrics: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206"/>
        </w:trPr>
        <w:tc>
          <w:tcPr>
            <w:tcW w:w="41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Centers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Census</w:t>
            </w:r>
            <w:r>
              <w:rPr>
                <w:rFonts w:ascii="Times New Roman" w:cs="Times New Roman" w:eastAsia="Times New Roman" w:hAnsi="Times New Roman"/>
                <w:sz w:val="25"/>
                <w:szCs w:val="25"/>
                <w:color w:val="auto"/>
                <w:vertAlign w:val="superscript"/>
              </w:rPr>
              <w:t>(a)</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6,540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Total Member Months</w:t>
            </w:r>
            <w:r>
              <w:rPr>
                <w:rFonts w:ascii="Times New Roman" w:cs="Times New Roman" w:eastAsia="Times New Roman" w:hAnsi="Times New Roman"/>
                <w:sz w:val="25"/>
                <w:szCs w:val="25"/>
                <w:color w:val="auto"/>
                <w:vertAlign w:val="superscript"/>
              </w:rPr>
              <w:t>(a)</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19,740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Center-level Contribution Margin</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21,424</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Center-level Contribution Margin as a % of revenue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12.5 %</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Non-GAAP Measures: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(b)</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(3,815)</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18,212</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6"/>
                <w:szCs w:val="26"/>
                <w:color w:val="auto"/>
                <w:vertAlign w:val="superscript"/>
              </w:rPr>
              <w:t>(b)</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-10160</wp:posOffset>
            </wp:positionV>
            <wp:extent cx="1414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720" w:hanging="319"/>
        <w:spacing w:after="0" w:line="216" w:lineRule="auto"/>
        <w:tabs>
          <w:tab w:leader="none" w:pos="72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Amounts are approximate.</w:t>
      </w:r>
    </w:p>
    <w:p>
      <w:pPr>
        <w:spacing w:after="0" w:line="10" w:lineRule="exact"/>
        <w:rPr>
          <w:rFonts w:ascii="Times New Roman" w:cs="Times New Roman" w:eastAsia="Times New Roman" w:hAnsi="Times New Roman"/>
          <w:sz w:val="29"/>
          <w:szCs w:val="29"/>
          <w:color w:val="auto"/>
          <w:vertAlign w:val="superscript"/>
        </w:rPr>
      </w:pPr>
    </w:p>
    <w:p>
      <w:pPr>
        <w:jc w:val="both"/>
        <w:ind w:left="720" w:right="79" w:hanging="319"/>
        <w:spacing w:after="0" w:line="204" w:lineRule="auto"/>
        <w:tabs>
          <w:tab w:leader="none" w:pos="72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Adjusted EBITDA and Adjusted EBITDA margin are non-GAAP measures. For a definition and reconciliation of these non-GAAP measures to the most closely comparable GAAP measures for the period indicated, see below under “Adjusted EBITDA and Adjusted EBITDA Margin.”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define our centers as those centers open for business and attending to participants at the end of a particular period.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Census</w:t>
      </w:r>
    </w:p>
    <w:p>
      <w:pPr>
        <w:spacing w:after="0" w:line="22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define Center-level Contribution Margin as total revenues less external provider costs and cost of care, excluding depreciation and amortization, which includes all medical and pharmacy costs. For purposes of evaluating Center-level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Contribution Margin on a center-by-center basis, we do not allocate our sales and marketing expense or corporate, general and administrative expenses across our centers. Center-level Contribution Margin was $21.4 million and $42.3 million for the three months ended September 30, 2022 and 2021,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income (loss) adjusted for interest expense, depreciation and amortization, and provision for income tax as well as addbacks for non-recurring expenses or exceptional items, including charges relating to management equity compensation, class action litigation, M&amp;A transaction and integration, business optimization, and electronic medical record (“EMR”) implementation. Adjusted EBITDA margin is Adjusted EBITDA expressed as a percentage of our total revenue less any exceptional, one time revenue items. For the three months ended September 30, 2022 and 2021, net loss was $13.7 million and net income was $7.6 million, respectively, representing a year-over-year decrease of 279.7%. Adjusted EBITDA was ($3.8 million) and $18.2 million, for the three months ended September 30, 2022 and 2021, respectively, representing a year-over-year decrease of 120.9%. For the three months ended September 30, 2022, net loss margin was 8.0%, as compared to net income margin of 4.4% for the three months ended September 30, 2021. For the three months ended September 30, 2022, our Adjusted EBITDA margin was negative 2.2%, as compared to our Adjusted EBITDA margin for the three months ended September 30, 2021 of 10.5%. The decrease in Adjusted EBITDA and Adjusted EBITDA margin is primarily from (i) increased center-level headcount and wage rates associated with a competitive labor market, (ii) increased housing utilization and rates as mandated by the states, and (iii) higher corporate, general, and administrative expenses, primarily attributable to increased headcount to support compliance and to bolster our organizational capabilities.</w:t>
      </w:r>
    </w:p>
    <w:p>
      <w:pPr>
        <w:spacing w:after="0" w:line="19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to net income, the most directly comparable GAAP measure, for each of the periods is as follows:</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920" w:type="dxa"/>
            <w:vAlign w:val="bottom"/>
            <w:vMerge w:val="restart"/>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Class action litigation</w:t>
            </w:r>
            <w:r>
              <w:rPr>
                <w:rFonts w:ascii="Times New Roman" w:cs="Times New Roman" w:eastAsia="Times New Roman" w:hAnsi="Times New Roman"/>
                <w:sz w:val="25"/>
                <w:szCs w:val="25"/>
                <w:color w:val="auto"/>
                <w:vertAlign w:val="superscript"/>
              </w:rPr>
              <w:t>(a)</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M&amp;A and de novo development</w:t>
            </w:r>
            <w:r>
              <w:rPr>
                <w:rFonts w:ascii="Times New Roman" w:cs="Times New Roman" w:eastAsia="Times New Roman" w:hAnsi="Times New Roman"/>
                <w:sz w:val="25"/>
                <w:szCs w:val="25"/>
                <w:color w:val="auto"/>
                <w:vertAlign w:val="superscript"/>
              </w:rPr>
              <w:t>(b)</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Business optimization</w:t>
            </w:r>
            <w:r>
              <w:rPr>
                <w:rFonts w:ascii="Times New Roman" w:cs="Times New Roman" w:eastAsia="Times New Roman" w:hAnsi="Times New Roman"/>
                <w:sz w:val="25"/>
                <w:szCs w:val="25"/>
                <w:color w:val="auto"/>
                <w:vertAlign w:val="superscript"/>
              </w:rPr>
              <w:t>(c)</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EMR implementation</w:t>
            </w:r>
            <w:r>
              <w:rPr>
                <w:rFonts w:ascii="Times New Roman" w:cs="Times New Roman" w:eastAsia="Times New Roman" w:hAnsi="Times New Roman"/>
                <w:sz w:val="25"/>
                <w:szCs w:val="25"/>
                <w:color w:val="auto"/>
                <w:vertAlign w:val="superscript"/>
              </w:rPr>
              <w:t>(d)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720" w:hanging="319"/>
        <w:spacing w:after="0" w:line="209" w:lineRule="auto"/>
        <w:tabs>
          <w:tab w:leader="none" w:pos="7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Reflects charges/(credits) related to litigation by stockholders.</w:t>
      </w:r>
    </w:p>
    <w:p>
      <w:pPr>
        <w:spacing w:after="0" w:line="10" w:lineRule="exact"/>
        <w:rPr>
          <w:rFonts w:ascii="Times New Roman" w:cs="Times New Roman" w:eastAsia="Times New Roman" w:hAnsi="Times New Roman"/>
          <w:sz w:val="29"/>
          <w:szCs w:val="29"/>
          <w:color w:val="auto"/>
          <w:vertAlign w:val="superscript"/>
        </w:rPr>
      </w:pPr>
    </w:p>
    <w:p>
      <w:pPr>
        <w:ind w:left="720" w:hanging="319"/>
        <w:spacing w:after="0" w:line="182" w:lineRule="auto"/>
        <w:tabs>
          <w:tab w:leader="none" w:pos="7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Reflects charges related to M&amp;A transaction and integrations, and de novo center developments.</w:t>
      </w:r>
    </w:p>
    <w:p>
      <w:pPr>
        <w:spacing w:after="0" w:line="10" w:lineRule="exact"/>
        <w:rPr>
          <w:rFonts w:ascii="Times New Roman" w:cs="Times New Roman" w:eastAsia="Times New Roman" w:hAnsi="Times New Roman"/>
          <w:sz w:val="22"/>
          <w:szCs w:val="22"/>
          <w:color w:val="auto"/>
          <w:vertAlign w:val="superscript"/>
        </w:rPr>
      </w:pPr>
    </w:p>
    <w:p>
      <w:pPr>
        <w:jc w:val="both"/>
        <w:ind w:left="720" w:right="79" w:hanging="319"/>
        <w:spacing w:after="0" w:line="234" w:lineRule="auto"/>
        <w:tabs>
          <w:tab w:leader="none" w:pos="7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Reflects charges related to business optimization initiatives. Such charges related to one-time investments in projects designed to enhance our technology and compliance systems, improve and support the efficiency and effectiveness of our operations, and third party support to address efforts to remediate deficiencies in audits. For the three months ended September 30, 2022 this includes (i) $0.7 million related to consultants and contractors performing audit and other related services at sanctioned centers, (ii) $1.6 million of charges related to government investigations, and (iii) $4.3 million of costs associated with third party consultants as we implement our core provider initiatives, assess our risk-bearing payor capabilities, and strengthen our enterprise capabilities.</w:t>
      </w:r>
    </w:p>
    <w:p>
      <w:pPr>
        <w:spacing w:after="0" w:line="5" w:lineRule="exact"/>
        <w:rPr>
          <w:rFonts w:ascii="Times New Roman" w:cs="Times New Roman" w:eastAsia="Times New Roman" w:hAnsi="Times New Roman"/>
          <w:sz w:val="29"/>
          <w:szCs w:val="29"/>
          <w:color w:val="auto"/>
          <w:vertAlign w:val="superscript"/>
        </w:rPr>
      </w:pPr>
    </w:p>
    <w:p>
      <w:pPr>
        <w:ind w:left="720" w:hanging="319"/>
        <w:spacing w:after="0" w:line="183" w:lineRule="auto"/>
        <w:tabs>
          <w:tab w:leader="none" w:pos="7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Reflects non-recurring expenses relating to the implementation of a new electronic medical record vendor.</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cash flows from operations and through borrowings under our credit facilities, and from the sale of common stock in our IPO that occurred in March 2021. As of September 30, 2022, we had cash and cash equivalents of $188.2 million. Our cash and cash equivalents primarily consist of highly liquid investments in demand deposit accounts and cash.</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capital resources are generally used to fund (i) debt service requirements, the majority of which relate to the quarterly principal payments of the Term Loan Facility (as defined in Note 8, “Long Term Debt” to the condensed consolidated financial statements) due 2026, (ii) capital and operating lease obligations, which are generally paid on a monthly basis and include maturities through 2025 and 2032, respectively, (iii) the operations of our business, including special projects such as our transition to a new EMR vendor, with respect to which we expect to incur non-recurring implementation costs over the next 9 months, and ongoing costs through 2026, and third party support to address remediation efforts, and (iv) income tax payments, which are generally due on a quarterly and annual basis. We also will continue investing in the effective implementation of corrective remediation plans (CAPs) and other corrective initiatives as a result of deficiencies found during audits at some of our centers, and our ability to continually provide necessary and quality services to our participants. In the long term, we also expect to use capital resources for capital additions, which we expect to primarily relate to the development of de novo centers to the extent and if they are opened. Collectively, these obligations are expected to represent a significant liquidity requirement of our Company on both a short-term (next 12 months) and long-term (beyond 12 months) basis.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cash obligations consist of repayments of long-term debt and obligations under operating and capital leases. As of September 30, 2022, we had $72.6 million of long-term debt outstanding. As of September 30, 2022, we had future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minimum operating lease payments under non-cancellable leases through the year 2032 of $30.4 million. We also had non-cancellable finance lease agreements with third parties through the year 2027 with future minimum payments of $14.5 million. For additional information, see Note 7, “Leases”, Note 8, “Long Term Debt”, and Note 9, “Commitments and Contingencies” in our condensed consolidated financial statements.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2021 Credit Agreement and Revolving Credit Facility (each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subject to our ability to effectively remediate deficiencies identified in our Colorado and Sacramento centers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87"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2021 Credit Agreement consists of a senior secured term loan (the “Term Loan Facility”) of $75.0 million principal amount and a revolving credit facility (the “Revolving Credit Facility”) of $100.0 million maximum borrowing capacity. Principal on the Term Loan Facility is paid each calendar quarter in an amount equal to 1.25% of the initial term loan on closing date.</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Any outstanding principal amounts under the 2021 Credit Agreement accrue interest at a variable interest rate. As of September 30, 2022, the interest rate on the Term Loan Facility was 3.38%. Under the terms of the 2021 Credit Agreement, the Revolving Credit Facility fee accrues at 0.25% of the average daily unused amount and is paid quarterly. As of September 30, 2022, we had no borrowings outstanding under the Revolving Credit Facility and, therefore, had full capacity thereunder, subject to applicable covenant compliance restrictions and any other conditions precedent to borrowing. As of September 30, 2022, we also had $2.3 million principal amount outstanding under our convertible term loan. Monthly principal and interest payments are approximately $0.02 million, and the loan bears interest at an annual rate of 6.68%. The remaining principal balance is due upon maturity, which is August 20, 2030.</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about our debt, see Note 8 “Long-Term Debt” to our condensed consolidated financial statements.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consolidated statements of cash flows for the three months ended September 30, 2022 and 2021 are summarized as follows: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04"/>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change in cash, cash equivalents and</w:t>
            </w: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40" w:type="dxa"/>
            <w:vAlign w:val="bottom"/>
          </w:tcPr>
          <w:p>
            <w:pPr>
              <w:spacing w:after="0"/>
              <w:rPr>
                <w:sz w:val="15"/>
                <w:szCs w:val="15"/>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provided by operating activities was primarily due to the net effect of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loss of $13.7 million in the current year period compared to a net income of $7.6 million in the prior year period, as described further above, and (ii) a net increase in working capital primarily attributable to pre-payment for services.</w:t>
      </w:r>
    </w:p>
    <w:p>
      <w:pPr>
        <w:spacing w:after="0" w:line="173"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Investing activities were made up of approximately $7.7 million in purchases of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w:t>
      </w:r>
    </w:p>
    <w:p>
      <w:pPr>
        <w:spacing w:after="0" w:line="158"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increase in net cash used in financing activities was primarily due to an increase in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on capital leases.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a description of our estimates regarding our critical accounting estimates, see “Critical Accounting Estimates” in the 2022 Annual 10-K. With the exception of the adoption of ASC 842 – Leases, as more thoroughly described in Note 7 “Leases”, there have been no significant changes in our critical accounting policies, estimates, or methodologies to our condensed consolidated financial statements</w:t>
      </w:r>
      <w:r>
        <w:rPr>
          <w:rFonts w:ascii="Times New Roman" w:cs="Times New Roman" w:eastAsia="Times New Roman" w:hAnsi="Times New Roman"/>
          <w:sz w:val="18"/>
          <w:szCs w:val="18"/>
          <w:b w:val="1"/>
          <w:bCs w:val="1"/>
          <w:color w:val="212529"/>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2022, we had total outstanding debt of $70.3 million in principal amount under the Term Loan Facility, $2.3 million under the convertible term loan, and no outstanding debt under the Revolving Credit Facility (each as defined in Note 8, “Long Term Debt” to our condensed consolidated financial statements). As of June 30, 2022, we had total outstanding debt of $71.3 million in principal amount under the Term Loan Facility and $2.3 million under the Convertible Term Loan. As of September 30, 2022, the interest rate on the Term Loan Facility was 3.83%.</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had cash and cash equivalents of $188.2 million and $184.4 million as of September 30, 2022 and June 30, 2022, respectively, which are deposited with high credit quality financial institutions and are primarily in demand deposit accounts.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including as a result of COVID-19, will not have an adverse impact on our operating results and financial condition.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Evaluation of Disclosure Controls and Procedures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these disclosure controls and procedures were effective as of September 30,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Changes to our Internal Controls over Financial Reporting</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our material pending legal proceedings, refer to Note 9 to our Condensed Consolidated Financial Statements located in Item 1 of Part I of this Quarterly Report on Form 10-Q.</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previously disclosed in </w:t>
      </w:r>
      <w:r>
        <w:rPr>
          <w:rFonts w:ascii="Times New Roman" w:cs="Times New Roman" w:eastAsia="Times New Roman" w:hAnsi="Times New Roman"/>
          <w:sz w:val="18"/>
          <w:szCs w:val="18"/>
          <w:color w:val="212529"/>
        </w:rPr>
        <w:t>our 2022 10-K.</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12529"/>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900" w:type="dxa"/>
            <w:vAlign w:val="bottom"/>
            <w:gridSpan w:val="14"/>
          </w:tcPr>
          <w:p>
            <w:pPr>
              <w:ind w:left="32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60" w:type="dxa"/>
            <w:vAlign w:val="bottom"/>
            <w:gridSpan w:val="9"/>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61"/>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80" w:type="dxa"/>
            <w:vAlign w:val="bottom"/>
            <w:gridSpan w:val="1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808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2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Second Amended and Restated Certificate of Incorporation of InnovAge Holding Corp., filed March 3,</w:t>
              </w:r>
            </w:hyperlink>
          </w:p>
        </w:tc>
        <w:tc>
          <w:tcPr>
            <w:tcW w:w="4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1"/>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2021 (incorporated by reference to Exhibit 3.1 to the Company’s Current Report on Form 8-K filed with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SEC on March 8, 2021).</w:t>
              </w:r>
            </w:hyperlink>
          </w:p>
        </w:tc>
        <w:tc>
          <w:tcPr>
            <w:tcW w:w="600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Amended and Restated Bylaws of InnovAge Holding Corp., effective March 3, 2021 (incorporated by</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reference to Exhibit 3.2 to the Company’s Current Report on Form 8-K filed with the SEC on March 8,</w:t>
              </w:r>
            </w:hyperlink>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20" w:type="dxa"/>
            <w:vAlign w:val="bottom"/>
            <w:gridSpan w:val="3"/>
          </w:tcPr>
          <w:p>
            <w:pPr>
              <w:ind w:left="260"/>
              <w:spacing w:after="0" w:line="196" w:lineRule="exact"/>
              <w:rPr>
                <w:rFonts w:ascii="Times New Roman" w:cs="Times New Roman" w:eastAsia="Times New Roman" w:hAnsi="Times New Roman"/>
                <w:sz w:val="18"/>
                <w:szCs w:val="18"/>
                <w:color w:val="0000EE"/>
                <w:w w:val="94"/>
              </w:rPr>
            </w:pPr>
            <w:hyperlink r:id="rId60">
              <w:r>
                <w:rPr>
                  <w:rFonts w:ascii="Times New Roman" w:cs="Times New Roman" w:eastAsia="Times New Roman" w:hAnsi="Times New Roman"/>
                  <w:sz w:val="18"/>
                  <w:szCs w:val="18"/>
                  <w:color w:val="0000EE"/>
                  <w:w w:val="94"/>
                </w:rPr>
                <w:t>2021).</w:t>
              </w:r>
            </w:hyperlink>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w:t>
            </w:r>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hanging="1084"/>
        <w:spacing w:after="0"/>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380" w:right="11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-501650</wp:posOffset>
            </wp:positionV>
            <wp:extent cx="1414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INNOVAGE HOLDING CORP.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Gutierrez</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Barbara Gutierrez</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117" w:lineRule="exact"/>
        <w:rPr>
          <w:sz w:val="20"/>
          <w:szCs w:val="20"/>
          <w:color w:val="auto"/>
        </w:rPr>
      </w:pPr>
    </w:p>
    <w:p>
      <w:pPr>
        <w:ind w:left="1020" w:hanging="65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ind w:left="1020" w:right="119" w:hanging="652"/>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1020" w:right="439" w:hanging="652"/>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1020" w:right="399" w:hanging="652"/>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Times New Roman" w:cs="Times New Roman" w:eastAsia="Times New Roman" w:hAnsi="Times New Roman"/>
          <w:sz w:val="18"/>
          <w:szCs w:val="18"/>
          <w:color w:val="auto"/>
        </w:rPr>
      </w:pPr>
    </w:p>
    <w:p>
      <w:pPr>
        <w:ind w:left="1660" w:right="79" w:hanging="644"/>
        <w:spacing w:after="0" w:line="255" w:lineRule="auto"/>
        <w:tabs>
          <w:tab w:leader="none" w:pos="1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sz w:val="20"/>
          <w:szCs w:val="20"/>
          <w:color w:val="auto"/>
        </w:rPr>
      </w:pPr>
    </w:p>
    <w:p>
      <w:pPr>
        <w:jc w:val="both"/>
        <w:ind w:left="1660" w:right="319" w:hanging="644"/>
        <w:spacing w:after="0" w:line="258" w:lineRule="auto"/>
        <w:tabs>
          <w:tab w:leader="none" w:pos="1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660" w:right="139" w:hanging="644"/>
        <w:spacing w:after="0" w:line="255" w:lineRule="auto"/>
        <w:tabs>
          <w:tab w:leader="none" w:pos="1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jc w:val="both"/>
        <w:ind w:left="1020" w:right="219" w:hanging="652"/>
        <w:spacing w:after="0" w:line="25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660" w:right="359" w:hanging="644"/>
        <w:spacing w:after="0" w:line="258" w:lineRule="auto"/>
        <w:tabs>
          <w:tab w:leader="none" w:pos="1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660" w:right="579" w:hanging="644"/>
        <w:spacing w:after="0" w:line="266" w:lineRule="auto"/>
        <w:tabs>
          <w:tab w:leader="none" w:pos="1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7" w:lineRule="exact"/>
        <w:rPr>
          <w:sz w:val="20"/>
          <w:szCs w:val="20"/>
          <w:color w:val="auto"/>
        </w:rPr>
      </w:pPr>
    </w:p>
    <w:p>
      <w:pPr>
        <w:ind w:left="4680"/>
        <w:spacing w:after="0"/>
        <w:tabs>
          <w:tab w:leader="none" w:pos="5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Name: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-119380</wp:posOffset>
            </wp:positionV>
            <wp:extent cx="2400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549910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Barbara Gutierrez, certify that:</w:t>
      </w:r>
    </w:p>
    <w:p>
      <w:pPr>
        <w:spacing w:after="0" w:line="117" w:lineRule="exact"/>
        <w:rPr>
          <w:sz w:val="20"/>
          <w:szCs w:val="20"/>
          <w:color w:val="auto"/>
        </w:rPr>
      </w:pPr>
    </w:p>
    <w:p>
      <w:pPr>
        <w:ind w:left="1020" w:hanging="652"/>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ind w:left="1020" w:right="119" w:hanging="652"/>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1020" w:right="439" w:hanging="652"/>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1020" w:right="399" w:hanging="652"/>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Times New Roman" w:cs="Times New Roman" w:eastAsia="Times New Roman" w:hAnsi="Times New Roman"/>
          <w:sz w:val="18"/>
          <w:szCs w:val="18"/>
          <w:color w:val="auto"/>
        </w:rPr>
      </w:pPr>
    </w:p>
    <w:p>
      <w:pPr>
        <w:ind w:left="1660" w:right="79" w:hanging="644"/>
        <w:spacing w:after="0" w:line="255"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1660" w:right="319" w:hanging="644"/>
        <w:spacing w:after="0" w:line="258"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660" w:right="139" w:hanging="644"/>
        <w:spacing w:after="0" w:line="255"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jc w:val="both"/>
        <w:ind w:left="1020" w:right="219" w:hanging="652"/>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660" w:right="359" w:hanging="644"/>
        <w:spacing w:after="0" w:line="258"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660" w:right="579" w:hanging="644"/>
        <w:spacing w:after="0" w:line="266" w:lineRule="auto"/>
        <w:tabs>
          <w:tab w:leader="none" w:pos="1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Barbara Gutierrez</w:t>
      </w:r>
    </w:p>
    <w:p>
      <w:pPr>
        <w:spacing w:after="0" w:line="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3914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4" w:name="page45"/>
    <w:bookmarkEnd w:id="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left="40" w:right="199" w:firstLine="5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September 30, 2022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340" w:right="539" w:hanging="648"/>
        <w:spacing w:after="0" w:line="266"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81" w:lineRule="exact"/>
        <w:rPr>
          <w:rFonts w:ascii="Times New Roman" w:cs="Times New Roman" w:eastAsia="Times New Roman" w:hAnsi="Times New Roman"/>
          <w:sz w:val="18"/>
          <w:szCs w:val="18"/>
          <w:color w:val="auto"/>
        </w:rPr>
      </w:pPr>
    </w:p>
    <w:p>
      <w:pPr>
        <w:ind w:left="1340" w:right="279" w:hanging="648"/>
        <w:spacing w:after="0" w:line="266"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-119380</wp:posOffset>
            </wp:positionV>
            <wp:extent cx="2468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8"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45" w:name="page46"/>
    <w:bookmarkEnd w:id="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left="40" w:right="99" w:firstLine="5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September 30, 2022 as filed with the U.S. Securities and Exchange Commission (the “Report”), I, Barbara Gutierrez, Chief Financial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340" w:right="539" w:hanging="648"/>
        <w:spacing w:after="0" w:line="266"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81" w:lineRule="exact"/>
        <w:rPr>
          <w:rFonts w:ascii="Times New Roman" w:cs="Times New Roman" w:eastAsia="Times New Roman" w:hAnsi="Times New Roman"/>
          <w:sz w:val="18"/>
          <w:szCs w:val="18"/>
          <w:color w:val="auto"/>
        </w:rPr>
      </w:pPr>
    </w:p>
    <w:p>
      <w:pPr>
        <w:ind w:left="1340" w:right="279" w:hanging="648"/>
        <w:spacing w:after="0" w:line="266"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8, 2022</w:t>
      </w:r>
    </w:p>
    <w:p>
      <w:pPr>
        <w:spacing w:after="0" w:line="200" w:lineRule="exact"/>
        <w:rPr>
          <w:sz w:val="20"/>
          <w:szCs w:val="20"/>
          <w:color w:val="auto"/>
        </w:rPr>
      </w:pPr>
    </w:p>
    <w:p>
      <w:pPr>
        <w:spacing w:after="0" w:line="336"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Barbara Gutierrez</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Barbara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-119380</wp:posOffset>
            </wp:positionV>
            <wp:extent cx="24688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8"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lvl w:ilvl="1">
      <w:lvlJc w:val="left"/>
      <w:lvlText w:val="%2"/>
      <w:numFmt w:val="decimal"/>
      <w:start w:val="104"/>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3"/>
    </w:lvl>
  </w:abstractNum>
  <w:abstractNum w:abstractNumId="14">
    <w:nsid w:val="4E6AFB66"/>
    <w:multiLevelType w:val="hybridMultilevel"/>
    <w:lvl w:ilvl="0">
      <w:lvlJc w:val="left"/>
      <w:lvlText w:val="%1."/>
      <w:numFmt w:val="decimal"/>
      <w:start w:val="5"/>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59" Type="http://schemas.openxmlformats.org/officeDocument/2006/relationships/hyperlink" Target="https://www.sec.gov/Archives/edgar/data/1834376/000110465921033328/tm2037889d18_ex3-1.htm" TargetMode="External"/><Relationship Id="rId60" Type="http://schemas.openxmlformats.org/officeDocument/2006/relationships/hyperlink" Target="https://www.sec.gov/Archives/edgar/data/1834376/000110465921033328/tm2037889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2022-11-08T17:46:24Z</dcterms:created>
  <dcterms:modified xsi:type="dcterms:W3CDTF">2022-11-08T17:46:24Z</dcterms:modified>
</cp:coreProperties>
</file>