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79375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000" w:right="1520" w:hanging="2470"/>
        <w:spacing w:after="0" w:line="267" w:lineRule="auto"/>
        <w:tabs>
          <w:tab w:leader="none" w:pos="218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 w:lineRule="exact"/>
        <w:rPr>
          <w:sz w:val="24"/>
          <w:szCs w:val="24"/>
          <w:color w:val="auto"/>
        </w:rPr>
      </w:pPr>
    </w:p>
    <w:p>
      <w:pPr>
        <w:ind w:left="4000" w:right="1500" w:hanging="2488"/>
        <w:spacing w:after="0" w:line="269" w:lineRule="auto"/>
        <w:tabs>
          <w:tab w:leader="none" w:pos="216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ind w:left="3420"/>
        <w:spacing w:after="0"/>
        <w:tabs>
          <w:tab w:leader="none" w:pos="5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3529965</wp:posOffset>
            </wp:positionH>
            <wp:positionV relativeFrom="paragraph">
              <wp:posOffset>-9525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Commission File Number: 001-40159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84455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144145</wp:posOffset>
            </wp:positionV>
            <wp:extent cx="1714500"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InnovAge Holding Corp.</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9"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4"/>
              </w:rPr>
              <w:t>Delaware</w:t>
            </w:r>
          </w:p>
        </w:tc>
        <w:tc>
          <w:tcPr>
            <w:tcW w:w="2940" w:type="dxa"/>
            <w:vAlign w:val="bottom"/>
          </w:tcPr>
          <w:p>
            <w:pPr>
              <w:jc w:val="right"/>
              <w:ind w:right="308"/>
              <w:spacing w:after="0"/>
              <w:rPr>
                <w:sz w:val="20"/>
                <w:szCs w:val="20"/>
                <w:color w:val="auto"/>
              </w:rPr>
            </w:pPr>
            <w:r>
              <w:rPr>
                <w:rFonts w:ascii="Arial" w:cs="Arial" w:eastAsia="Arial" w:hAnsi="Arial"/>
                <w:sz w:val="14"/>
                <w:szCs w:val="14"/>
                <w:b w:val="1"/>
                <w:bCs w:val="1"/>
                <w:color w:val="auto"/>
              </w:rPr>
              <w:t>81-0710819</w:t>
            </w:r>
          </w:p>
        </w:tc>
      </w:tr>
      <w:tr>
        <w:trPr>
          <w:trHeight w:val="148"/>
        </w:trPr>
        <w:tc>
          <w:tcPr>
            <w:tcW w:w="3960" w:type="dxa"/>
            <w:vAlign w:val="bottom"/>
          </w:tcPr>
          <w:p>
            <w:pPr>
              <w:jc w:val="center"/>
              <w:ind w:right="14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4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5"/>
              </w:rPr>
              <w:t>Incorporation or Organization)</w:t>
            </w:r>
          </w:p>
        </w:tc>
        <w:tc>
          <w:tcPr>
            <w:tcW w:w="2940" w:type="dxa"/>
            <w:vAlign w:val="bottom"/>
          </w:tcPr>
          <w:p>
            <w:pPr>
              <w:jc w:val="center"/>
              <w:ind w:left="1428"/>
              <w:spacing w:after="0"/>
              <w:rPr>
                <w:sz w:val="20"/>
                <w:szCs w:val="20"/>
                <w:color w:val="auto"/>
              </w:rPr>
            </w:pPr>
            <w:r>
              <w:rPr>
                <w:rFonts w:ascii="Arial" w:cs="Arial" w:eastAsia="Arial" w:hAnsi="Arial"/>
                <w:sz w:val="14"/>
                <w:szCs w:val="14"/>
                <w:b w:val="1"/>
                <w:bCs w:val="1"/>
                <w:color w:val="auto"/>
                <w:w w:val="96"/>
              </w:rPr>
              <w:t>Identification Number)</w:t>
            </w:r>
          </w:p>
        </w:tc>
      </w:tr>
      <w:tr>
        <w:trPr>
          <w:trHeight w:val="219"/>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5"/>
              </w:rPr>
              <w:t>8950 E. Lowry Boulevard</w:t>
            </w:r>
          </w:p>
        </w:tc>
        <w:tc>
          <w:tcPr>
            <w:tcW w:w="2940" w:type="dxa"/>
            <w:vAlign w:val="bottom"/>
          </w:tcPr>
          <w:p>
            <w:pPr>
              <w:jc w:val="right"/>
              <w:ind w:right="468"/>
              <w:spacing w:after="0"/>
              <w:rPr>
                <w:sz w:val="20"/>
                <w:szCs w:val="20"/>
                <w:color w:val="auto"/>
              </w:rPr>
            </w:pPr>
            <w:r>
              <w:rPr>
                <w:rFonts w:ascii="Arial" w:cs="Arial" w:eastAsia="Arial" w:hAnsi="Arial"/>
                <w:sz w:val="14"/>
                <w:szCs w:val="14"/>
                <w:b w:val="1"/>
                <w:bCs w:val="1"/>
                <w:color w:val="auto"/>
              </w:rPr>
              <w:t>80230</w:t>
            </w:r>
          </w:p>
        </w:tc>
      </w:tr>
      <w:tr>
        <w:trPr>
          <w:trHeight w:val="149"/>
        </w:trPr>
        <w:tc>
          <w:tcPr>
            <w:tcW w:w="3960" w:type="dxa"/>
            <w:vAlign w:val="bottom"/>
          </w:tcPr>
          <w:p>
            <w:pPr>
              <w:jc w:val="center"/>
              <w:ind w:right="1428"/>
              <w:spacing w:after="0" w:line="149" w:lineRule="exact"/>
              <w:rPr>
                <w:sz w:val="20"/>
                <w:szCs w:val="20"/>
                <w:color w:val="auto"/>
              </w:rPr>
            </w:pPr>
            <w:r>
              <w:rPr>
                <w:rFonts w:ascii="Arial" w:cs="Arial" w:eastAsia="Arial" w:hAnsi="Arial"/>
                <w:sz w:val="14"/>
                <w:szCs w:val="14"/>
                <w:b w:val="1"/>
                <w:bCs w:val="1"/>
                <w:color w:val="auto"/>
                <w:w w:val="96"/>
              </w:rPr>
              <w:t>Denver, CO</w:t>
            </w:r>
          </w:p>
        </w:tc>
        <w:tc>
          <w:tcPr>
            <w:tcW w:w="294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8"/>
              </w:rPr>
              <w:t>(Zip Code)</w:t>
            </w:r>
          </w:p>
        </w:tc>
      </w:tr>
      <w:tr>
        <w:trPr>
          <w:trHeight w:val="186"/>
        </w:trPr>
        <w:tc>
          <w:tcPr>
            <w:tcW w:w="39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40" w:type="dxa"/>
            <w:vAlign w:val="bottom"/>
          </w:tcPr>
          <w:p>
            <w:pPr>
              <w:spacing w:after="0"/>
              <w:rPr>
                <w:sz w:val="16"/>
                <w:szCs w:val="16"/>
                <w:color w:val="auto"/>
              </w:rPr>
            </w:pPr>
          </w:p>
        </w:tc>
      </w:tr>
    </w:tbl>
    <w:p>
      <w:pPr>
        <w:jc w:val="center"/>
        <w:spacing w:after="0"/>
        <w:rPr>
          <w:sz w:val="20"/>
          <w:szCs w:val="20"/>
          <w:color w:val="auto"/>
        </w:rPr>
      </w:pPr>
      <w:r>
        <w:rPr>
          <w:rFonts w:ascii="Arial" w:cs="Arial" w:eastAsia="Arial" w:hAnsi="Arial"/>
          <w:sz w:val="16"/>
          <w:szCs w:val="16"/>
          <w:b w:val="1"/>
          <w:bCs w:val="1"/>
          <w:color w:val="auto"/>
        </w:rPr>
        <w:t>(844) 803-8745</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84455</wp:posOffset>
            </wp:positionV>
            <wp:extent cx="157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Securities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3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87"/>
        </w:trPr>
        <w:tc>
          <w:tcPr>
            <w:tcW w:w="3340" w:type="dxa"/>
            <w:vAlign w:val="bottom"/>
            <w:tcBorders>
              <w:left w:val="single" w:sz="8" w:color="auto"/>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3380" w:type="dxa"/>
            <w:vAlign w:val="bottom"/>
            <w:tcBorders>
              <w:bottom w:val="single" w:sz="8" w:color="auto"/>
              <w:right w:val="single" w:sz="8" w:color="auto"/>
            </w:tcBorders>
          </w:tcPr>
          <w:p>
            <w:pPr>
              <w:spacing w:after="0"/>
              <w:rPr>
                <w:sz w:val="7"/>
                <w:szCs w:val="7"/>
                <w:color w:val="auto"/>
              </w:rPr>
            </w:pPr>
          </w:p>
        </w:tc>
      </w:tr>
      <w:tr>
        <w:trPr>
          <w:trHeight w:val="182"/>
        </w:trPr>
        <w:tc>
          <w:tcPr>
            <w:tcW w:w="33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2"/>
              </w:rPr>
              <w:t>Common Stock, $0.001 par value</w:t>
            </w:r>
          </w:p>
        </w:tc>
        <w:tc>
          <w:tcPr>
            <w:tcW w:w="32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INNV</w:t>
            </w:r>
          </w:p>
        </w:tc>
        <w:tc>
          <w:tcPr>
            <w:tcW w:w="33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3"/>
              </w:rPr>
              <w:t>The Nasdaq Stock Market LLC (Nasdaq</w:t>
            </w:r>
          </w:p>
        </w:tc>
      </w:tr>
      <w:tr>
        <w:trPr>
          <w:trHeight w:val="210"/>
        </w:trPr>
        <w:tc>
          <w:tcPr>
            <w:tcW w:w="334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Global Select Market)</w:t>
            </w:r>
          </w:p>
        </w:tc>
      </w:tr>
      <w:tr>
        <w:trPr>
          <w:trHeight w:val="100"/>
        </w:trPr>
        <w:tc>
          <w:tcPr>
            <w:tcW w:w="334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r>
    </w:tbl>
    <w:p>
      <w:pPr>
        <w:spacing w:after="0" w:line="11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780" w:space="720"/>
            <w:col w:w="160" w:space="60"/>
            <w:col w:w="2540" w:space="720"/>
            <w:col w:w="3940"/>
          </w:cols>
          <w:pgMar w:left="980" w:top="665" w:right="9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186" w:lineRule="exact"/>
        <w:rPr>
          <w:sz w:val="24"/>
          <w:szCs w:val="24"/>
          <w:color w:val="auto"/>
        </w:rPr>
      </w:pPr>
    </w:p>
    <w:p>
      <w:pPr>
        <w:sectPr>
          <w:pgSz w:w="11900" w:h="16838" w:orient="portrait"/>
          <w:cols w:equalWidth="0" w:num="6">
            <w:col w:w="1780" w:space="720"/>
            <w:col w:w="160" w:space="60"/>
            <w:col w:w="2540" w:space="720"/>
            <w:col w:w="140" w:space="80"/>
            <w:col w:w="2800" w:space="720"/>
            <w:col w:w="200"/>
          </w:cols>
          <w:pgMar w:left="980" w:top="665" w:right="999" w:bottom="1440" w:gutter="0" w:footer="0" w:header="0"/>
          <w:type w:val="continuous"/>
        </w:sect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700" w:right="1580" w:hanging="688"/>
        <w:spacing w:after="0" w:line="22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5, 2021, there were 135,516,513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749935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115570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385"/>
        </w:trPr>
        <w:tc>
          <w:tcPr>
            <w:tcW w:w="132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940" w:type="dxa"/>
            <w:vAlign w:val="bottom"/>
            <w:gridSpan w:val="2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6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800" w:type="dxa"/>
            <w:vAlign w:val="bottom"/>
            <w:gridSpan w:val="5"/>
          </w:tcPr>
          <w:p>
            <w:pPr>
              <w:spacing w:after="0"/>
              <w:rPr>
                <w:sz w:val="24"/>
                <w:szCs w:val="24"/>
                <w:color w:val="auto"/>
              </w:rPr>
            </w:pPr>
          </w:p>
        </w:tc>
        <w:tc>
          <w:tcPr>
            <w:tcW w:w="24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452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0"/>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Balance Sheets as of September 30, 2021 and June 30, 2021</w:t>
              </w:r>
            </w:hyperlink>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78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for the three months ended September 30,</w:t>
              </w:r>
            </w:hyperlink>
          </w:p>
        </w:tc>
        <w:tc>
          <w:tcPr>
            <w:tcW w:w="22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4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2021 and 2020 (Unaudited)</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0"/>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Stockholders’ Equity for the three months ended</w:t>
              </w:r>
            </w:hyperlink>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2021 and 2020 (Unaudited)</w:t>
              </w:r>
            </w:hyperlink>
          </w:p>
        </w:tc>
        <w:tc>
          <w:tcPr>
            <w:tcW w:w="58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 for the three months ended September 30,</w:t>
              </w:r>
            </w:hyperlink>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2021 and 2020 (Unaudited)</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0"/>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Notes to Condensed Consolidated Financial Statements as of September 30, 2021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800" w:type="dxa"/>
            <w:vAlign w:val="bottom"/>
            <w:gridSpan w:val="5"/>
          </w:tcPr>
          <w:p>
            <w:pPr>
              <w:spacing w:after="0"/>
              <w:rPr>
                <w:sz w:val="24"/>
                <w:szCs w:val="24"/>
                <w:color w:val="auto"/>
              </w:rPr>
            </w:pPr>
          </w:p>
        </w:tc>
        <w:tc>
          <w:tcPr>
            <w:tcW w:w="64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320" w:type="dxa"/>
            <w:vAlign w:val="bottom"/>
            <w:tcBorders>
              <w:top w:val="single" w:sz="8" w:color="0000EE"/>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3.</w:t>
              </w:r>
            </w:hyperlink>
          </w:p>
        </w:tc>
        <w:tc>
          <w:tcPr>
            <w:tcW w:w="800" w:type="dxa"/>
            <w:vAlign w:val="bottom"/>
            <w:gridSpan w:val="5"/>
          </w:tcPr>
          <w:p>
            <w:pPr>
              <w:spacing w:after="0"/>
              <w:rPr>
                <w:sz w:val="24"/>
                <w:szCs w:val="24"/>
                <w:color w:val="auto"/>
              </w:rPr>
            </w:pPr>
          </w:p>
        </w:tc>
        <w:tc>
          <w:tcPr>
            <w:tcW w:w="694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800" w:type="dxa"/>
            <w:vAlign w:val="bottom"/>
            <w:gridSpan w:val="5"/>
          </w:tcPr>
          <w:p>
            <w:pPr>
              <w:spacing w:after="0"/>
              <w:rPr>
                <w:sz w:val="24"/>
                <w:szCs w:val="24"/>
                <w:color w:val="auto"/>
              </w:rPr>
            </w:pP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264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780" w:type="dxa"/>
            <w:vAlign w:val="bottom"/>
            <w:gridSpan w:val="4"/>
          </w:tcPr>
          <w:p>
            <w:pPr>
              <w:spacing w:after="0"/>
              <w:rPr>
                <w:sz w:val="24"/>
                <w:szCs w:val="24"/>
                <w:color w:val="auto"/>
              </w:rPr>
            </w:pPr>
          </w:p>
        </w:tc>
        <w:tc>
          <w:tcPr>
            <w:tcW w:w="6940" w:type="dxa"/>
            <w:vAlign w:val="bottom"/>
            <w:gridSpan w:val="20"/>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550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1320" w:type="dxa"/>
            <w:vAlign w:val="bottom"/>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1A.</w:t>
              </w:r>
            </w:hyperlink>
          </w:p>
        </w:tc>
        <w:tc>
          <w:tcPr>
            <w:tcW w:w="694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680" w:type="dxa"/>
            <w:vAlign w:val="bottom"/>
            <w:gridSpan w:val="3"/>
          </w:tcPr>
          <w:p>
            <w:pPr>
              <w:spacing w:after="0"/>
              <w:rPr>
                <w:sz w:val="24"/>
                <w:szCs w:val="24"/>
                <w:color w:val="auto"/>
              </w:rPr>
            </w:pPr>
          </w:p>
        </w:tc>
        <w:tc>
          <w:tcPr>
            <w:tcW w:w="694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3.</w:t>
              </w:r>
            </w:hyperlink>
          </w:p>
        </w:tc>
        <w:tc>
          <w:tcPr>
            <w:tcW w:w="800" w:type="dxa"/>
            <w:vAlign w:val="bottom"/>
            <w:gridSpan w:val="5"/>
          </w:tcPr>
          <w:p>
            <w:pPr>
              <w:spacing w:after="0"/>
              <w:rPr>
                <w:sz w:val="24"/>
                <w:szCs w:val="24"/>
                <w:color w:val="auto"/>
              </w:rPr>
            </w:pP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Defaults Upon Senior Securities</w:t>
              </w:r>
            </w:hyperlink>
          </w:p>
        </w:tc>
        <w:tc>
          <w:tcPr>
            <w:tcW w:w="260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4.</w:t>
              </w:r>
            </w:hyperlink>
          </w:p>
        </w:tc>
        <w:tc>
          <w:tcPr>
            <w:tcW w:w="800" w:type="dxa"/>
            <w:vAlign w:val="bottom"/>
            <w:gridSpan w:val="5"/>
          </w:tcPr>
          <w:p>
            <w:pPr>
              <w:spacing w:after="0"/>
              <w:rPr>
                <w:sz w:val="24"/>
                <w:szCs w:val="24"/>
                <w:color w:val="auto"/>
              </w:rPr>
            </w:pP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462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5.</w:t>
              </w:r>
            </w:hyperlink>
          </w:p>
        </w:tc>
        <w:tc>
          <w:tcPr>
            <w:tcW w:w="80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518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6.</w:t>
              </w:r>
            </w:hyperlink>
          </w:p>
        </w:tc>
        <w:tc>
          <w:tcPr>
            <w:tcW w:w="800" w:type="dxa"/>
            <w:vAlign w:val="bottom"/>
            <w:gridSpan w:val="5"/>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6340" w:type="dxa"/>
            <w:vAlign w:val="bottom"/>
            <w:gridSpan w:val="19"/>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100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Exhibit Index</w:t>
              </w:r>
            </w:hyperlink>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132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212529"/>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Forward-looking statements may be identified by the fact that they do not relate strictly to historical or current facts and may include statements about our expectations to increase the number of participants we serve, to grow enrollment and capacity within existing centers, to build de novo centers, and other similar statements.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74" w:lineRule="exact"/>
        <w:rPr>
          <w:sz w:val="20"/>
          <w:szCs w:val="20"/>
          <w:color w:val="auto"/>
        </w:rPr>
      </w:pPr>
    </w:p>
    <w:p>
      <w:pPr>
        <w:ind w:left="900" w:right="359" w:hanging="377"/>
        <w:spacing w:after="0" w:line="25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security breaches, loss of data or other disruptions causing the compromise of sensitive information or preventing us from accessing critical information;</w:t>
      </w:r>
    </w:p>
    <w:p>
      <w:pPr>
        <w:spacing w:after="0" w:line="1"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proper and effective internal control over financial reporting;</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on our business of disruptions in our disaster recovery systems or management continuity planning;</w:t>
      </w:r>
    </w:p>
    <w:p>
      <w:pPr>
        <w:spacing w:after="0" w:line="32" w:lineRule="exact"/>
        <w:rPr>
          <w:rFonts w:ascii="Arial" w:cs="Arial" w:eastAsia="Arial" w:hAnsi="Arial"/>
          <w:sz w:val="16"/>
          <w:szCs w:val="16"/>
          <w:color w:val="auto"/>
        </w:rPr>
      </w:pPr>
    </w:p>
    <w:p>
      <w:pPr>
        <w:ind w:left="900" w:right="19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restrictions on our use of or ability to license data or our failure to license data and integrate third-party technologies;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highly qualified personnel;</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team’s limited experience managing a public company;</w:t>
      </w:r>
    </w:p>
    <w:p>
      <w:pPr>
        <w:spacing w:after="0" w:line="9" w:lineRule="exact"/>
        <w:rPr>
          <w:rFonts w:ascii="Arial" w:cs="Arial" w:eastAsia="Arial" w:hAnsi="Arial"/>
          <w:sz w:val="18"/>
          <w:szCs w:val="18"/>
          <w:color w:val="auto"/>
        </w:rPr>
      </w:pPr>
    </w:p>
    <w:p>
      <w:pPr>
        <w:ind w:left="900" w:right="41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the termination of our leases, increases in rent or inability to renew or extend leases;</w:t>
      </w:r>
    </w:p>
    <w:p>
      <w:pPr>
        <w:ind w:left="900" w:right="319" w:hanging="377"/>
        <w:spacing w:after="0" w:line="265"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failures by our suppliers, material price increases on supplies, lack of reimbursement for drugs we purchase or limitations on our ability to access new technology or products;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corporate culture;</w:t>
      </w:r>
    </w:p>
    <w:p>
      <w:pPr>
        <w:spacing w:after="0" w:line="9" w:lineRule="exact"/>
        <w:rPr>
          <w:rFonts w:ascii="Arial" w:cs="Arial" w:eastAsia="Arial" w:hAnsi="Arial"/>
          <w:sz w:val="18"/>
          <w:szCs w:val="18"/>
          <w:color w:val="auto"/>
        </w:rPr>
      </w:pPr>
    </w:p>
    <w:p>
      <w:pPr>
        <w:ind w:left="900" w:right="27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for physicians and nurses, shortages of qualified personnel and related increases in our labor costs;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the services of key primary care physicians;</w:t>
      </w:r>
    </w:p>
    <w:p>
      <w:pPr>
        <w:spacing w:after="0" w:line="9" w:lineRule="exact"/>
        <w:rPr>
          <w:rFonts w:ascii="Arial" w:cs="Arial" w:eastAsia="Arial" w:hAnsi="Arial"/>
          <w:sz w:val="18"/>
          <w:szCs w:val="18"/>
          <w:color w:val="auto"/>
        </w:rPr>
      </w:pPr>
    </w:p>
    <w:p>
      <w:pPr>
        <w:ind w:left="900" w:right="359" w:hanging="377"/>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our submissions to health plans may contain inaccurate or unsupportable information regarding risk adjustment scores of members;</w:t>
      </w: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incurred but not reported medical expense;</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negative publicity regarding the managed healthcare industry;</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state and federal efforts to reduce Medicaid spending;</w:t>
      </w:r>
    </w:p>
    <w:p>
      <w:pPr>
        <w:spacing w:after="0" w:line="9" w:lineRule="exact"/>
        <w:rPr>
          <w:rFonts w:ascii="Arial" w:cs="Arial" w:eastAsia="Arial" w:hAnsi="Arial"/>
          <w:sz w:val="18"/>
          <w:szCs w:val="18"/>
          <w:color w:val="auto"/>
        </w:rPr>
      </w:pPr>
    </w:p>
    <w:p>
      <w:pPr>
        <w:ind w:left="900" w:hanging="37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centers of adverse weather conditions and other factors beyond our control; and</w:t>
      </w:r>
    </w:p>
    <w:p>
      <w:pPr>
        <w:spacing w:after="0" w:line="9" w:lineRule="exact"/>
        <w:rPr>
          <w:rFonts w:ascii="Arial" w:cs="Arial" w:eastAsia="Arial" w:hAnsi="Arial"/>
          <w:sz w:val="18"/>
          <w:szCs w:val="18"/>
          <w:color w:val="auto"/>
        </w:rPr>
      </w:pPr>
    </w:p>
    <w:p>
      <w:pPr>
        <w:ind w:left="900" w:right="479" w:hanging="377"/>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other factors disclosed in the section entitled “Risk Factors” in the </w:t>
      </w:r>
      <w:r>
        <w:rPr>
          <w:rFonts w:ascii="Arial" w:cs="Arial" w:eastAsia="Arial" w:hAnsi="Arial"/>
          <w:sz w:val="18"/>
          <w:szCs w:val="18"/>
          <w:color w:val="212529"/>
        </w:rPr>
        <w:t>prospectus dated March 3, 2021, which</w:t>
      </w:r>
      <w:r>
        <w:rPr>
          <w:rFonts w:ascii="Arial" w:cs="Arial" w:eastAsia="Arial" w:hAnsi="Arial"/>
          <w:sz w:val="18"/>
          <w:szCs w:val="18"/>
          <w:color w:val="auto"/>
        </w:rPr>
        <w:t xml:space="preserve"> </w:t>
      </w:r>
      <w:r>
        <w:rPr>
          <w:rFonts w:ascii="Arial" w:cs="Arial" w:eastAsia="Arial" w:hAnsi="Arial"/>
          <w:sz w:val="18"/>
          <w:szCs w:val="18"/>
          <w:color w:val="212529"/>
        </w:rPr>
        <w:t>forms part of the Registration Statement on Form S-1 declared effective as of the same date (the “IPO Prospectus”) and in this Quarterly Report on Form 10-Q.</w:t>
      </w:r>
    </w:p>
    <w:p>
      <w:pPr>
        <w:spacing w:after="0" w:line="19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212529"/>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“Risk Factors” and “Management’s Discussion and Analysis of Financial Condition and Results of Operations” in this Quarterly Report on Form 10-Q and in our IPO Prospectus. All written and oral forward-looking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212529"/>
        </w:rPr>
        <w:t>statements attributable to us, or persons acting on our behalf, are expressly qualified in their entirety by these cautionary statements as well as other cautionary statements that are made from time to time in our other Securities and Exchange Commission (“SEC”) filings and public communications. You should evaluate all forward-looking statements made in this Quarterly Report on Form 10-Q in the context of these risks and uncertainties.</w:t>
      </w:r>
    </w:p>
    <w:p>
      <w:pPr>
        <w:spacing w:after="0" w:line="17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 Unless otherwise mentioned or unless the context requires otherwise, all references in this Quarterly Report on Form 10-Q to “InnovAge,” “Company,” “we,” “us,” and “our,” or similar references, refer to InnovAge Holding Corp. and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1420" w:type="dxa"/>
            <w:vAlign w:val="bottom"/>
            <w:gridSpan w:val="4"/>
          </w:tcPr>
          <w:p>
            <w:pPr>
              <w:ind w:left="20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30,</w:t>
            </w:r>
          </w:p>
        </w:tc>
      </w:tr>
      <w:tr>
        <w:trPr>
          <w:trHeight w:val="210"/>
        </w:trPr>
        <w:tc>
          <w:tcPr>
            <w:tcW w:w="64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202"/>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40" w:type="dxa"/>
            <w:vAlign w:val="bottom"/>
          </w:tcPr>
          <w:p>
            <w:pPr>
              <w:ind w:left="10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40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215,530</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201,466</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2,234</w:t>
            </w:r>
          </w:p>
        </w:tc>
      </w:tr>
      <w:tr>
        <w:trPr>
          <w:trHeight w:val="19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($5,193 – September 30, 2021 and $4,350 –</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2"/>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June 30, 2021)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32,582</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Prepaid expenses and other</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10,846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9,249</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receivable</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5,401</w:t>
            </w:r>
          </w:p>
        </w:tc>
      </w:tr>
      <w:tr>
        <w:trPr>
          <w:trHeight w:val="196"/>
        </w:trPr>
        <w:tc>
          <w:tcPr>
            <w:tcW w:w="64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260,632</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250,932</w:t>
            </w:r>
          </w:p>
        </w:tc>
      </w:tr>
      <w:tr>
        <w:trPr>
          <w:trHeight w:val="196"/>
        </w:trPr>
        <w:tc>
          <w:tcPr>
            <w:tcW w:w="64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Noncurrent Assets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141,992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142,715</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Deposits and other</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4,186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3,877</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124,217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124,217</w:t>
            </w:r>
          </w:p>
        </w:tc>
      </w:tr>
      <w:tr>
        <w:trPr>
          <w:trHeight w:val="20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6,518</w:t>
            </w:r>
          </w:p>
        </w:tc>
      </w:tr>
      <w:tr>
        <w:trPr>
          <w:trHeight w:val="196"/>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noncurrent assets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282,241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280,820</w:t>
            </w:r>
          </w:p>
        </w:tc>
      </w:tr>
      <w:tr>
        <w:trPr>
          <w:trHeight w:val="236"/>
        </w:trPr>
        <w:tc>
          <w:tcPr>
            <w:tcW w:w="64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542,873</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531,752</w:t>
            </w:r>
          </w:p>
        </w:tc>
      </w:tr>
      <w:tr>
        <w:trPr>
          <w:trHeight w:val="183"/>
        </w:trPr>
        <w:tc>
          <w:tcPr>
            <w:tcW w:w="644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6440" w:type="dxa"/>
            <w:vAlign w:val="bottom"/>
          </w:tcPr>
          <w:p>
            <w:pPr>
              <w:ind w:left="10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40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33,347</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32,361</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Reported and estimated claims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33,339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33,234</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Due to Medicaid and Medicare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3,790</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capital lease obligations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w:t>
            </w:r>
          </w:p>
        </w:tc>
      </w:tr>
      <w:tr>
        <w:trPr>
          <w:trHeight w:val="196"/>
        </w:trPr>
        <w:tc>
          <w:tcPr>
            <w:tcW w:w="64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81,151</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78,565</w:t>
            </w:r>
          </w:p>
        </w:tc>
      </w:tr>
      <w:tr>
        <w:trPr>
          <w:trHeight w:val="196"/>
        </w:trPr>
        <w:tc>
          <w:tcPr>
            <w:tcW w:w="64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Noncurrent Liabilities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15,700</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lease obligations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w:t>
            </w: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2,758</w:t>
            </w: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 of debt issuance costs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70,733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71,574</w:t>
            </w:r>
          </w:p>
        </w:tc>
      </w:tr>
      <w:tr>
        <w:trPr>
          <w:trHeight w:val="196"/>
        </w:trPr>
        <w:tc>
          <w:tcPr>
            <w:tcW w:w="64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176,326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173,787</w:t>
            </w: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 (See Note 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b w:val="1"/>
                <w:bCs w:val="1"/>
                <w:color w:val="auto"/>
              </w:rPr>
              <w:t>Redeemable Noncontrolling Interests (See Note 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16,986</w:t>
            </w: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3"/>
        </w:trPr>
        <w:tc>
          <w:tcPr>
            <w:tcW w:w="6440" w:type="dxa"/>
            <w:vAlign w:val="bottom"/>
          </w:tcPr>
          <w:p>
            <w:pPr>
              <w:ind w:left="220"/>
              <w:spacing w:after="0"/>
              <w:rPr>
                <w:sz w:val="20"/>
                <w:szCs w:val="20"/>
                <w:color w:val="auto"/>
              </w:rPr>
            </w:pPr>
            <w:r>
              <w:rPr>
                <w:rFonts w:ascii="Arial" w:cs="Arial" w:eastAsia="Arial" w:hAnsi="Arial"/>
                <w:sz w:val="16"/>
                <w:szCs w:val="16"/>
                <w:color w:val="auto"/>
                <w:w w:val="98"/>
              </w:rPr>
              <w:t>Common stock, $0.001 par value; 500,000,000 authorized as of September 30, 2021 and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w w:val="91"/>
              </w:rPr>
              <w:t>June 30, 2021; 135,516,513 shares issued and outstanding as of both September 30, 2021 and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6440" w:type="dxa"/>
            <w:vAlign w:val="bottom"/>
          </w:tcPr>
          <w:p>
            <w:pPr>
              <w:ind w:left="220"/>
              <w:spacing w:after="0"/>
              <w:rPr>
                <w:sz w:val="20"/>
                <w:szCs w:val="20"/>
                <w:color w:val="auto"/>
              </w:rPr>
            </w:pPr>
            <w:r>
              <w:rPr>
                <w:rFonts w:ascii="Arial" w:cs="Arial" w:eastAsia="Arial" w:hAnsi="Arial"/>
                <w:sz w:val="16"/>
                <w:szCs w:val="16"/>
                <w:color w:val="auto"/>
              </w:rPr>
              <w:t>June 30, 2021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06"/>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324,718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323,760</w:t>
            </w:r>
          </w:p>
        </w:tc>
      </w:tr>
      <w:tr>
        <w:trPr>
          <w:trHeight w:val="20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10,663</w:t>
            </w:r>
          </w:p>
        </w:tc>
      </w:tr>
      <w:tr>
        <w:trPr>
          <w:trHeight w:val="196"/>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InnovAge Holding Corp.</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343,790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334,559</w:t>
            </w:r>
          </w:p>
        </w:tc>
      </w:tr>
      <w:tr>
        <w:trPr>
          <w:trHeight w:val="20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6,420</w:t>
            </w:r>
          </w:p>
        </w:tc>
      </w:tr>
      <w:tr>
        <w:trPr>
          <w:trHeight w:val="196"/>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stockholders’ equity</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350,116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340,979</w:t>
            </w:r>
          </w:p>
        </w:tc>
      </w:tr>
      <w:tr>
        <w:trPr>
          <w:trHeight w:val="196"/>
        </w:trPr>
        <w:tc>
          <w:tcPr>
            <w:tcW w:w="6440" w:type="dxa"/>
            <w:vAlign w:val="bottom"/>
          </w:tcPr>
          <w:p>
            <w:pPr>
              <w:ind w:left="4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542,873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531,752</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thousands, except number of shares and per share data) (Unaudited)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Capitation revenue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172,554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151,944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service revenue</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revenues</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152,566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External provider costs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73,681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care, excluding depreciation and amortization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Corporate, general and administrative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Equity loss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operating income</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expenses</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161,410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Arial" w:cs="Arial" w:eastAsia="Arial" w:hAnsi="Arial"/>
                <w:sz w:val="18"/>
                <w:szCs w:val="18"/>
                <w:color w:val="auto"/>
              </w:rPr>
              <w:t>Loss on extinguishment of debt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expense</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other expense</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Provision for Income Taxes</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net loss attributable to noncontrolling interests</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InnovAge Holding Corp.</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common shares outstanding - basic</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135,516,513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121,119,417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Weighted-average number of common shares outstanding - diluted</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135,516,513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121,119,417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Net income (loss) per share - basic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diluted</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62"/>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43"/>
              <w:spacing w:after="0"/>
              <w:rPr>
                <w:sz w:val="20"/>
                <w:szCs w:val="20"/>
                <w:color w:val="auto"/>
              </w:rPr>
            </w:pPr>
            <w:r>
              <w:rPr>
                <w:rFonts w:ascii="Arial" w:cs="Arial" w:eastAsia="Arial" w:hAnsi="Arial"/>
                <w:sz w:val="13"/>
                <w:szCs w:val="13"/>
                <w:b w:val="1"/>
                <w:bCs w:val="1"/>
                <w:color w:val="auto"/>
                <w:w w:val="86"/>
              </w:rPr>
              <w:t>Redeemable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Permanent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43"/>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ind w:left="340"/>
              <w:spacing w:after="0"/>
              <w:rPr>
                <w:sz w:val="20"/>
                <w:szCs w:val="20"/>
                <w:color w:val="auto"/>
              </w:rPr>
            </w:pPr>
            <w:r>
              <w:rPr>
                <w:rFonts w:ascii="Arial" w:cs="Arial" w:eastAsia="Arial" w:hAnsi="Arial"/>
                <w:sz w:val="13"/>
                <w:szCs w:val="13"/>
                <w:b w:val="1"/>
                <w:bCs w:val="1"/>
                <w:color w:val="auto"/>
              </w:rPr>
              <w:t>Capital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62"/>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Earnings</w:t>
            </w:r>
          </w:p>
        </w:tc>
        <w:tc>
          <w:tcPr>
            <w:tcW w:w="140" w:type="dxa"/>
            <w:vAlign w:val="bottom"/>
          </w:tcPr>
          <w:p>
            <w:pPr>
              <w:spacing w:after="0"/>
              <w:rPr>
                <w:sz w:val="13"/>
                <w:szCs w:val="13"/>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Treasury Stock</w:t>
            </w:r>
          </w:p>
        </w:tc>
        <w:tc>
          <w:tcPr>
            <w:tcW w:w="1000" w:type="dxa"/>
            <w:vAlign w:val="bottom"/>
            <w:gridSpan w:val="4"/>
          </w:tcPr>
          <w:p>
            <w:pPr>
              <w:ind w:left="120"/>
              <w:spacing w:after="0"/>
              <w:rPr>
                <w:sz w:val="20"/>
                <w:szCs w:val="20"/>
                <w:color w:val="auto"/>
              </w:rPr>
            </w:pPr>
            <w:r>
              <w:rPr>
                <w:rFonts w:ascii="Arial" w:cs="Arial" w:eastAsia="Arial" w:hAnsi="Arial"/>
                <w:sz w:val="13"/>
                <w:szCs w:val="13"/>
                <w:b w:val="1"/>
                <w:bCs w:val="1"/>
                <w:color w:val="auto"/>
                <w:w w:val="92"/>
              </w:rPr>
              <w:t>Noncontrolling</w:t>
            </w: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43"/>
              <w:spacing w:after="0"/>
              <w:rPr>
                <w:sz w:val="20"/>
                <w:szCs w:val="20"/>
                <w:color w:val="auto"/>
              </w:rPr>
            </w:pPr>
            <w:r>
              <w:rPr>
                <w:rFonts w:ascii="Arial" w:cs="Arial" w:eastAsia="Arial" w:hAnsi="Arial"/>
                <w:sz w:val="13"/>
                <w:szCs w:val="13"/>
                <w:b w:val="1"/>
                <w:bCs w:val="1"/>
                <w:color w:val="auto"/>
                <w:w w:val="84"/>
              </w:rPr>
              <w:t>Interests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jc w:val="right"/>
              <w:ind w:right="188"/>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2"/>
              <w:spacing w:after="0" w:line="129" w:lineRule="exact"/>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1"/>
                <w:szCs w:val="11"/>
                <w:color w:val="auto"/>
              </w:rPr>
            </w:pPr>
          </w:p>
        </w:tc>
        <w:tc>
          <w:tcPr>
            <w:tcW w:w="780" w:type="dxa"/>
            <w:vAlign w:val="bottom"/>
            <w:tcBorders>
              <w:top w:val="single" w:sz="8" w:color="auto"/>
            </w:tcBorders>
          </w:tcPr>
          <w:p>
            <w:pPr>
              <w:jc w:val="right"/>
              <w:ind w:right="148"/>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Interests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62"/>
              <w:spacing w:after="0" w:line="129" w:lineRule="exact"/>
              <w:rPr>
                <w:sz w:val="20"/>
                <w:szCs w:val="20"/>
                <w:color w:val="auto"/>
              </w:rPr>
            </w:pPr>
            <w:r>
              <w:rPr>
                <w:rFonts w:ascii="Arial" w:cs="Arial" w:eastAsia="Arial" w:hAnsi="Arial"/>
                <w:sz w:val="13"/>
                <w:szCs w:val="13"/>
                <w:b w:val="1"/>
                <w:bCs w:val="1"/>
                <w:color w:val="auto"/>
                <w:w w:val="90"/>
              </w:rPr>
              <w:t>Equity</w:t>
            </w:r>
          </w:p>
        </w:tc>
        <w:tc>
          <w:tcPr>
            <w:tcW w:w="1220" w:type="dxa"/>
            <w:vAlign w:val="bottom"/>
            <w:gridSpan w:val="3"/>
          </w:tcPr>
          <w:p>
            <w:pPr>
              <w:jc w:val="center"/>
              <w:ind w:left="65"/>
              <w:spacing w:after="0" w:line="129" w:lineRule="exact"/>
              <w:rPr>
                <w:sz w:val="20"/>
                <w:szCs w:val="20"/>
                <w:color w:val="auto"/>
              </w:rPr>
            </w:pPr>
            <w:r>
              <w:rPr>
                <w:rFonts w:ascii="Arial" w:cs="Arial" w:eastAsia="Arial" w:hAnsi="Arial"/>
                <w:sz w:val="13"/>
                <w:szCs w:val="13"/>
                <w:b w:val="1"/>
                <w:bCs w:val="1"/>
                <w:color w:val="auto"/>
                <w:w w:val="90"/>
              </w:rPr>
              <w:t>(Temporary Equity)</w:t>
            </w:r>
          </w:p>
        </w:tc>
        <w:tc>
          <w:tcPr>
            <w:tcW w:w="1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Net Income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June 30, 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132,718,461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64,737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102,030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107,750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Treasury stock</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gridSpan w:val="2"/>
          </w:tcPr>
          <w:p>
            <w:pPr>
              <w:spacing w:after="0"/>
              <w:rPr>
                <w:sz w:val="20"/>
                <w:szCs w:val="20"/>
                <w:color w:val="auto"/>
              </w:rPr>
            </w:pPr>
            <w:r>
              <w:rPr>
                <w:rFonts w:ascii="Arial" w:cs="Arial" w:eastAsia="Arial" w:hAnsi="Arial"/>
                <w:sz w:val="16"/>
                <w:szCs w:val="16"/>
                <w:color w:val="auto"/>
              </w:rPr>
              <w:t>transaction</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16,095,819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7"/>
              </w:rPr>
              <w:t>(77,603)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(77,603)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w w:val="96"/>
              </w:rPr>
              <w:t>Time based awards-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option cancellation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(29,201)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Stock option</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40" w:type="dxa"/>
            <w:vAlign w:val="bottom"/>
            <w:gridSpan w:val="2"/>
          </w:tcPr>
          <w:p>
            <w:pPr>
              <w:spacing w:after="0"/>
              <w:rPr>
                <w:sz w:val="20"/>
                <w:szCs w:val="20"/>
                <w:color w:val="auto"/>
              </w:rPr>
            </w:pPr>
            <w:r>
              <w:rPr>
                <w:rFonts w:ascii="Arial" w:cs="Arial" w:eastAsia="Arial" w:hAnsi="Arial"/>
                <w:sz w:val="16"/>
                <w:szCs w:val="16"/>
                <w:color w:val="auto"/>
              </w:rPr>
              <w:t>cancellation and</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40" w:type="dxa"/>
            <w:vAlign w:val="bottom"/>
            <w:gridSpan w:val="2"/>
          </w:tcPr>
          <w:p>
            <w:pPr>
              <w:spacing w:after="0"/>
              <w:rPr>
                <w:sz w:val="20"/>
                <w:szCs w:val="20"/>
                <w:color w:val="auto"/>
              </w:rPr>
            </w:pPr>
            <w:r>
              <w:rPr>
                <w:rFonts w:ascii="Arial" w:cs="Arial" w:eastAsia="Arial" w:hAnsi="Arial"/>
                <w:sz w:val="16"/>
                <w:szCs w:val="16"/>
                <w:color w:val="auto"/>
              </w:rPr>
              <w:t>owners distribution</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(9,457)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(12,614)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Stock-based</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(49,654)</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(49,800)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0"/>
              </w:rPr>
              <w:t>(49,800)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Balances,</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132,718,461</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$ 133</w:t>
            </w:r>
          </w:p>
        </w:tc>
        <w:tc>
          <w:tcPr>
            <w:tcW w:w="6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5,626</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16,197,849</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(77,796)</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6,589</w:t>
            </w:r>
          </w:p>
        </w:tc>
        <w:tc>
          <w:tcPr>
            <w:tcW w:w="8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(61,422)</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3"/>
              </w:rPr>
              <w:t>September 30, 2020</w:t>
            </w:r>
          </w:p>
        </w:tc>
        <w:tc>
          <w:tcPr>
            <w:tcW w:w="9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June 30, 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135,516,513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323,760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10,663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340,979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Stock-based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gridSpan w:val="2"/>
          </w:tcPr>
          <w:p>
            <w:pPr>
              <w:spacing w:after="0"/>
              <w:rPr>
                <w:sz w:val="20"/>
                <w:szCs w:val="20"/>
                <w:color w:val="auto"/>
              </w:rPr>
            </w:pPr>
            <w:r>
              <w:rPr>
                <w:rFonts w:ascii="Arial" w:cs="Arial" w:eastAsia="Arial" w:hAnsi="Arial"/>
                <w:sz w:val="16"/>
                <w:szCs w:val="16"/>
                <w:color w:val="auto"/>
              </w:rPr>
              <w:t>compensation</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Adjustment to</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redemption value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7,686</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7,624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Balances,</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135,516,513</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$ 136</w:t>
            </w:r>
          </w:p>
        </w:tc>
        <w:tc>
          <w:tcPr>
            <w:tcW w:w="6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6"/>
              </w:rPr>
              <w:t>324,718</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18,936</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6,326</w:t>
            </w:r>
          </w:p>
        </w:tc>
        <w:tc>
          <w:tcPr>
            <w:tcW w:w="8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350,116</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16,431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3"/>
              </w:rPr>
              <w:t>September 30, 2021</w:t>
            </w:r>
          </w:p>
        </w:tc>
        <w:tc>
          <w:tcPr>
            <w:tcW w:w="9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980"/>
          </w:cols>
          <w:pgMar w:left="1220" w:top="517" w:right="699"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For the Three Months Ended September 30,</w:t>
            </w:r>
          </w:p>
        </w:tc>
        <w:tc>
          <w:tcPr>
            <w:tcW w:w="0" w:type="dxa"/>
            <w:vAlign w:val="bottom"/>
          </w:tcPr>
          <w:p>
            <w:pPr>
              <w:spacing w:after="0"/>
              <w:rPr>
                <w:sz w:val="1"/>
                <w:szCs w:val="1"/>
                <w:color w:val="auto"/>
              </w:rPr>
            </w:pPr>
          </w:p>
        </w:tc>
      </w:tr>
      <w:tr>
        <w:trPr>
          <w:trHeight w:val="142"/>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1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income (loss)</w:t>
            </w:r>
          </w:p>
        </w:tc>
        <w:tc>
          <w:tcPr>
            <w:tcW w:w="460" w:type="dxa"/>
            <w:vAlign w:val="bottom"/>
            <w:gridSpan w:val="2"/>
            <w:shd w:val="clear" w:color="auto" w:fill="CCEEFF"/>
          </w:tcPr>
          <w:p>
            <w:pPr>
              <w:jc w:val="right"/>
              <w:ind w:right="16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7,624</w:t>
            </w:r>
          </w:p>
        </w:tc>
        <w:tc>
          <w:tcPr>
            <w:tcW w:w="5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w w:val="96"/>
              </w:rPr>
              <w:t>Adjustments to reconcile net income (loss) to net cash provided by (used in) operating activities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disposal of assets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Provision for uncollectible accounts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1,268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long-term debt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958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Loss in equity of nonconsolidated entities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fair value of contingent consideration</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2,929</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(1,597)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 receivable</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1,766</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Deposits and other</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and accrued expenses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00"/>
              <w:spacing w:after="0" w:line="149" w:lineRule="exact"/>
              <w:rPr>
                <w:sz w:val="20"/>
                <w:szCs w:val="20"/>
                <w:color w:val="auto"/>
              </w:rPr>
            </w:pPr>
            <w:r>
              <w:rPr>
                <w:rFonts w:ascii="Arial" w:cs="Arial" w:eastAsia="Arial" w:hAnsi="Arial"/>
                <w:sz w:val="14"/>
                <w:szCs w:val="14"/>
                <w:color w:val="auto"/>
              </w:rPr>
              <w:t>Reported and estimated claims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4,924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Due to Medicaid and Medicare</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1,443</w:t>
            </w: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20,559</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(18,058)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Purchases of property and equipment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(3,042)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(4,629)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Purchase of cost method investment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used in investing activities</w:t>
            </w:r>
          </w:p>
        </w:tc>
        <w:tc>
          <w:tcPr>
            <w:tcW w:w="1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(5,042)</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(4,629)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Distributions to owners</w:t>
            </w:r>
          </w:p>
        </w:tc>
        <w:tc>
          <w:tcPr>
            <w:tcW w:w="460" w:type="dxa"/>
            <w:vAlign w:val="bottom"/>
            <w:gridSpan w:val="2"/>
          </w:tcPr>
          <w:p>
            <w:pPr>
              <w:jc w:val="right"/>
              <w:ind w:right="16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(9,457)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Payments on capital lease obligations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Proceeds from long-term debt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Principal payments on long-term debt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Payment of financing costs and debt premiums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(7,478)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Treasury stock purchases</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Payments related to option cancellation</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(32,358)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Net cash used in financing activities</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(1,452)</w:t>
            </w: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(40,001)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INCREASE (DECREASE) IN CASH, CASH EQUIVALENTS &amp; RESTRICTED CASH</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CASH EQUIVALENTS &amp; RESTRICTED CASH, BEGINNING OF PERIOD</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203,700</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114,565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CASH EQUIVALENTS &amp; RESTRICTED CASH, END OF PERIOD</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217,765</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51,877</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Cash Flows Information</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Interest paid</w:t>
            </w:r>
          </w:p>
        </w:tc>
        <w:tc>
          <w:tcPr>
            <w:tcW w:w="460" w:type="dxa"/>
            <w:vAlign w:val="bottom"/>
            <w:gridSpan w:val="2"/>
          </w:tcPr>
          <w:p>
            <w:pPr>
              <w:jc w:val="right"/>
              <w:ind w:right="16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573</w:t>
            </w:r>
          </w:p>
        </w:tc>
        <w:tc>
          <w:tcPr>
            <w:tcW w:w="5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2,954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460" w:type="dxa"/>
            <w:vAlign w:val="bottom"/>
            <w:gridSpan w:val="2"/>
            <w:shd w:val="clear" w:color="auto" w:fill="CCEEFF"/>
          </w:tcPr>
          <w:p>
            <w:pPr>
              <w:jc w:val="right"/>
              <w:ind w:right="16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Property and equipment included in accounts payable</w:t>
            </w:r>
          </w:p>
        </w:tc>
        <w:tc>
          <w:tcPr>
            <w:tcW w:w="460" w:type="dxa"/>
            <w:vAlign w:val="bottom"/>
            <w:gridSpan w:val="2"/>
          </w:tcPr>
          <w:p>
            <w:pPr>
              <w:jc w:val="right"/>
              <w:ind w:right="16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5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and equipment purchased under capital leases</w:t>
            </w:r>
          </w:p>
        </w:tc>
        <w:tc>
          <w:tcPr>
            <w:tcW w:w="460" w:type="dxa"/>
            <w:vAlign w:val="bottom"/>
            <w:gridSpan w:val="2"/>
            <w:shd w:val="clear" w:color="auto" w:fill="CCEEFF"/>
          </w:tcPr>
          <w:p>
            <w:pPr>
              <w:jc w:val="right"/>
              <w:ind w:right="16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5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Business</w:t>
      </w:r>
    </w:p>
    <w:p>
      <w:pPr>
        <w:spacing w:after="0" w:line="27"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InnovAge Holding Corp. (formerly, TCO Group Holdings, Inc.) was formed May 13, 2016, to acquire the business of Total Community Options, Inc. d/b/a InnovAge, which was formed in May 2007. In connection with the Company’s initial public offering, which occurred in March 2021, we changed the name of our Company from TCO Group Holdings, Inc. to InnovAge Holding Corp.</w:t>
      </w:r>
    </w:p>
    <w:p>
      <w:pPr>
        <w:spacing w:after="0" w:line="193"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InnovAge Holding Corp. and its subsidiaries, which are headquartered in Denver, Colorado have a strong record of innovation, quality, and sensitivity to the needs of participants and staff. The Company manages, and in many cases directly provides, a broad range of medical and ancillary services for seniors in need of care and support to safely live independently in their homes and communities, including in-home care services (skilled, unskilled and personal care);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serves approximately 6,990 PACE participants, making it the largest PACE provider in the United States of America (the “U.S.”) based upon participants served, and operates 18 PACE centers across Colorado, California, New Mexico, Pennsylvania and Virginia.</w:t>
      </w:r>
    </w:p>
    <w:p>
      <w:pPr>
        <w:spacing w:after="0" w:line="18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PACE is a fully-capitated managed care program, which serves the frail elderly, and predominantly dual-eligible, population in a community-based service model. InnovAge is obligated to provide and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On March 8, 2021, we completed our initial public offering (“IPO”). The Company’s common stock began trading on the Nasdaq Stock Market LLC (“NASDAQ”) under the ticker symbol “INNV”.</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described its significant accounting policies in Note 2, “Summary of Significant Accounting Policies” of the Notes to Consolidated Financial Statements in its Annual Report on Form 10-K for the year ended June 30, 2021 (“2021 10-K”). During the three months ended September 30, 2021, there were no significant changes to those accounting policies.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Preparation and Principles of Consolidation</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2021. In the opinion of management, all adjustments (consisting of all normal and recurring adjustments) considered necessary for a fair presentation have been included. The consolidated financial statements include the accounts of InnovAge, its wholly owned subsidiaries, variable interest entities (“VIEs”) for which</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it is the primary beneficiary and entities for which it has a controlling interest. All intercompany accounts and transactions have been eliminated in consolidation.</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does not have any components of comprehensive income and comprehensive income is equal to net income reported in the statements of operations for all periods presented.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Restatement of Prior Period Financial Statements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Subsequent to the issuance of the Company’s consolidated financial statements as of and for the year ended June 30, 2021, we identified an error in our consolidated balance sheet and statement of stockholders’ equity as of June 30, 2021 related to the presentation of redeemable noncontrolling interests. The Company incorrectly recorded redeemable noncontrolling interests of $17.0 million as permanent equity rather than temporary equity as of June 30, 2021. As a result, the Company is restating the June 30, 2021 condensed consolidated financial statements to reflect this reclassification from permanent to temporary equity and to record the related adjustment to redemption value as of June 30, 2021. Management has evaluated the materiality of this misstatement and concluded that it is not material to the prior period. The effect of the restatement on the consolidated balance sheet as of June 30, 2021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Previously</w:t>
            </w:r>
          </w:p>
        </w:tc>
        <w:tc>
          <w:tcPr>
            <w:tcW w:w="11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59"/>
              <w:spacing w:after="0"/>
              <w:rPr>
                <w:sz w:val="20"/>
                <w:szCs w:val="20"/>
                <w:color w:val="auto"/>
              </w:rPr>
            </w:pPr>
            <w:r>
              <w:rPr>
                <w:rFonts w:ascii="Arial" w:cs="Arial" w:eastAsia="Arial" w:hAnsi="Arial"/>
                <w:sz w:val="14"/>
                <w:szCs w:val="14"/>
                <w:b w:val="1"/>
                <w:bCs w:val="1"/>
                <w:color w:val="auto"/>
              </w:rPr>
              <w:t>Reported</w:t>
            </w:r>
          </w:p>
        </w:tc>
        <w:tc>
          <w:tcPr>
            <w:tcW w:w="11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Redeemable Noncontrolling Interests (See Note 4)</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Retained earnings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InnovAge Holding Corp.</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335,146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22,819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(16,399)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357,965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effect of the restatement on the balances as of June 30, 2021 included in the consolidated statement of stockholders’ equity as of September 30, 2021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Total Permanent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120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(Temporary Equity)</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tcBorders>
              <w:top w:val="single" w:sz="8" w:color="CCEEFF"/>
            </w:tcBorders>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 Previously Reported</w:t>
            </w: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9"/>
              </w:rPr>
              <w:t>Balances, June 30, 2021</w:t>
            </w: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11,250</w:t>
            </w: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22,819</w:t>
            </w: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357,965</w:t>
            </w: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Adjustments</w:t>
            </w: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auto"/>
              </w:rPr>
              <w:t>Balances, June 30, 2021</w:t>
            </w:r>
          </w:p>
        </w:tc>
        <w:tc>
          <w:tcPr>
            <w:tcW w:w="600" w:type="dxa"/>
            <w:vAlign w:val="bottom"/>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(16,399)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 Restated</w:t>
            </w: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auto"/>
              </w:rPr>
              <w:t>Balances, June 30, 2021</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10,663</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6,420</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340,979</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were comprised of the following as of September 30, 2021 and June 30, 2021:</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June 30, 2021</w:t>
            </w:r>
          </w:p>
        </w:tc>
        <w:tc>
          <w:tcPr>
            <w:tcW w:w="0" w:type="dxa"/>
            <w:vAlign w:val="bottom"/>
          </w:tcPr>
          <w:p>
            <w:pPr>
              <w:spacing w:after="0"/>
              <w:rPr>
                <w:sz w:val="1"/>
                <w:szCs w:val="1"/>
                <w:color w:val="auto"/>
              </w:rPr>
            </w:pPr>
          </w:p>
        </w:tc>
      </w:tr>
      <w:tr>
        <w:trPr>
          <w:trHeight w:val="171"/>
        </w:trPr>
        <w:tc>
          <w:tcPr>
            <w:tcW w:w="36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1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9"/>
              </w:rPr>
              <w:t>N/A</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60" w:type="dxa"/>
            <w:vAlign w:val="bottom"/>
          </w:tcPr>
          <w:p>
            <w:pPr>
              <w:ind w:left="40"/>
              <w:spacing w:after="0"/>
              <w:rPr>
                <w:sz w:val="20"/>
                <w:szCs w:val="20"/>
                <w:color w:val="auto"/>
              </w:rPr>
            </w:pPr>
            <w:r>
              <w:rPr>
                <w:rFonts w:ascii="Arial" w:cs="Arial" w:eastAsia="Arial" w:hAnsi="Arial"/>
                <w:sz w:val="18"/>
                <w:szCs w:val="18"/>
                <w:color w:val="auto"/>
                <w:w w:val="87"/>
              </w:rPr>
              <w:t>- 40 years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112,311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- 5 years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Equipment and vehicles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40"/>
              <w:spacing w:after="0"/>
              <w:rPr>
                <w:sz w:val="20"/>
                <w:szCs w:val="20"/>
                <w:color w:val="auto"/>
              </w:rPr>
            </w:pPr>
            <w:r>
              <w:rPr>
                <w:rFonts w:ascii="Arial" w:cs="Arial" w:eastAsia="Arial" w:hAnsi="Arial"/>
                <w:sz w:val="18"/>
                <w:szCs w:val="18"/>
                <w:color w:val="auto"/>
                <w:w w:val="99"/>
              </w:rPr>
              <w:t>- 7 years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189,717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accumulated depreciation and amortization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141,992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142,715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Depreciation of $3.1 million and $2.8 million was recorded during the three months ended September 30, 2021 and 2020,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 (“COVID-19”)</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March 2020, the World Health Organization declared COVID-19 a pandemic. The global spread of COVID-19 has created significant volatility, uncertainty, and economic disruption. Governments in affected regions have implemented, and may continue to implement, safety precautions which include quarantines, travel restrictions, business closures, cancellations of public gatherings and other measures as they deem necessary. Many organizations and individuals, including the Company and its employees, continue to take additional steps to avoid or reduce infection, including limiting travel and working from home. These measures are disrupting normal business operations both in and outside of affected areas and have had significant negative impacts on businesses worldwide. As a PACE organization, we have been and will continue to be impacted by the effects of COVID-19; however, we remain committed to carrying out our mission of caring for our participants. We continue to closely monitor the impact of COVID-19 on all aspects of our business, including the impacts to our employees, participants and suppliers; due to the numerous evolving factors, we are unable to reliably estimate the ultimate impact the pandemic will have on our consolidated financial condition, results of operations or cash flows.</w:t>
      </w:r>
    </w:p>
    <w:p>
      <w:pPr>
        <w:spacing w:after="0" w:line="17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March 27, 2020, the Coronavirus Aid, Relief, and Economic Security Act (“CARES Act”) was signed into legislation. The CARES Act provides for $100.0 billion to healthcare providers, including hospitals on the front lines of the COVID-19 pandemic. Under the CARES Act, the state of Pennsylvania signed into law the Act 24 of 2020, which allocated $10.0 million of funding from the federal CARES Act to managed long term care organizations. Funding from the Act 24 of 2020 must be used to cover necessary COVID-19 related costs incurred between March 1, 2020 and November 30, 2020 for entities in operation as of March 31, 2020. We received $1.0 million in funding under the Act 24 of 2020, which was allocated to InnovAge centers in Pennsylvania. Of the $1.0 million, $0.7 million was recognized prior June 30, 2020 and the remaining balance of $0.3 million was recognized during the year ended June 30, 2021. The CARES Act also provides for the temporary suspension of the automatic 2% reduction of Medicare claim reimbursements (sequestration) for the period of May 1, 2020 through December 31, 2021.</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 xml:space="preserve">In December 2019, the Financial Accounting Standards Board (“FASB”) issued ASU 2019-12, </w:t>
      </w:r>
      <w:r>
        <w:rPr>
          <w:rFonts w:ascii="Arial" w:cs="Arial" w:eastAsia="Arial" w:hAnsi="Arial"/>
          <w:sz w:val="17"/>
          <w:szCs w:val="17"/>
          <w:i w:val="1"/>
          <w:iCs w:val="1"/>
          <w:color w:val="auto"/>
        </w:rPr>
        <w:t>Income Taxes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740-Simplifying the Accounting for Income Taxes </w:t>
      </w:r>
      <w:r>
        <w:rPr>
          <w:rFonts w:ascii="Arial" w:cs="Arial" w:eastAsia="Arial" w:hAnsi="Arial"/>
          <w:sz w:val="17"/>
          <w:szCs w:val="17"/>
          <w:color w:val="auto"/>
        </w:rPr>
        <w:t>(“ASU 2019-12”), which intended to simplify various aspects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income taxes. ASU 2019-12 removes certain exceptions to the general principles in Topic 740 and also clarifies and amends existing guidance to improve consistent application of Topic 740. This guidance is effective for companies with fiscal years beginning after December 15, 2020, including interim periods therein, and early adoption is permitted. The Company adopted ASU 2019-12 in the current quarter and it did not have a material effect on the Company’s consolidated financial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was intended to increase transparency and comparability among organizations by recognizing lease assets and liabilities on the balance sheet and disclosing key information about leasing arrangements. Under the new guidance, lessees will be required to recognize a right-of-use asset and a lease liability, measured on a discounted basis, at the commencement date for all leases with terms greater than 12 months. Additionally, this guidance will require disclosures to help investors and other financial statement users to better understand the amount, timing, and uncertainty of cash flows arising from leases, including qualitative and quantitative requirements. The guidance should be applied under a modified retrospective transition approach for leases existing at the beginning of the earliest comparative period presented in the adoption-period financial statements. Any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leases that expire before the initial application date will not require any accounting adjustment. In June 2020, FASB issued ASU 2020-05 </w:t>
      </w:r>
      <w:r>
        <w:rPr>
          <w:rFonts w:ascii="Arial" w:cs="Arial" w:eastAsia="Arial" w:hAnsi="Arial"/>
          <w:sz w:val="18"/>
          <w:szCs w:val="18"/>
          <w:i w:val="1"/>
          <w:iCs w:val="1"/>
          <w:color w:val="auto"/>
        </w:rPr>
        <w:t>Revenue from contracts with customers (Topic 606) and leases (Topic 842)—Effective dates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entities </w:t>
      </w:r>
      <w:r>
        <w:rPr>
          <w:rFonts w:ascii="Arial" w:cs="Arial" w:eastAsia="Arial" w:hAnsi="Arial"/>
          <w:sz w:val="18"/>
          <w:szCs w:val="18"/>
          <w:color w:val="auto"/>
        </w:rPr>
        <w:t>which deferred the new lease standard effective date for the Company to December 15, 2022, with early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The Company will adopt this ASU in the fiscal year beginning July 1, 2022 and has not yet determined the effect of the standard on its ongoing financial reporting.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In April 2019, the FASB issued ASU 2019-04, </w:t>
      </w:r>
      <w:r>
        <w:rPr>
          <w:rFonts w:ascii="Arial" w:cs="Arial" w:eastAsia="Arial" w:hAnsi="Arial"/>
          <w:sz w:val="17"/>
          <w:szCs w:val="17"/>
          <w:i w:val="1"/>
          <w:iCs w:val="1"/>
          <w:color w:val="auto"/>
        </w:rPr>
        <w:t>Codification Improvements to Topic 326,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815, Derivatives and Hedging, and Topic 825, Financial Instruments (“ASU 2019-04”)</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ASU 2019-04 is effective for the Company for fiscal years beginning after December 15, 2022, including interim periods within those fiscal years. The Company will adopt this guidance for the annual and interim reporting periods beginning July 1, 2023. The Company has not determined the effect of the standard on its consolidated financial statements.</w:t>
      </w:r>
    </w:p>
    <w:p>
      <w:pPr>
        <w:spacing w:after="0" w:line="18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do not expect that any other recently issued accounting guidance will have a significant effect on our consolidated financial statements.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Capitation Revenue and Accounts Receivable</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4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as the Company provides comprehensive care to its participants.</w:t>
      </w:r>
    </w:p>
    <w:p>
      <w:pPr>
        <w:spacing w:after="0" w:line="17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other” and is also capitated. Private pay includes direct payments from participants who do not qualify for the full capitated rate and have to pay all or a portion of the capitated rate.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disaggregates capitation revenue from the following sources for the three months ended:</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September 30,</w:t>
            </w:r>
          </w:p>
        </w:tc>
      </w:tr>
      <w:tr>
        <w:trPr>
          <w:trHeight w:val="201"/>
        </w:trPr>
        <w:tc>
          <w:tcPr>
            <w:tcW w:w="20" w:type="dxa"/>
            <w:vAlign w:val="bottom"/>
          </w:tcPr>
          <w:p>
            <w:pPr>
              <w:spacing w:after="0"/>
              <w:rPr>
                <w:sz w:val="17"/>
                <w:szCs w:val="17"/>
                <w:color w:val="auto"/>
              </w:rPr>
            </w:pPr>
          </w:p>
        </w:tc>
        <w:tc>
          <w:tcPr>
            <w:tcW w:w="52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Medicaid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Medicare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ind w:left="700"/>
        <w:spacing w:after="0"/>
        <w:rPr>
          <w:sz w:val="20"/>
          <w:szCs w:val="20"/>
          <w:color w:val="auto"/>
        </w:rPr>
      </w:pPr>
      <w:r>
        <w:rPr>
          <w:rFonts w:ascii="Arial" w:cs="Arial" w:eastAsia="Arial" w:hAnsi="Arial"/>
          <w:sz w:val="18"/>
          <w:szCs w:val="18"/>
          <w:b w:val="1"/>
          <w:bCs w:val="1"/>
          <w:color w:val="auto"/>
        </w:rPr>
        <w:t>______________</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Less than 1%</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adjustments based on various factors. The Company estimates the amount of the adjustment and records it monthly on a straight-line basis. These adjustments are not expected to be material.</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(i) 12% of capitation revenues for both the three months ended September 30, 2021 and 2020 and (ii) 19% and 21% of external provider costs for the three months ended September 30, 2021 and 2020, respectively.</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accounts receivable as of September 30, 2021 and June 30, 2021 is primarily from capitation revenue arrangements. The concentration of net receivables from participants and third-party payers was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2"/>
              </w:rPr>
              <w:t>June 30,</w:t>
            </w:r>
          </w:p>
        </w:tc>
      </w:t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Medicaid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Medicare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10"/>
        </w:trPr>
        <w:tc>
          <w:tcPr>
            <w:tcW w:w="2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$5.2 million as of September 30, 2021, compared to $4.4 million as of June 30, 2021. Accounts are written off as bad debts when they are deemed uncollectible based upon individual credit evaluations and specific circumstances underlying the accounts.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Service Revenue and Accounts Receivable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Other service revenue is comprised of rents earned related to Senior Housing and other fee for service revenue. Other service revenue was 0.3% and 0.4% of total revenue for the three months ended September 30, 2021 and 2020, respectively. Accounts receivable related to other service revenue were not significant as of both September 30, 2021 and June 30, 2021.</w:t>
      </w:r>
    </w:p>
    <w:p>
      <w:pPr>
        <w:spacing w:after="0" w:line="18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holds equity method and cost method investments as of:</w:t>
      </w:r>
    </w:p>
    <w:p>
      <w:pPr>
        <w:spacing w:after="0" w:line="285"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40" w:type="dxa"/>
            <w:vAlign w:val="bottom"/>
          </w:tcPr>
          <w:p>
            <w:pPr>
              <w:jc w:val="right"/>
              <w:ind w:right="137"/>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1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r>
      <w:tr>
        <w:trPr>
          <w:trHeight w:val="216"/>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method investments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r>
      <w:tr>
        <w:trPr>
          <w:trHeight w:val="209"/>
        </w:trPr>
        <w:tc>
          <w:tcPr>
            <w:tcW w:w="4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Nonconsolidated Entities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Method Investments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maintains two investments that are accounted for using the cost method.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three months ended September 30, 2021 and 2020, there were no observable price changes or impairments recorded.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Jetdoc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August 2021, the Company acquired a minority interest equal to 806,481 shares of the outstanding common</w:t>
      </w:r>
    </w:p>
    <w:p>
      <w:pPr>
        <w:spacing w:after="0" w:line="2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stock of Jetdoc, Inc. (“Jetdoc”), a telehealth and virtual urgent care app dedicated to effectively connecting users with medical professionals, for cash consideration of $2.0 million. The balance of the Company’s investment in Jetdoc is $2.0 million which represents the maximum exposure to loss.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Dispatch Health</w:t>
      </w:r>
    </w:p>
    <w:p>
      <w:pPr>
        <w:spacing w:after="0" w:line="23"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Since 2019, the Company has maintained an investment of $2.6 million in DispatchHealth Holdings, Inc. (“Dispatch Heath”). Dispatch Health offers complete in-home on-demand healthcare. The balance of the Company’s investment is $2.6 million which represents the maximum exposure to loss.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Pinewood Lodge</w:t>
      </w:r>
    </w:p>
    <w:p>
      <w:pPr>
        <w:spacing w:after="0" w:line="23"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Company’s operations include a Senior Housing unit that primarily includes the accounts of Continental Community Housing (“CCH”), the general partner of Pinewood Lodge, LLP (“ PWD”) which was organized to develop, construct, own, maintain, and operate certain apartment complexes intended for rental to low-income elderly individuals aged 62 or older.</w:t>
      </w:r>
    </w:p>
    <w:p>
      <w:pPr>
        <w:spacing w:after="0" w:line="193"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The equity earnings of PWD are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insignificant. As of September 30, 2021, the balance of the Company’s investment in PWD is $0.8 million which represents the maximum exposure to loss.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Housing</w:t>
      </w:r>
    </w:p>
    <w:p>
      <w:pPr>
        <w:spacing w:after="0" w:line="23"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spacing w:after="0" w:line="19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Redeemable Noncontrolling Interest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InnovAge Sacramento</w:t>
      </w:r>
    </w:p>
    <w:p>
      <w:pPr>
        <w:spacing w:after="0" w:line="23" w:lineRule="exact"/>
        <w:rPr>
          <w:sz w:val="20"/>
          <w:szCs w:val="20"/>
          <w:color w:val="auto"/>
        </w:rPr>
      </w:pPr>
    </w:p>
    <w:p>
      <w:pPr>
        <w:jc w:val="both"/>
        <w:ind w:left="60" w:right="59" w:firstLine="324"/>
        <w:spacing w:after="0" w:line="295" w:lineRule="auto"/>
        <w:rPr>
          <w:sz w:val="20"/>
          <w:szCs w:val="20"/>
          <w:color w:val="auto"/>
        </w:rPr>
      </w:pPr>
      <w:r>
        <w:rPr>
          <w:rFonts w:ascii="Arial" w:cs="Arial" w:eastAsia="Arial" w:hAnsi="Arial"/>
          <w:sz w:val="16"/>
          <w:szCs w:val="16"/>
          <w:color w:val="auto"/>
        </w:rPr>
        <w:t>On March 18, 2019, in connection with the formation of InnovAge Sacramento, the joint venture with Adventist and Eskaton Properties, Incorporated (“Eskaton”), the Company contributed $9.0 million in cash and land valued at $4.2 million for a 59.9% membership interest in the joint venture, InnovAge Sacramento. Further, Adventist contributed $5.8 million in cash and Eskaton contributed $3.0 million in cash for membership interests of 26.4% and 13.7%, respectively.</w:t>
      </w:r>
    </w:p>
    <w:p>
      <w:pPr>
        <w:spacing w:after="0" w:line="161"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Prior to January 1, 2021, the Company did not consolidate InnovAge Sacramento. In the third quarter of fiscal year 2021, the Company made an additional contribution of $52,000 dollars to obtain an additional 0.1% membership interest in the joint venture. With the acquisition of the additional 0.1% membership interest, the Company obtained control of InnovAge Sacramento effective January 1, 2021. Accordingly, beginning January 1, 2021, the results of InnovAge Sacramento are included in our consolidated results of operations.</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When the joint venture was formed, the Company issued warrants (the “Sacramento Warrants”) to purchase 5% of its issued and outstanding common stock to Adventist at a par value of $0.001 per share and an exercise price equal to the fair market value per share at the time of exercise of this warrant. The Sacramento Warrants fully vest on the exercise date, which is defined as the date on which Adventist has made aggregate capital contributions in an amount greater than $25.0 million to one or more joint venture entities in which Adventist and the Company hold equity (the “Investment Threshold”).</w:t>
      </w:r>
    </w:p>
    <w:p>
      <w:pPr>
        <w:spacing w:after="0" w:line="19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Before consolidation, the Company recorded it’s proportionate share of net loss, which was a loss of $0.8 million for the three months ended September 30, 2020, as equity loss in the statement of operations.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February 9, 2021, we entered into an amendment agreement with Adventist to amend the Sacramento Warrants. The amendment removes the Investment Threshold requirement and grants Adventist the right to purchase up to $15.0 million of our common stock at an exercise price equal to the initial public offering price. The warrant is exercisable for one year beginning March 8, 2021, the date of the consummation of our IPO. As of September 30, 2021, Adventist had not exercised any warrants.</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At inception, the Sacramento Warrants were initially determined to be equity-based payments to nonemployees and as such the measurement date for these warrants was considered to be the date when the Investment Threshold is reached. At the time of the amendment, due to the removal of the Investment Threshold, the Sacramento Warrants were evaluated under ASC 815-40, “</w:t>
      </w:r>
      <w:r>
        <w:rPr>
          <w:rFonts w:ascii="Arial" w:cs="Arial" w:eastAsia="Arial" w:hAnsi="Arial"/>
          <w:sz w:val="16"/>
          <w:szCs w:val="16"/>
          <w:i w:val="1"/>
          <w:iCs w:val="1"/>
          <w:color w:val="auto"/>
        </w:rPr>
        <w:t>Contracts in an Entity’s Own Equity</w:t>
      </w:r>
      <w:r>
        <w:rPr>
          <w:rFonts w:ascii="Arial" w:cs="Arial" w:eastAsia="Arial" w:hAnsi="Arial"/>
          <w:sz w:val="16"/>
          <w:szCs w:val="16"/>
          <w:color w:val="auto"/>
        </w:rPr>
        <w:t>,” which resulted in a liability classification from the date of the amendment through completion of our IPO, due to the variable amount of shares which could be issued. Upon completion of the IPO, the number of shares to be issued were no longer variable, which resulted in the warrants being recorded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equity. A charge of $2.3 million, representing the fair value of the Sacramento Warrants from inception through the date of completion of the IPO, was recorded in other income (expense) in the condensed consolidated statement of operations.</w:t>
      </w:r>
    </w:p>
    <w:p>
      <w:pPr>
        <w:spacing w:after="0" w:line="124"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As described above, we obtained control of InnovAge Sacramento through acquisition of an additional 0.1% membership interest, which we consider to be a step acquisition, whereby the Company remeasured the previously held equity method investment to fair value. The amount by which the purchase price exceeds the fair value of the net assets acquired is recorded as goodwill. The fair value of the previously held equity investments was determined using a discounted cash flow model. This resulted in recording a gain on consolidation of $10.9 million during the third quarter of fiscal year 2021.</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September 30, 2021, none of the conditions specified in the JV Agreement had been met. At the time the Company became a publicly traded company these put rights held by the noncontrolling interests of the Joint Venture were required to be presented as temporary equity. The carrying value of the redeemable noncontrolling interest as of September 30, 2021 was $16.4 million.</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three levels of inputs that may be used to measure fair value are:</w:t>
      </w:r>
    </w:p>
    <w:p>
      <w:pPr>
        <w:spacing w:after="0" w:line="221"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 that the entity has the ability to access at the measurement date</w:t>
      </w:r>
    </w:p>
    <w:p>
      <w:pPr>
        <w:spacing w:after="0" w:line="170"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assets or liabilities</w:t>
      </w:r>
    </w:p>
    <w:p>
      <w:pPr>
        <w:spacing w:after="0" w:line="170" w:lineRule="exact"/>
        <w:rPr>
          <w:sz w:val="20"/>
          <w:szCs w:val="20"/>
          <w:color w:val="auto"/>
        </w:rPr>
      </w:pPr>
    </w:p>
    <w:p>
      <w:pPr>
        <w:ind w:left="1800" w:right="79" w:hanging="890"/>
        <w:spacing w:after="0" w:line="277" w:lineRule="auto"/>
        <w:tabs>
          <w:tab w:leader="none" w:pos="17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to the valuation techniques that are significant to the fair value measurements of the assets or liabilities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Recurring Measurements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each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For the three months ended September 30, 2021, the Company did not record any fair value adjustments as the fair value of the redeemable noncontrolling interest was not greater than the carrying value of the redeemable noncontrolling interest.</w:t>
      </w:r>
    </w:p>
    <w:p>
      <w:pPr>
        <w:spacing w:after="0" w:line="16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Effective August 7, 2018, the Company finalized the acquisition of NewCourtland LIFE Program (“NewCourtland”) in Pennsylvania. The Company paid a base purchase price of $30.0 million, subject to certain net working capital and closing adjustments plus contingent consideration of up to $20.0 million. On March 8 2021 we completed our IPO, which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satisfied the condition that the Company sell equity securities pursuant to an effective registration statement. Accordingly, $20.0 million of contingent consideration was paid under the terms of the acquisition agreement. Since all of the contingent consideration of $20.0 million was paid, the lease payments in certain real estate leases between the Company and NewCourtland were reduced from their current amounts and allow the Company to exercise its option to purchase the leased buildings at fair market value, after the initial term of the lease.</w:t>
      </w:r>
    </w:p>
    <w:p>
      <w:pPr>
        <w:spacing w:after="0" w:line="1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Changes in fair value of $0.7 million were recorded in other operating expense (income) for the three months ended September 30, 2020. As of June 30, 2021 and September 30, 2021, there are no amounts of contingent consideration outstanding.</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transfers in and out of Level 3 during the three months ended September 30, 2020 or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Goodwill, which represents the excess of consideration paid over the fair value of net assets acquired through business acquisitions. Goodwill amounted to $124.2 million at each of September 30, 2021 and June 30, 2021. Goodwill is not amortized.</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Pursuant to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 indicators of impairment identified and no goodwill impairments recorded during the three months ended September 30, 2021 and 2020.</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Intangibles assets consisted of the following as of:</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Indefinite-lived intangible assets</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intangible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amortization</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r>
      <w:tr>
        <w:trPr>
          <w:trHeight w:val="210"/>
        </w:trPr>
        <w:tc>
          <w:tcPr>
            <w:tcW w:w="2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as of end of period</w:t>
            </w: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Intangible assets consist of customer relationships acquired through business acquisitions. The Company recorded amortization expense of $0.2 million for both the three months ended September 30, 2021 and 2020, respectively.</w:t>
      </w:r>
    </w:p>
    <w:p>
      <w:pPr>
        <w:spacing w:after="0" w:line="12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three months ended September 30, 2021 and 2020.</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During the quarter ended September 30, 2021, the market value of our common stock declined below the carrying value of equity. We were required to qualitatively assess whether a triggering event had occurred and whether it was more likely than not that our goodwill was impaired as of September 30, 2021. On September 17, 2021, we were notified that CMS had determined to suspend new enrollments at our Sacramento center based on deficiencies detected in an audit related to participant quality of care, and on September 30, 2021, we were further notified that the State of California had followed in the determination of such sanctions. The suspension will remain in effect until CMS and the State of California determine that we have remediated the deficiencies to their satisfaction. We believe this decline in common stock price was the market reaction to the new enrollment suspension at our Sacramento center as of September 18, 2021.</w:t>
      </w:r>
    </w:p>
    <w:p>
      <w:pPr>
        <w:spacing w:after="0" w:line="16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Based on our interim qualitative assessment as of September 30, 2021, we determined that it was more-likely-than-not that the fair value of the Company was greater than the net book value and that we did not have a “triggering event”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requiring a quantitative or Step 1 assessment of Goodwill. Our review of macroeconomic and industry considerations, as well as the Company's financial results of the west region for the first quarter of fiscal year 2022 and projections for the full fiscal year 2022, inclusive of a sustained impact of the enrollment suspension at Sacramento, were consistent with the expectations and sensitivities assessed as part of our annual goodwill impairment performed in the fourth quarter of fiscal year 2021. If assumptions or estimates in the fair value calculations change or if future cash flows vary from what was expected, including those assumptions relating to the duration and severity of the financial impact of the enrollment suspension at Sacramento, this may impact the impairment analysis and could reduce the underlying cash flows used to estimate fair values and result in a decline in fair value that may trigger future impairment charges.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Property and equipment includes property under various capital leases. These leases have expiration dates ranging from January 2022 to September 2027, varying interest rates, and generally include an option to purchase the equipment at the end of the underlying lease period. The Company’s capital leases included the following at September 30, 2021 and June 30, 2021:</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September 30, 2021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2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24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capital leases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Certain of the Company’s property and equipment is leased under operating leases. Total rental expense under operating leases was $1.0 million for the each of three months ended September 30, 2021, and 2020.</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Future minimum lease payments for fiscal years beginning with remainder of fiscal year 2022 for capital leases having initial terms of more than one year and noncancelable operating leases were as follows:</w:t>
      </w:r>
    </w:p>
    <w:p>
      <w:pPr>
        <w:spacing w:after="0" w:line="3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0"/>
              </w:rPr>
              <w:t>Operating Leases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5"/>
              </w:rPr>
              <w:t>Capital Leases Minimum Lease</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Obligations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Amount remaining in 2022</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2023</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2025</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13,619</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31,403</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maturities</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Long Term Debt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consisted of the following at September 30, 2021 and June 30,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Maturity date</w:t>
            </w:r>
          </w:p>
        </w:tc>
        <w:tc>
          <w:tcPr>
            <w:tcW w:w="6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2021</w:t>
            </w: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June 30, 2021</w:t>
            </w:r>
          </w:p>
        </w:tc>
        <w:tc>
          <w:tcPr>
            <w:tcW w:w="0" w:type="dxa"/>
            <w:vAlign w:val="bottom"/>
          </w:tcPr>
          <w:p>
            <w:pPr>
              <w:spacing w:after="0"/>
              <w:rPr>
                <w:sz w:val="1"/>
                <w:szCs w:val="1"/>
                <w:color w:val="auto"/>
              </w:rPr>
            </w:pPr>
          </w:p>
        </w:tc>
      </w:tr>
      <w:tr>
        <w:trPr>
          <w:trHeight w:val="176"/>
        </w:trPr>
        <w:tc>
          <w:tcPr>
            <w:tcW w:w="3780" w:type="dxa"/>
            <w:vAlign w:val="bottom"/>
            <w:gridSpan w:val="3"/>
            <w:vMerge w:val="restart"/>
          </w:tcPr>
          <w:p>
            <w:pPr>
              <w:ind w:left="900"/>
              <w:spacing w:after="0"/>
              <w:rPr>
                <w:sz w:val="20"/>
                <w:szCs w:val="20"/>
                <w:color w:val="auto"/>
              </w:rPr>
            </w:pPr>
            <w:r>
              <w:rPr>
                <w:rFonts w:ascii="Arial" w:cs="Arial" w:eastAsia="Arial" w:hAnsi="Arial"/>
                <w:sz w:val="18"/>
                <w:szCs w:val="18"/>
                <w:color w:val="auto"/>
              </w:rPr>
              <w:t>Senior secured borrowings:</w:t>
            </w: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ind w:left="320"/>
              <w:spacing w:after="0"/>
              <w:rPr>
                <w:sz w:val="20"/>
                <w:szCs w:val="20"/>
                <w:color w:val="auto"/>
              </w:rPr>
            </w:pPr>
            <w:r>
              <w:rPr>
                <w:rFonts w:ascii="Arial" w:cs="Arial" w:eastAsia="Arial" w:hAnsi="Arial"/>
                <w:sz w:val="14"/>
                <w:szCs w:val="14"/>
                <w:i w:val="1"/>
                <w:iCs w:val="1"/>
                <w:color w:val="auto"/>
                <w:w w:val="73"/>
              </w:rPr>
              <w:t>in thousands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Term Loan Facility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8, 2026</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74,063</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Revolving Credit Facility (b)</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8, 2026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term loan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20, 2030</w:t>
            </w: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Total debt</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76,420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77,367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Less unamortized debt issuance costs</w:t>
            </w:r>
          </w:p>
        </w:tc>
        <w:tc>
          <w:tcPr>
            <w:tcW w:w="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maturities</w:t>
            </w:r>
          </w:p>
        </w:tc>
        <w:tc>
          <w:tcPr>
            <w:tcW w:w="8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maturities</w:t>
            </w:r>
          </w:p>
        </w:tc>
        <w:tc>
          <w:tcPr>
            <w:tcW w:w="8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00" w:hanging="318"/>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interest rates on the Term Loan Facility and Revolving Credit Facility are described below.</w:t>
      </w:r>
    </w:p>
    <w:p>
      <w:pPr>
        <w:ind w:left="800" w:right="159" w:hanging="318"/>
        <w:spacing w:after="0" w:line="232"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remaining capacity under the Revolving Credit Facility as of September 30, 2021 was $100.0 million, subject to (i) any issued amounts under our letters of credit, which as of September 30, 2021 was $2.2 million, and (ii) applicable covenant compliance restrictions and any other conditions precedent to borrowing.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2016 Credit Agreement</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originally entered into a senior secured borrowing agreement (the “2016 Credit Agreement”) on May 13, 2016, that consisted of a senior secured term loan for $75.0 million and a revolving credit facility for $20.0 million. The 2016 Credit Agreement was subsequently amended (i) on May 2, 2019 to increase the senior secured term loan to $190.0 million and a revolving credit facility for $30.0 million and a delayed draw term loan facility (“DDTL”) for $45.0 million and (ii) on July 27, 2020, to increase the senior secured term loan to $300.0 million, the revolving credit facility to $40.0 million and to terminate the DDTL. The structure of the July 27, 2020 amendment to the 2016 Credit Agreement led to an extinguishment of debt for certain lenders and a modification of debt for other lenders. The total debt structure extinguishment for certain lenders was $57.1 million, and the write off of $1.0 million in debt issuance costs was recorded in loss on extinguishment of debt for the three months ended September 30 30, 2020. The total debt structure that was modified was $250.0 million, while the new debt issued was $50.0 million, which resulted in $9.1 million of capitalized debt issuance costs. Total amortization of deferred financing costs was $0.3 million for the three months ended September 30, 2020.</w:t>
      </w:r>
    </w:p>
    <w:p>
      <w:pPr>
        <w:spacing w:after="0" w:line="17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Concurrent with the Company’s entry into the 2021 Credit Agreement (as defined below), the Company terminated and repaid in full all outstanding indebtedness under the 2016 Credit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2021 Credit Agreement</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March 8, 2021, concurrently with the closing of the IPO, the Company entered into a new credit agreement (the “2021 Credit Agreement”) that replaced the 2016 Credit Agreement. The 2021 Credit Agreement consists of a senior secured term loan (the “Term Loan Facility”) of $75.0 million principal amount and a revolving credit facility (the “Revolving Credit Facility”) of $100.0 million maximum borrowing capacity. Loans under the 2021 Credit Agreement are secured by substantially all of the Company’s assets. Principal on the Term Loan Facility is paid each calendar quarter beginning September 2021 in an amount equal to 1.25% of the initial term loan on closing date. Proceeds of the Term Loan Facility, together with proceeds from the IPO, were used to repay amounts outstanding under the 2016 Credit Agreement.</w:t>
      </w:r>
    </w:p>
    <w:p>
      <w:pPr>
        <w:spacing w:after="0" w:line="166"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Outstanding principal amounts under the 2021 Credit Agreement accrue interest at a variable interest rate. As of September 30, 2021, the interest rate on the Term Loan Facility was 1.84%. Under the terms of the 2021 Credit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Revolving Credit Facility fee accrues at 0.25% of the average daily unused amount and is paid quarterly. As of September 30, 2021, we had no borrowings outstanding under the Revolving Credit Facility.</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September 30, 2021, the Company was in compliance with the covenants of the 2021 Credit Agreement.</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deferred financing costs of $2.0 million are amortized over the term of the underlying debt and unamortized amounts have been offset against long-term debt in the consolidated balance sheets. Total amortization of deferred financing costs was $0.1 million for the three months ended September 30, 2021.</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Convertible Term Loan</w:t>
      </w:r>
    </w:p>
    <w:p>
      <w:pPr>
        <w:spacing w:after="0" w:line="225" w:lineRule="exact"/>
        <w:rPr>
          <w:sz w:val="20"/>
          <w:szCs w:val="20"/>
          <w:color w:val="auto"/>
        </w:rPr>
      </w:pPr>
    </w:p>
    <w:p>
      <w:pPr>
        <w:jc w:val="both"/>
        <w:ind w:left="60" w:right="59" w:firstLine="389"/>
        <w:spacing w:after="0" w:line="263" w:lineRule="auto"/>
        <w:rPr>
          <w:sz w:val="20"/>
          <w:szCs w:val="20"/>
          <w:color w:val="auto"/>
        </w:rPr>
      </w:pPr>
      <w:r>
        <w:rPr>
          <w:rFonts w:ascii="Arial" w:cs="Arial" w:eastAsia="Arial" w:hAnsi="Arial"/>
          <w:sz w:val="18"/>
          <w:szCs w:val="18"/>
          <w:color w:val="auto"/>
        </w:rPr>
        <w:t>On June 29, 2015, SH1 entered into a convertible term loan. Monthly principal and interest payments of $0.02 million commenced on September 1, 2015. The loan is secured by a deed of trust to Public Trustee, assignment of leases and rents, security agreements, and SH1’s fixture filing.</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Professional Liability</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left="60" w:right="59" w:firstLine="389"/>
        <w:spacing w:after="0" w:line="257" w:lineRule="auto"/>
        <w:rPr>
          <w:sz w:val="20"/>
          <w:szCs w:val="20"/>
          <w:color w:val="auto"/>
        </w:rPr>
      </w:pPr>
      <w:r>
        <w:rPr>
          <w:rFonts w:ascii="Arial" w:cs="Arial" w:eastAsia="Arial" w:hAnsi="Arial"/>
          <w:sz w:val="18"/>
          <w:szCs w:val="18"/>
          <w:color w:val="auto"/>
        </w:rPr>
        <w:t>From time to time, in the normal course of business, the Company is involved in or subject to legal proceedings related to its business, including those described below.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spacing w:after="0" w:line="188" w:lineRule="exact"/>
        <w:rPr>
          <w:sz w:val="20"/>
          <w:szCs w:val="20"/>
          <w:color w:val="auto"/>
        </w:rPr>
      </w:pPr>
    </w:p>
    <w:p>
      <w:pPr>
        <w:jc w:val="both"/>
        <w:ind w:left="60" w:right="59" w:firstLine="389"/>
        <w:spacing w:after="0" w:line="279" w:lineRule="auto"/>
        <w:rPr>
          <w:sz w:val="20"/>
          <w:szCs w:val="20"/>
          <w:color w:val="auto"/>
        </w:rPr>
      </w:pPr>
      <w:r>
        <w:rPr>
          <w:rFonts w:ascii="Arial" w:cs="Arial" w:eastAsia="Arial" w:hAnsi="Arial"/>
          <w:sz w:val="17"/>
          <w:szCs w:val="17"/>
          <w:color w:val="auto"/>
        </w:rPr>
        <w:t>In July 2021, the Company received a civil investigative demand (“CID”) from the Attorney General for the State of Colorado. The CID requests information and documents regarding Medicaid billing, patient services and referrals at InnovAge’s Colorado program. We continue to fully cooperate with the Attorney General and produce the requested information and documentation. We are currently unable to predict the outcome of this investigation.</w:t>
      </w:r>
    </w:p>
    <w:p>
      <w:pPr>
        <w:spacing w:after="0" w:line="171" w:lineRule="exact"/>
        <w:rPr>
          <w:sz w:val="20"/>
          <w:szCs w:val="20"/>
          <w:color w:val="auto"/>
        </w:rPr>
      </w:pPr>
    </w:p>
    <w:p>
      <w:pPr>
        <w:jc w:val="both"/>
        <w:ind w:left="60" w:right="59" w:firstLine="389"/>
        <w:spacing w:after="0" w:line="268" w:lineRule="auto"/>
        <w:rPr>
          <w:sz w:val="20"/>
          <w:szCs w:val="20"/>
          <w:color w:val="auto"/>
        </w:rPr>
      </w:pPr>
      <w:r>
        <w:rPr>
          <w:rFonts w:ascii="Arial" w:cs="Arial" w:eastAsia="Arial" w:hAnsi="Arial"/>
          <w:sz w:val="17"/>
          <w:szCs w:val="17"/>
          <w:color w:val="auto"/>
        </w:rPr>
        <w:t>On October 14, 2021, the Company was named as a defendant in a putative class action complaint filed in the District Court for the District of Colorado on behalf of individuals who purchased or acquired shares of the Company’s common stock during a specified period. Through the complaint, plaintiffs are asserting claims against the Company, certain of the Company’s officers and the underwriters in the Company’s IPO, alleging violations of Sections 11 and 15 of the Securities Act of 1933 for making allegedly inaccurate and misleading statements and omissions in connection with the Company’s IPO and seeking compensatory damages, among other things.</w:t>
      </w:r>
    </w:p>
    <w:p>
      <w:pPr>
        <w:spacing w:after="0" w:line="1" w:lineRule="exact"/>
        <w:rPr>
          <w:sz w:val="20"/>
          <w:szCs w:val="20"/>
          <w:color w:val="auto"/>
        </w:rPr>
      </w:pPr>
    </w:p>
    <w:p>
      <w:pPr>
        <w:jc w:val="both"/>
        <w:ind w:left="60" w:right="79" w:firstLine="324"/>
        <w:spacing w:after="0" w:line="271" w:lineRule="auto"/>
        <w:rPr>
          <w:sz w:val="20"/>
          <w:szCs w:val="20"/>
          <w:color w:val="auto"/>
        </w:rPr>
      </w:pPr>
      <w:r>
        <w:rPr>
          <w:rFonts w:ascii="Arial" w:cs="Arial" w:eastAsia="Arial" w:hAnsi="Arial"/>
          <w:sz w:val="17"/>
          <w:szCs w:val="17"/>
          <w:color w:val="auto"/>
        </w:rPr>
        <w:t>Although the results of legal proceedings and claims are inherently unpredictable and uncertain, we do not believe that the outcomes of the legal proceedings with which we are currently involved, based on the currently available information, either individually or in the aggregate, will have a material adverse effect on our business, financial condition, or cash flows, though the outcomes could be material to the firms operating results for any particular period; depending in part, upon the operating results of such period. Regardless of the outcome, litigation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has the potential to have an adverse impact on us due to any related defense and settlement costs, diversion of management resources, and other factors.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Owner Transaction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July 27, 2020, InnovAge Holding Corp. (formerly TCO Group Holdings, Inc.), Ignite Aggregator LP (“Purchaser”), and the former equity holders of InnovAge Holding Corp. (“Sellers”) entered into a Securities Purchase Agreement (the “Agreement”), effective July 27, 2020. Under the terms of the Agreement, the Sellers sold a portion of their equity interest to the Purchaser. The Purchaser and the Sellers then contributed their equity interests in the Company to a newly formed limited partnership, TCO Group Holdings, L.P. (the “LP”) resulting in the Company being wholly owned by the LP.</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Concurrently with the entry into the Agreement, the Company amended and restated its 2016 Credit Agreement, see Note 8, “Long Term Debt” for further discussion. A portion of the proceeds from the 2016 Credit Agreement were used by the Company to repurchase 16,095,819 shares of its common stock for $77.6 million from certain members of management, including certain members of the Board of Directors, and certain members of our equity partner. The common stock was then recognized as Treasury stock. The Treasury stock was retired in March 2021.</w:t>
      </w:r>
    </w:p>
    <w:p>
      <w:pPr>
        <w:spacing w:after="0" w:line="17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Additionally, as part of the Agreement, the Company executed an Option Cancellation Agreement (the “Cancellation Agreement”), which canceled the Company’s common stock option awards of 16,994,975 granted under the 2016 Equity Incentive Plan for $74.6 million. Such cancellation resulted in a settlement of the awards. Vesting of the contingent performance-based awards was not deemed probable at the time of the settlement resulting in the settlement of the contingent performance-based awards being recorded as Corporate, general and administrative. Vesting of the time vesting awards was deemed probable at the time of the settlement resulting in a portion of the settlement of the time vesting awards being recorded as Corporate, general and administrative expense and the remainder being recorded as a reduction to Additional paid-in capital. Of the total settlement, $45.4 million was recorded as Corporate, general and administrative expense and $32.4 million was recorded as a reduction to Additional paid-in capital. The Cancellation Agreement resulted in the option holders receiving the same amount of cash that they would have received had they exercised their options, participated in the repurchase described above and sold their remaining shares.</w:t>
      </w:r>
    </w:p>
    <w:p>
      <w:pPr>
        <w:spacing w:after="0" w:line="17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part of the transaction, for the three months ended September 30, 2020, the Company incurred $22.6 million in transaction costs, of which $13.1 million was recognized as Corporate, general and administrative expense and $9.5 million was recognized as a distribution to owners as the costs were paid on behalf of the owners. These costs were recorded during the three months ended September 30, 2020.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A summary of our aggregate share-based compensation expense is set forth below. Stock-based compensation expense is included in corporate, general and administrative expenses on our consolidated statements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40"/>
        <w:spacing w:after="0"/>
        <w:rPr>
          <w:sz w:val="20"/>
          <w:szCs w:val="20"/>
          <w:color w:val="auto"/>
        </w:rPr>
      </w:pPr>
      <w:r>
        <w:rPr>
          <w:rFonts w:ascii="Arial" w:cs="Arial" w:eastAsia="Arial" w:hAnsi="Arial"/>
          <w:sz w:val="16"/>
          <w:szCs w:val="16"/>
          <w:i w:val="1"/>
          <w:iCs w:val="1"/>
          <w:color w:val="auto"/>
        </w:rPr>
        <w:t>in thousands</w:t>
      </w:r>
    </w:p>
    <w:p>
      <w:pPr>
        <w:spacing w:after="0" w:line="23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Stock options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-121920</wp:posOffset>
            </wp:positionV>
            <wp:extent cx="45173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Profits interests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Restricted stock units</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Total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122555</wp:posOffset>
            </wp:positionV>
            <wp:extent cx="141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29"/>
        <w:spacing w:after="0"/>
        <w:rPr>
          <w:sz w:val="20"/>
          <w:szCs w:val="20"/>
          <w:color w:val="auto"/>
        </w:rPr>
      </w:pPr>
      <w:r>
        <w:rPr>
          <w:rFonts w:ascii="Arial" w:cs="Arial" w:eastAsia="Arial" w:hAnsi="Arial"/>
          <w:sz w:val="14"/>
          <w:szCs w:val="14"/>
          <w:b w:val="1"/>
          <w:bCs w:val="1"/>
          <w:color w:val="auto"/>
        </w:rPr>
        <w:t>Three Months Ended</w:t>
      </w:r>
    </w:p>
    <w:p>
      <w:pPr>
        <w:spacing w:after="0" w:line="69" w:lineRule="exact"/>
        <w:rPr>
          <w:sz w:val="20"/>
          <w:szCs w:val="20"/>
          <w:color w:val="auto"/>
        </w:rPr>
      </w:pPr>
    </w:p>
    <w:p>
      <w:pPr>
        <w:ind w:left="429"/>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1315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 w:lineRule="exact"/>
        <w:rPr>
          <w:sz w:val="20"/>
          <w:szCs w:val="20"/>
          <w:color w:val="auto"/>
        </w:rPr>
      </w:pPr>
    </w:p>
    <w:p>
      <w:pPr>
        <w:ind w:left="269"/>
        <w:spacing w:after="0"/>
        <w:tabs>
          <w:tab w:leader="none" w:pos="1209"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1315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92" w:lineRule="exact"/>
        <w:rPr>
          <w:sz w:val="20"/>
          <w:szCs w:val="20"/>
          <w:color w:val="auto"/>
        </w:rPr>
      </w:pPr>
    </w:p>
    <w:p>
      <w:pPr>
        <w:ind w:left="569" w:hanging="569"/>
        <w:spacing w:after="0"/>
        <w:tabs>
          <w:tab w:leader="none" w:pos="569" w:val="left"/>
        </w:tabs>
        <w:numPr>
          <w:ilvl w:val="0"/>
          <w:numId w:val="5"/>
        </w:numPr>
        <w:rPr>
          <w:rFonts w:ascii="Arial" w:cs="Arial" w:eastAsia="Arial" w:hAnsi="Arial"/>
          <w:sz w:val="18"/>
          <w:szCs w:val="18"/>
          <w:color w:val="auto"/>
        </w:rPr>
      </w:pPr>
      <w:r>
        <w:rPr>
          <w:rFonts w:ascii="Arial" w:cs="Arial" w:eastAsia="Arial" w:hAnsi="Arial"/>
          <w:sz w:val="18"/>
          <w:szCs w:val="18"/>
          <w:color w:val="auto"/>
        </w:rPr>
        <w:t>—   $  45,387</w:t>
      </w:r>
    </w:p>
    <w:p>
      <w:pPr>
        <w:spacing w:after="0" w:line="23" w:lineRule="exact"/>
        <w:rPr>
          <w:sz w:val="20"/>
          <w:szCs w:val="20"/>
          <w:color w:val="auto"/>
        </w:rPr>
      </w:pPr>
    </w:p>
    <w:p>
      <w:pPr>
        <w:ind w:left="1529" w:hanging="1040"/>
        <w:spacing w:after="0"/>
        <w:tabs>
          <w:tab w:leader="none" w:pos="1529" w:val="left"/>
        </w:tabs>
        <w:numPr>
          <w:ilvl w:val="0"/>
          <w:numId w:val="6"/>
        </w:numPr>
        <w:rPr>
          <w:rFonts w:ascii="Arial" w:cs="Arial" w:eastAsia="Arial" w:hAnsi="Arial"/>
          <w:sz w:val="16"/>
          <w:szCs w:val="16"/>
          <w:color w:val="auto"/>
        </w:rPr>
      </w:pPr>
      <w:r>
        <w:rPr>
          <w:rFonts w:ascii="Arial" w:cs="Arial" w:eastAsia="Arial" w:hAnsi="Arial"/>
          <w:sz w:val="16"/>
          <w:szCs w:val="16"/>
          <w:color w:val="auto"/>
        </w:rPr>
        <w:t>46</w:t>
      </w:r>
    </w:p>
    <w:p>
      <w:pPr>
        <w:spacing w:after="0" w:line="32" w:lineRule="exact"/>
        <w:rPr>
          <w:rFonts w:ascii="Arial" w:cs="Arial" w:eastAsia="Arial" w:hAnsi="Arial"/>
          <w:sz w:val="16"/>
          <w:szCs w:val="16"/>
          <w:color w:val="auto"/>
        </w:rPr>
      </w:pPr>
    </w:p>
    <w:p>
      <w:pPr>
        <w:ind w:left="1529" w:hanging="1040"/>
        <w:spacing w:after="0"/>
        <w:tabs>
          <w:tab w:leader="none" w:pos="1529"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1315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9"/>
        <w:spacing w:after="0"/>
        <w:tabs>
          <w:tab w:leader="none" w:pos="469" w:val="left"/>
          <w:tab w:leader="none" w:pos="949" w:val="left"/>
          <w:tab w:leader="none" w:pos="1209"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958</w:t>
        <w:tab/>
        <w:t>$</w:t>
      </w:r>
      <w:r>
        <w:rPr>
          <w:sz w:val="20"/>
          <w:szCs w:val="20"/>
          <w:color w:val="auto"/>
        </w:rPr>
        <w:tab/>
      </w:r>
      <w:r>
        <w:rPr>
          <w:rFonts w:ascii="Arial" w:cs="Arial" w:eastAsia="Arial" w:hAnsi="Arial"/>
          <w:sz w:val="15"/>
          <w:szCs w:val="15"/>
          <w:color w:val="auto"/>
        </w:rPr>
        <w:t>45,433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1315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157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11" w:space="720"/>
            <w:col w:w="2888"/>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right="399" w:hanging="318"/>
        <w:spacing w:after="0" w:line="253" w:lineRule="auto"/>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 for 2020 relates to stock-based compensation expense recognized as a result of the Cancellation Agreement, as defined and described in Note 11, “Stock-based Compensation”.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Company maintained the 2016 Equity Incentive Plan pursuant to which various stock-based awards were granted to employees, directors, consultants, and advisers. The total number of shares of the Company’s common stock that was authorized under the 2016 Equity Incentive Plan was 17,836,636, of which a total of 16,994,976 awards were granted. On July 27, 2020, the Company, Ignite Aggregator LP, and the equity holders of the Company entered into a Securities Purchase Agreement, and in conjunction therewith, the Company amended and restated the 2016 Credit Agreement. A portion of the proceeds from the 2016 Credit Agreement were used by the Company to repurchase 16,095,819 shares of its common stock from the certain members of management, the Board of Directors, and members of our equity partner. Additionally, as part of the 2016 Credit Agreement, the Company executed the Cancellation Agreement, as defined and described in Note 11, “Stock-based Compensation” with each of the 2016 Equity Incentive Plan option holders, pursuant to which the Company’s 16,994,976 common stock options which were granted under the 2016 Equity Incentive Plan, were cancelled. The Cancellation Agreement resulted in the option holders receiving the same amount of cash that they would have received had they exercised their options, participated in the repurchase described above and sold their remaining shares. The 2016 Equity Incentive Plan was cancelled and replaced with the 2020 Equity Incentive Plan, as described below.</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Profits Interests</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LP maintains the 2020 Equity Incentive Plan pursuant to which interests in the LP in the form of Class B Units (profits interests) may be granted to employees, directors, consultants, and advisers. A maximum number of 16,162,177 Class B Units are authorized for grant under the 2020 Equity Incentive Plan. As of September 30, 2021, a total of 13,009,137 profits interests units have been granted under the 2020 Equity Incentive Plan.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uses the Monte Carlo option model to determine the fair value of the granted profits interests units.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grants during the three months ended September 30, 2021.</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profits interests activity for the three months ended September 30, 2021 was as follows:</w:t>
      </w:r>
    </w:p>
    <w:p>
      <w:pPr>
        <w:spacing w:after="0" w:line="388"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3"/>
        </w:trPr>
        <w:tc>
          <w:tcPr>
            <w:tcW w:w="4700" w:type="dxa"/>
            <w:vAlign w:val="bottom"/>
            <w:gridSpan w:val="3"/>
          </w:tcPr>
          <w:p>
            <w:pPr>
              <w:spacing w:after="0"/>
              <w:rPr>
                <w:sz w:val="20"/>
                <w:szCs w:val="20"/>
                <w:color w:val="auto"/>
              </w:rPr>
            </w:pPr>
            <w:r>
              <w:rPr>
                <w:rFonts w:ascii="Arial" w:cs="Arial" w:eastAsia="Arial" w:hAnsi="Arial"/>
                <w:sz w:val="16"/>
                <w:szCs w:val="16"/>
                <w:b w:val="1"/>
                <w:bCs w:val="1"/>
                <w:color w:val="auto"/>
              </w:rPr>
              <w:t>Time-based unit awards</w:t>
            </w: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units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grant date fair value</w:t>
            </w: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6,587,261</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(76,249)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September 30, 2021</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6,511,012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7"/>
              </w:rPr>
              <w:t>Number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11"/>
              <w:spacing w:after="0"/>
              <w:rPr>
                <w:sz w:val="20"/>
                <w:szCs w:val="20"/>
                <w:color w:val="auto"/>
              </w:rPr>
            </w:pPr>
            <w:r>
              <w:rPr>
                <w:rFonts w:ascii="Arial" w:cs="Arial" w:eastAsia="Arial" w:hAnsi="Arial"/>
                <w:sz w:val="16"/>
                <w:szCs w:val="16"/>
                <w:b w:val="1"/>
                <w:bCs w:val="1"/>
                <w:color w:val="auto"/>
                <w:w w:val="89"/>
              </w:rPr>
              <w:t>Weighted average</w:t>
            </w:r>
          </w:p>
        </w:tc>
      </w:tr>
      <w:tr>
        <w:trPr>
          <w:trHeight w:val="213"/>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Performance-based unit awards</w:t>
            </w: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units</w:t>
            </w:r>
          </w:p>
        </w:tc>
        <w:tc>
          <w:tcPr>
            <w:tcW w:w="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grant date fair value</w:t>
            </w:r>
          </w:p>
        </w:tc>
      </w:tr>
      <w:tr>
        <w:trPr>
          <w:trHeight w:val="145"/>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6,223,262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(99,307)$</w:t>
            </w:r>
          </w:p>
        </w:tc>
        <w:tc>
          <w:tcPr>
            <w:tcW w:w="134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10"/>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balance, September 30, 2021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6,123,955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total unrecognized compensation cost related to profits interests units outstanding as of September 30, 2021 was $9.6 million, comprised (i) $6.1 million related to time-based unit awards expected to be recognized over a weighted-average period of 0.9 years and (ii) $3.5 million related to performance-based unit awards, which will be recorded when it is probable that the performance-based criteria will be met.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March 2021, the compensation committee of our Board of Directors approved the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(i) on March 4, 2023, the second anniversary of the grant date, or (ii) over a three-year period with one-third vesting on each anniversary of the date of grant. Certain other vesting periods have also been used. The grant date fair value of restricted stock units is based on the closing market price of our common stock on the date of grant.</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restricted stock units activity for the three months ended September 30, 2021 was as follows:</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13"/>
        </w:trPr>
        <w:tc>
          <w:tcPr>
            <w:tcW w:w="4960" w:type="dxa"/>
            <w:vAlign w:val="bottom"/>
            <w:gridSpan w:val="3"/>
          </w:tcPr>
          <w:p>
            <w:pPr>
              <w:spacing w:after="0"/>
              <w:rPr>
                <w:sz w:val="20"/>
                <w:szCs w:val="20"/>
                <w:color w:val="auto"/>
              </w:rPr>
            </w:pPr>
            <w:r>
              <w:rPr>
                <w:rFonts w:ascii="Arial" w:cs="Arial" w:eastAsia="Arial" w:hAnsi="Arial"/>
                <w:sz w:val="16"/>
                <w:szCs w:val="16"/>
                <w:b w:val="1"/>
                <w:bCs w:val="1"/>
                <w:color w:val="auto"/>
              </w:rPr>
              <w:t>Restricted stock units</w:t>
            </w:r>
          </w:p>
        </w:tc>
        <w:tc>
          <w:tcPr>
            <w:tcW w:w="800" w:type="dxa"/>
            <w:vAlign w:val="bottom"/>
          </w:tcPr>
          <w:p>
            <w:pPr>
              <w:jc w:val="right"/>
              <w:ind w:right="74"/>
              <w:spacing w:after="0"/>
              <w:rPr>
                <w:sz w:val="20"/>
                <w:szCs w:val="20"/>
                <w:color w:val="auto"/>
              </w:rPr>
            </w:pPr>
            <w:r>
              <w:rPr>
                <w:rFonts w:ascii="Arial" w:cs="Arial" w:eastAsia="Arial" w:hAnsi="Arial"/>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Granted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48,148</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balance, September 30,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389"/>
        <w:spacing w:after="0" w:line="277" w:lineRule="auto"/>
        <w:rPr>
          <w:sz w:val="20"/>
          <w:szCs w:val="20"/>
          <w:color w:val="auto"/>
        </w:rPr>
      </w:pPr>
      <w:r>
        <w:rPr>
          <w:rFonts w:ascii="Arial" w:cs="Arial" w:eastAsia="Arial" w:hAnsi="Arial"/>
          <w:sz w:val="18"/>
          <w:szCs w:val="18"/>
          <w:color w:val="auto"/>
        </w:rPr>
        <w:t>The total unrecognized compensation cost related to restricted stock units outstanding as of September 30, 2021 was $1.8 million and is expected to be recognized over a weighted-average period of 1.9 years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recorded a tax provision of $3.0 million and $4.9 million for the three months ended September 30, 2021 and 2020, respectively. This represents an effective tax rate of 28.2% and (11.0)% for the three months ended September 30, 2021 and 2020, respectively.</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effective rate for the three months ended September 30, 2021 was different from the federal statutory rate primarily due to disallowed officers’ compensation under Internal Revenue Code (“IRC”) Section 162(m) and lobbying expenses which occurred during the three month period.</w:t>
      </w:r>
    </w:p>
    <w:p>
      <w:pPr>
        <w:spacing w:after="0" w:line="18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three-month period ended September 30, 2021, the Company has determined that it is not “more likely than not” that the deferred tax assets associated with certain state net operating losses will be realized and as such continues to maintain a valuation allowance against these state deferred tax assets.</w:t>
      </w:r>
    </w:p>
    <w:p>
      <w:pPr>
        <w:spacing w:after="0" w:line="16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CARES Act, among other things, includes provisions relating to refundable payroll tax credits, deferment of the employer portion of social security payments, net operating loss carryback periods, alternative minimum tax credit refunds, modifications to the net interest deduction limitation and technical corrections to tax depreciation methods for qualified improvement property. The Company continues to examine the impacts that the CARES Act may have on its business. While several of these provisions may impact the Company, there have not been any significant impacts noted through September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Earnings per Share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share values</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1"/>
              </w:rPr>
              <w:t>Three months ended September 30,</w:t>
            </w: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Net income (loss) attributable to InnovAge Holding Corp.</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outstanding (basic)</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135,516,513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121,119,417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 basic</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Dilutive shares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Weighted average common shares outstanding (diluted)</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135,516,513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121,119,417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-diluted</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Segment Reporting</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applies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spacing w:after="0" w:line="182"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Company serves approximately 6,990 PACE participants, making it the largest PACE provider in the U.S. based upon participants served, and operates 18 PACE centers across Colorado, California, New Mexico, Pennsylvania and Virginia. PACE, an alternative to nursing homes, is a managed care, capitated program, which serves the frail elderly in a community-based service model. Participants receive all medical services through a comprehensive, consolidated model of care. Capitation payments are received from Medicare parts C and D; Medicaid; the VA, and private pay sources. The Company is at risk for all health and allied care costs incurred with respect to the care of its participants, although it does negotiate discounted rates with its provider network consisting of hospitals, nursing homes, assisted living facilities, and medical specialists. Additionally, under the Medicare Prescription Drug Plan, CMS shares part of the risk for providing prescription medication to the Company’s participants.</w:t>
      </w:r>
    </w:p>
    <w:p>
      <w:pPr>
        <w:spacing w:after="0" w:line="16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U.S. and all revenue was earned in the U.S.</w:t>
      </w:r>
    </w:p>
    <w:p>
      <w:pPr>
        <w:spacing w:after="0" w:line="171"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Company’s management uses Center-level Contribution Margin as the measure for assessing performance of its segments. Center-level Contribution Margin is defined as total revenues less external provider costs and cost of care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(excluding depreciation and amortization), which includes all medical and pharmacy costs. The Company allocates corporate level expenses to its segments with a majority of the allocation going to the PACE segment.</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table summarizes the operating results regularly provided to the CODM by reportable segment for the three months ended: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3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September 30, 2021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September 30, 2020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PACE</w:t>
            </w:r>
          </w:p>
        </w:tc>
        <w:tc>
          <w:tcPr>
            <w:tcW w:w="880" w:type="dxa"/>
            <w:vAlign w:val="bottom"/>
            <w:gridSpan w:val="4"/>
          </w:tcPr>
          <w:p>
            <w:pPr>
              <w:ind w:left="14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Totals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PACE</w:t>
            </w:r>
          </w:p>
        </w:tc>
        <w:tc>
          <w:tcPr>
            <w:tcW w:w="940" w:type="dxa"/>
            <w:vAlign w:val="bottom"/>
            <w:gridSpan w:val="4"/>
          </w:tcPr>
          <w:p>
            <w:pPr>
              <w:ind w:left="14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Capitation revenue</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172,554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172,554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151,944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151,944</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service revenue</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172,563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152,063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152,566</w:t>
            </w:r>
          </w:p>
        </w:tc>
        <w:tc>
          <w:tcPr>
            <w:tcW w:w="0" w:type="dxa"/>
            <w:vAlign w:val="bottom"/>
          </w:tcPr>
          <w:p>
            <w:pPr>
              <w:spacing w:after="0"/>
              <w:rPr>
                <w:sz w:val="1"/>
                <w:szCs w:val="1"/>
                <w:color w:val="auto"/>
              </w:rPr>
            </w:pPr>
          </w:p>
        </w:tc>
      </w:tr>
      <w:tr>
        <w:trPr>
          <w:trHeight w:val="216"/>
        </w:trPr>
        <w:tc>
          <w:tcPr>
            <w:tcW w:w="3320" w:type="dxa"/>
            <w:vAlign w:val="bottom"/>
          </w:tcPr>
          <w:p>
            <w:pPr>
              <w:ind w:left="100"/>
              <w:spacing w:after="0"/>
              <w:rPr>
                <w:sz w:val="20"/>
                <w:szCs w:val="20"/>
                <w:color w:val="auto"/>
              </w:rPr>
            </w:pPr>
            <w:r>
              <w:rPr>
                <w:rFonts w:ascii="Arial" w:cs="Arial" w:eastAsia="Arial" w:hAnsi="Arial"/>
                <w:sz w:val="18"/>
                <w:szCs w:val="18"/>
                <w:color w:val="auto"/>
              </w:rPr>
              <w:t>External provider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73,681</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Cost of care, excluding depreciation and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40,101</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40,728</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37,454</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38,283</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Center-level Contribution Margin</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40,602</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100"/>
              <w:spacing w:after="0" w:line="210" w:lineRule="exact"/>
              <w:rPr>
                <w:sz w:val="20"/>
                <w:szCs w:val="20"/>
                <w:color w:val="auto"/>
              </w:rPr>
            </w:pPr>
            <w:r>
              <w:rPr>
                <w:rFonts w:ascii="Arial" w:cs="Arial" w:eastAsia="Arial" w:hAnsi="Arial"/>
                <w:sz w:val="17"/>
                <w:szCs w:val="17"/>
                <w:color w:val="auto"/>
              </w:rPr>
              <w:t>Overhead costs</w:t>
            </w:r>
            <w:r>
              <w:rPr>
                <w:rFonts w:ascii="Arial" w:cs="Arial" w:eastAsia="Arial" w:hAnsi="Arial"/>
                <w:sz w:val="24"/>
                <w:szCs w:val="24"/>
                <w:color w:val="auto"/>
                <w:vertAlign w:val="superscript"/>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75,689</w:t>
            </w:r>
          </w:p>
        </w:tc>
        <w:tc>
          <w:tcPr>
            <w:tcW w:w="0" w:type="dxa"/>
            <w:vAlign w:val="bottom"/>
          </w:tcPr>
          <w:p>
            <w:pPr>
              <w:spacing w:after="0"/>
              <w:rPr>
                <w:sz w:val="1"/>
                <w:szCs w:val="1"/>
                <w:color w:val="auto"/>
              </w:rPr>
            </w:pPr>
          </w:p>
        </w:tc>
      </w:tr>
      <w:tr>
        <w:trPr>
          <w:trHeight w:val="216"/>
        </w:trPr>
        <w:tc>
          <w:tcPr>
            <w:tcW w:w="33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3320" w:type="dxa"/>
            <w:vAlign w:val="bottom"/>
          </w:tcPr>
          <w:p>
            <w:pPr>
              <w:ind w:left="100"/>
              <w:spacing w:after="0"/>
              <w:rPr>
                <w:sz w:val="20"/>
                <w:szCs w:val="20"/>
                <w:color w:val="auto"/>
              </w:rPr>
            </w:pPr>
            <w:r>
              <w:rPr>
                <w:rFonts w:ascii="Arial" w:cs="Arial" w:eastAsia="Arial" w:hAnsi="Arial"/>
                <w:sz w:val="18"/>
                <w:szCs w:val="18"/>
                <w:color w:val="auto"/>
              </w:rPr>
              <w:t>Other operating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3320" w:type="dxa"/>
            <w:vAlign w:val="bottom"/>
          </w:tcPr>
          <w:p>
            <w:pPr>
              <w:ind w:left="10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(44,296)</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(44,863)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right="199" w:hanging="10"/>
        <w:spacing w:after="0" w:line="265" w:lineRule="auto"/>
        <w:tabs>
          <w:tab w:leader="none" w:pos="708" w:val="left"/>
        </w:tabs>
        <w:numPr>
          <w:ilvl w:val="0"/>
          <w:numId w:val="9"/>
        </w:numPr>
        <w:rPr>
          <w:rFonts w:ascii="Arial" w:cs="Arial" w:eastAsia="Arial" w:hAnsi="Arial"/>
          <w:sz w:val="16"/>
          <w:szCs w:val="16"/>
          <w:color w:val="auto"/>
        </w:rPr>
      </w:pPr>
      <w:r>
        <w:rPr>
          <w:rFonts w:ascii="Arial" w:cs="Arial" w:eastAsia="Arial" w:hAnsi="Arial"/>
          <w:sz w:val="16"/>
          <w:szCs w:val="16"/>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pacing w:after="0" w:line="1" w:lineRule="exact"/>
        <w:rPr>
          <w:rFonts w:ascii="Arial" w:cs="Arial" w:eastAsia="Arial" w:hAnsi="Arial"/>
          <w:sz w:val="16"/>
          <w:szCs w:val="16"/>
          <w:color w:val="auto"/>
        </w:rPr>
      </w:pPr>
    </w:p>
    <w:p>
      <w:pPr>
        <w:ind w:left="700" w:hanging="650"/>
        <w:spacing w:after="0"/>
        <w:tabs>
          <w:tab w:leader="none" w:pos="7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Overhead consists of the Sales and marketing and Corporate, general and administrative financial statement line items.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Related-party</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Pursuant to the PWD Amended and Restated Agreement of Limited Partnership, the general partner, who is a subsidiary of the Company (the “General Partner”), helped fund operating deficits and shortfalls of PWD in the form of a loan. At each of September 30, 2021 and June 30, 2021, $0.7 million was recorded in Deposits and other. Additionally, the General Partner is paid an administration fee of $35,000 per year.</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evaluated subsequent events through November 9, 2021, the date on which the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our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this Quarterly Report on Form 10-Q and in our 2021 Annual Report on Form 10-K.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InnovAge Holding Corp. (“InnovAge”), formerly TCO Group Holdings, Inc., became a public company in March 2021. The Company serves approximately 6,990 PACE participants, and operates 18 PACE centers across Colorado, California, New Mexico, Pennsylvania and Virginia.</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rapid spread of COVID-19 around the world and throughout the United States has altered the behavior of businesses and people, with significant negative effects on federal, state and local economies, the duration of which continues to be unknown at this time. The virus has and continues to disproportionately impact older adults, especially those with chronic illnesses, which describes our participants.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Despite the challenges brought on by COVID-19, as of September 30, 2021, we continue care delivery through telehealth and at our centers, all of which remain fully opened. As economies around the world have reopened in 2021, sharp increases in demand are creating significant disruptions to the global supply chain. Global logistics network challenges have resulted in higher prices for the medical supplies we require. Uncertainties related to the magnitude and duration of global supply chain disruptions have adversely affected, and may continue to adversely affect, our business and outlook.</w:t>
      </w:r>
    </w:p>
    <w:p>
      <w:pPr>
        <w:spacing w:after="0" w:line="192"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For additional information on the various risks posed by the COVID-19 pandemic, please see ‘Risk Factors’ included in our 2021 10-K.</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Key Factors Affecting Our Performance</w:t>
      </w:r>
    </w:p>
    <w:p>
      <w:pPr>
        <w:spacing w:after="0" w:line="22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Our historical financial performance has been, and we expect our financial performance in the future to be, driven by the following factors:</w:t>
      </w:r>
    </w:p>
    <w:p>
      <w:pPr>
        <w:spacing w:after="0" w:line="170" w:lineRule="exact"/>
        <w:rPr>
          <w:sz w:val="20"/>
          <w:szCs w:val="20"/>
          <w:color w:val="auto"/>
        </w:rPr>
      </w:pPr>
    </w:p>
    <w:p>
      <w:pPr>
        <w:jc w:val="both"/>
        <w:ind w:left="1040" w:right="79" w:hanging="315"/>
        <w:spacing w:after="0" w:line="286"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Our participants. </w:t>
      </w:r>
      <w:r>
        <w:rPr>
          <w:rFonts w:ascii="Arial" w:cs="Arial" w:eastAsia="Arial" w:hAnsi="Arial"/>
          <w:sz w:val="16"/>
          <w:szCs w:val="16"/>
          <w:color w:val="auto"/>
        </w:rPr>
        <w:t>We focus on providing all-inclusive care to frail, high-cost, dual-eligible seniors. We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RAF score of 2.40 based on InnovAge data as of September 30, 2021, compared to an average RAF score of 1.08 for Medicare fee-for-service non-dual enrollees, as calculated in an analysis by Avalere Health in June 2020 of a cohort of individuals enrolled in Medicare Fee-for-Service in 2019; and (ii) we manage Medicaid spend in addition to Medicare. Our participants are managed on a capitated, or at-risk basis, where InnovAge is financially responsible for all of participant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63" w:lineRule="auto"/>
        <w:rPr>
          <w:sz w:val="20"/>
          <w:szCs w:val="20"/>
          <w:color w:val="auto"/>
        </w:rPr>
      </w:pPr>
      <w:r>
        <w:rPr>
          <w:rFonts w:ascii="Arial" w:cs="Arial" w:eastAsia="Arial" w:hAnsi="Arial"/>
          <w:sz w:val="18"/>
          <w:szCs w:val="18"/>
          <w:color w:val="auto"/>
        </w:rPr>
        <w:t>Medicaid, which provides recurring revenue streams and significant visibility into our revenue growth trajectory. The Medicare portion of our capitated payment is risk-based on the underlying medical conditions and frailty of each participant.</w:t>
      </w:r>
    </w:p>
    <w:p>
      <w:pPr>
        <w:spacing w:after="0" w:line="157" w:lineRule="exact"/>
        <w:rPr>
          <w:sz w:val="20"/>
          <w:szCs w:val="20"/>
          <w:color w:val="auto"/>
        </w:rPr>
      </w:pPr>
    </w:p>
    <w:p>
      <w:pPr>
        <w:jc w:val="both"/>
        <w:ind w:left="1040" w:right="79" w:hanging="315"/>
        <w:spacing w:after="0" w:line="287"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grow enrollment and capacity within existing centers. </w:t>
      </w:r>
      <w:r>
        <w:rPr>
          <w:rFonts w:ascii="Arial" w:cs="Arial" w:eastAsia="Arial" w:hAnsi="Arial"/>
          <w:sz w:val="16"/>
          <w:szCs w:val="16"/>
          <w:color w:val="auto"/>
        </w:rPr>
        <w:t>We believe our demonstrated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drive sustained, organic census growth is a key indicator of the attractiveness of the InnovAge Platform to our key constituents: participants; their families and government payors. We have driven 10% annual, organic census growth over the last four fiscal years. Awareness of PACE programs remains low among potential participants, despite high levels of participant satisfaction. To improve awareness of InnovAge and attract new participants, our sales and marketing teams educate prospective participants and their families on our powerful value proposition, superior health outcomes and participant satisfaction. We have a large, embedded growth opportunity within our existing center base. As of September 30, 2021, our eligible participant penetration rate was, on average, 13% across our existing markets, and as the only designated PACE provider in most of the MSAs that we serve, we believe there is significant runway for further growth. We also believe that we will continue to conduct a portion of visits via telehealth after the COVID-19 pandemic subsides, which could potentially increase the average capacity of our centers.</w:t>
      </w:r>
    </w:p>
    <w:p>
      <w:pPr>
        <w:spacing w:after="0" w:line="127" w:lineRule="exact"/>
        <w:rPr>
          <w:rFonts w:ascii="Arial" w:cs="Arial" w:eastAsia="Arial" w:hAnsi="Arial"/>
          <w:sz w:val="16"/>
          <w:szCs w:val="16"/>
          <w:color w:val="auto"/>
        </w:rPr>
      </w:pPr>
    </w:p>
    <w:p>
      <w:pPr>
        <w:jc w:val="both"/>
        <w:ind w:left="1040" w:right="79" w:hanging="315"/>
        <w:spacing w:after="0" w:line="270"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Our ability to maintain high participant satisfaction and retention. </w:t>
      </w:r>
      <w:r>
        <w:rPr>
          <w:rFonts w:ascii="Arial" w:cs="Arial" w:eastAsia="Arial" w:hAnsi="Arial"/>
          <w:sz w:val="17"/>
          <w:szCs w:val="17"/>
          <w:color w:val="auto"/>
        </w:rPr>
        <w:t>Our comprehensive individualized care</w:t>
      </w:r>
      <w:r>
        <w:rPr>
          <w:rFonts w:ascii="Arial" w:cs="Arial" w:eastAsia="Arial" w:hAnsi="Arial"/>
          <w:sz w:val="17"/>
          <w:szCs w:val="17"/>
          <w:i w:val="1"/>
          <w:iCs w:val="1"/>
          <w:color w:val="auto"/>
        </w:rPr>
        <w:t xml:space="preserve"> </w:t>
      </w:r>
      <w:r>
        <w:rPr>
          <w:rFonts w:ascii="Arial" w:cs="Arial" w:eastAsia="Arial" w:hAnsi="Arial"/>
          <w:sz w:val="17"/>
          <w:szCs w:val="17"/>
          <w:color w:val="auto"/>
        </w:rPr>
        <w:t>model and frequency of interaction with participants generates high levels of participant satisfaction. We have multiple touch points with participants and their families, which enhances participant receptivity to our services. We achieved an 83% participant satisfaction rating as of July 1, 2021 and average participant tenure was 3.0 years as of September 30, 2021, measured as tenure from enrollment to disenrollment, among our centers that have been operated by us for at least five years. Furthermore, we experience low levels of voluntary disenrollment, averaging 5% annually over the last three fiscal years. Approximately 75% of our historical disenrollments have been involuntary, due primarily to participant death or otherwise due to participants moving out of our service areas.</w:t>
      </w:r>
    </w:p>
    <w:p>
      <w:pPr>
        <w:spacing w:after="0" w:line="140" w:lineRule="exact"/>
        <w:rPr>
          <w:rFonts w:ascii="Arial" w:cs="Arial" w:eastAsia="Arial" w:hAnsi="Arial"/>
          <w:sz w:val="17"/>
          <w:szCs w:val="17"/>
          <w:color w:val="auto"/>
        </w:rPr>
      </w:pPr>
    </w:p>
    <w:p>
      <w:pPr>
        <w:jc w:val="both"/>
        <w:ind w:left="1040" w:right="79" w:hanging="315"/>
        <w:spacing w:after="0" w:line="290"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Effectively managing the cost of care for our participants</w:t>
      </w:r>
      <w:r>
        <w:rPr>
          <w:rFonts w:ascii="Arial" w:cs="Arial" w:eastAsia="Arial" w:hAnsi="Arial"/>
          <w:sz w:val="16"/>
          <w:szCs w:val="16"/>
          <w:color w:val="auto"/>
        </w:rPr>
        <w:t>. We receive capitated payments to manage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totality of a participant’s medical care across all settings. Because our participants are among the most frail and medically complex individuals in the U.S. healthcare system, our external provider costs and cost of care, excluding depreciation and amortization, represented approximately 76% of our revenue in the three months ended September 30, 2021. While we are liable for potentially large medical claims,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w:t>
      </w:r>
    </w:p>
    <w:p>
      <w:pPr>
        <w:spacing w:after="0" w:line="138" w:lineRule="exact"/>
        <w:rPr>
          <w:rFonts w:ascii="Arial" w:cs="Arial" w:eastAsia="Arial" w:hAnsi="Arial"/>
          <w:sz w:val="16"/>
          <w:szCs w:val="16"/>
          <w:color w:val="auto"/>
        </w:rPr>
      </w:pPr>
    </w:p>
    <w:p>
      <w:pPr>
        <w:jc w:val="both"/>
        <w:ind w:left="1040" w:right="79" w:hanging="315"/>
        <w:spacing w:after="0" w:line="25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Center-level Contribution Margin</w:t>
      </w:r>
      <w:r>
        <w:rPr>
          <w:rFonts w:ascii="Arial" w:cs="Arial" w:eastAsia="Arial" w:hAnsi="Arial"/>
          <w:sz w:val="18"/>
          <w:szCs w:val="18"/>
          <w:color w:val="auto"/>
        </w:rPr>
        <w:t>. Over time, we plan to grow both our number of centers and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participants at each center. As we add participants to existing centers, we further leverage our fixed cost base at those centers and the value of a center to our business increases over time. We have a history of achieving profitable Center-level Contribution Margin, as defined and described below under </w:t>
      </w:r>
      <w:r>
        <w:rPr>
          <w:rFonts w:ascii="Arial" w:cs="Arial" w:eastAsia="Arial" w:hAnsi="Arial"/>
          <w:sz w:val="18"/>
          <w:szCs w:val="18"/>
          <w:i w:val="1"/>
          <w:iCs w:val="1"/>
          <w:color w:val="auto"/>
        </w:rPr>
        <w:t>Key Business Metrics and</w:t>
      </w:r>
      <w:r>
        <w:rPr>
          <w:rFonts w:ascii="Arial" w:cs="Arial" w:eastAsia="Arial" w:hAnsi="Arial"/>
          <w:sz w:val="18"/>
          <w:szCs w:val="18"/>
          <w:color w:val="auto"/>
        </w:rPr>
        <w:t xml:space="preserve"> </w:t>
      </w:r>
      <w:r>
        <w:rPr>
          <w:rFonts w:ascii="Arial" w:cs="Arial" w:eastAsia="Arial" w:hAnsi="Arial"/>
          <w:sz w:val="18"/>
          <w:szCs w:val="18"/>
          <w:i w:val="1"/>
          <w:iCs w:val="1"/>
          <w:color w:val="auto"/>
        </w:rPr>
        <w:t>Non-GAAP Measures</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jc w:val="both"/>
        <w:ind w:left="1040" w:right="79" w:hanging="315"/>
        <w:spacing w:after="0" w:line="29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expand via acquisition or de novo centers within existing and new markets. </w:t>
      </w:r>
      <w:r>
        <w:rPr>
          <w:rFonts w:ascii="Arial" w:cs="Arial" w:eastAsia="Arial" w:hAnsi="Arial"/>
          <w:sz w:val="16"/>
          <w:szCs w:val="16"/>
          <w:color w:val="auto"/>
        </w:rPr>
        <w:t>We have a large</w:t>
      </w:r>
      <w:r>
        <w:rPr>
          <w:rFonts w:ascii="Arial" w:cs="Arial" w:eastAsia="Arial" w:hAnsi="Arial"/>
          <w:sz w:val="16"/>
          <w:szCs w:val="16"/>
          <w:i w:val="1"/>
          <w:iCs w:val="1"/>
          <w:color w:val="auto"/>
        </w:rPr>
        <w:t xml:space="preserve"> </w:t>
      </w:r>
      <w:r>
        <w:rPr>
          <w:rFonts w:ascii="Arial" w:cs="Arial" w:eastAsia="Arial" w:hAnsi="Arial"/>
          <w:sz w:val="16"/>
          <w:szCs w:val="16"/>
          <w:color w:val="auto"/>
        </w:rPr>
        <w:t>addressable market and believe we serve a very small portion of PACE-eligible participants in those markets, reflecting significant unmet demand for PACE services and creating opportunities for us to grow in new and existing markets. We have proven our ability to integrate and improve acquired organizations, as well as expand and operationalize new centers across multiple geographies while generating consistent center-level performance. Based upon our success to date, we believe our innovative care model can scale nationally, and we expect to continue selectively and strategically expanding into new geographies.</w:t>
      </w:r>
    </w:p>
    <w:p>
      <w:pPr>
        <w:spacing w:after="0" w:line="125" w:lineRule="exact"/>
        <w:rPr>
          <w:rFonts w:ascii="Arial" w:cs="Arial" w:eastAsia="Arial" w:hAnsi="Arial"/>
          <w:sz w:val="16"/>
          <w:szCs w:val="16"/>
          <w:color w:val="auto"/>
        </w:rPr>
      </w:pPr>
    </w:p>
    <w:p>
      <w:pPr>
        <w:jc w:val="both"/>
        <w:ind w:left="1040" w:right="79" w:hanging="315"/>
        <w:spacing w:after="0" w:line="30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Execute tuck-in acquisitions. </w:t>
      </w:r>
      <w:r>
        <w:rPr>
          <w:rFonts w:ascii="Arial" w:cs="Arial" w:eastAsia="Arial" w:hAnsi="Arial"/>
          <w:sz w:val="16"/>
          <w:szCs w:val="16"/>
          <w:color w:val="auto"/>
        </w:rPr>
        <w:t>We believe there is a sizeable landscape of potential tuck-in acquisitions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our organic growth strategy. Over the past three fiscal years, we have acquired and integrated three PACE organizations, expanding our InnovAge Platform to one new state and four new markets through those acquisitions. We are disciplined in our approach to acquisitions and have executed multiple types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54" w:lineRule="auto"/>
        <w:rPr>
          <w:sz w:val="20"/>
          <w:szCs w:val="20"/>
          <w:color w:val="auto"/>
        </w:rPr>
      </w:pPr>
      <w:r>
        <w:rPr>
          <w:rFonts w:ascii="Arial" w:cs="Arial" w:eastAsia="Arial" w:hAnsi="Arial"/>
          <w:sz w:val="18"/>
          <w:szCs w:val="18"/>
          <w:color w:val="auto"/>
        </w:rPr>
        <w:t>transactions, including turnarounds and non-profit conversions. When integrating acquired programs, we work closely with key constituencies, including local governments, health systems and senior housing providers, to ensure continuity of high-quality care for participants. Based on our experience, joining the InnovAge Platform enables revenue growth and improved operational efficiency and care delivery post-integration. We believe our track record of and reputation for integrating and improving acquired organizations, while continuing to prioritize high-quality patient care, positions us as the acquirer of choice in this market.</w:t>
      </w:r>
    </w:p>
    <w:p>
      <w:pPr>
        <w:spacing w:after="0" w:line="168" w:lineRule="exact"/>
        <w:rPr>
          <w:sz w:val="20"/>
          <w:szCs w:val="20"/>
          <w:color w:val="auto"/>
        </w:rPr>
      </w:pPr>
    </w:p>
    <w:p>
      <w:pPr>
        <w:jc w:val="both"/>
        <w:ind w:left="1040" w:right="79" w:hanging="315"/>
        <w:spacing w:after="0" w:line="25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Contracting with government payors</w:t>
      </w:r>
      <w:r>
        <w:rPr>
          <w:rFonts w:ascii="Arial" w:cs="Arial" w:eastAsia="Arial" w:hAnsi="Arial"/>
          <w:sz w:val="18"/>
          <w:szCs w:val="18"/>
          <w:color w:val="auto"/>
        </w:rPr>
        <w:t>. Our economic model relies on our capitated arrangements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payors, namely Medicare and Medicaid. We view the government not only as a payor but also as a key partner in our efforts to expand into new geographies and access more participants in our existing markets. Maintaining, supporting and growing these relationships, particularly as we enter new geographies, is critical to our long-term success.</w:t>
      </w:r>
    </w:p>
    <w:p>
      <w:pPr>
        <w:spacing w:after="0" w:line="147" w:lineRule="exact"/>
        <w:rPr>
          <w:rFonts w:ascii="Arial" w:cs="Arial" w:eastAsia="Arial" w:hAnsi="Arial"/>
          <w:sz w:val="18"/>
          <w:szCs w:val="18"/>
          <w:color w:val="auto"/>
        </w:rPr>
      </w:pPr>
    </w:p>
    <w:p>
      <w:pPr>
        <w:jc w:val="both"/>
        <w:ind w:left="1040" w:right="79" w:hanging="315"/>
        <w:spacing w:after="0" w:line="25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Investing to support growth</w:t>
      </w:r>
      <w:r>
        <w:rPr>
          <w:rFonts w:ascii="Arial" w:cs="Arial" w:eastAsia="Arial" w:hAnsi="Arial"/>
          <w:sz w:val="18"/>
          <w:szCs w:val="18"/>
          <w:color w:val="auto"/>
        </w:rPr>
        <w:t>. We intend to continue investing in our centers, value-based care model,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organization to support long-term growth. We expect our expenses to increase in absolute dollars for the foreseeable future to support our growth and due to additional costs we are incurring and expect to incur as a public company, including expenses related to compliance with the rules and regulations of the SEC and the listing standards of Nasdaq, additional corporate and director and officer insurance, investor relations and increased legal, audit, reporting and consulting fees. We plan to invest in future growth judiciously and maintain focus on managing our results of operations.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53" w:lineRule="exact"/>
        <w:rPr>
          <w:rFonts w:ascii="Arial" w:cs="Arial" w:eastAsia="Arial" w:hAnsi="Arial"/>
          <w:sz w:val="18"/>
          <w:szCs w:val="18"/>
          <w:color w:val="auto"/>
        </w:rPr>
      </w:pPr>
    </w:p>
    <w:p>
      <w:pPr>
        <w:jc w:val="both"/>
        <w:ind w:left="1040" w:right="79" w:hanging="315"/>
        <w:spacing w:after="0" w:line="287"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Seasonality of our business</w:t>
      </w:r>
      <w:r>
        <w:rPr>
          <w:rFonts w:ascii="Arial" w:cs="Arial" w:eastAsia="Arial" w:hAnsi="Arial"/>
          <w:sz w:val="16"/>
          <w:szCs w:val="16"/>
          <w:color w:val="auto"/>
        </w:rPr>
        <w:t>. Our operational and financial results, including medical costs and per-participant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true-ups, will experience some variability depending upon the time of year in which they are measured. Medical costs vary most significantly as a result of (i) the weather, with certain illnesses, such as the influenza virus,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RAF score as measured twice per year and is based on the evolving acuity of a participant. Based on the difference between our estimate and the final determination from CMS, we may receive incremental true up revenue or be required to repay certain amounts. Historically, these true-up payments typically occur between May and August, but the timing of these payments is determined by CMS, and we have neither visibility nor control over the timing of such payments.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Capitation Revenue</w:t>
      </w:r>
      <w:r>
        <w:rPr>
          <w:rFonts w:ascii="Arial" w:cs="Arial" w:eastAsia="Arial" w:hAnsi="Arial"/>
          <w:sz w:val="18"/>
          <w:szCs w:val="18"/>
          <w:color w:val="auto"/>
        </w:rPr>
        <w:t>. In order to provide comprehensive services to manage the totality of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care across all settings, we receive fixed or capitated fees per participant that are paid monthly by Medicare, Medicaid, Veterans Affairs (“VA”) and private pay sources.</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New agreements have been executed for the periods (i) January 1, 2021 through December 31, 2021 for California and (ii) July 1, 2021 through June 30, 2022 for all other states, except Pennsylvania, for which we are currently operating in good standing under the 2020 amended agreement while the agency finalizes its 2021 amendment. For a discussion of our revenue recognition policies, please see </w:t>
      </w:r>
      <w:r>
        <w:rPr>
          <w:rFonts w:ascii="Arial" w:cs="Arial" w:eastAsia="Arial" w:hAnsi="Arial"/>
          <w:sz w:val="17"/>
          <w:szCs w:val="17"/>
          <w:i w:val="1"/>
          <w:iCs w:val="1"/>
          <w:color w:val="auto"/>
        </w:rPr>
        <w:t>Critical Accounting Policies and Estimates</w:t>
      </w:r>
      <w:r>
        <w:rPr>
          <w:rFonts w:ascii="Arial" w:cs="Arial" w:eastAsia="Arial" w:hAnsi="Arial"/>
          <w:sz w:val="17"/>
          <w:szCs w:val="17"/>
          <w:color w:val="auto"/>
        </w:rPr>
        <w:t xml:space="preserve"> below and Note 2 “Summary of Significant Accounting Policies” to our consolidated financial statements included in our 2021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Other Service Revenue. </w:t>
      </w:r>
      <w:r>
        <w:rPr>
          <w:rFonts w:ascii="Arial" w:cs="Arial" w:eastAsia="Arial" w:hAnsi="Arial"/>
          <w:sz w:val="18"/>
          <w:szCs w:val="18"/>
          <w:color w:val="auto"/>
        </w:rPr>
        <w:t>Other service revenue primarily consists of revenues derived from fee-for-service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arrangements, state food grants, rent revenues and management fees. We generate fee-for-service revenue from providing home-care services to non-PACE patients in their homes, for which we bill the patient or their insurance plan on a fee-for-service basis. For a discussion of our revenue recognition policies, please see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and Estimates </w:t>
      </w:r>
      <w:r>
        <w:rPr>
          <w:rFonts w:ascii="Arial" w:cs="Arial" w:eastAsia="Arial" w:hAnsi="Arial"/>
          <w:sz w:val="18"/>
          <w:szCs w:val="18"/>
          <w:color w:val="auto"/>
        </w:rPr>
        <w:t>below and Note 2, “Summary of Significant Accounting Policies” 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our 2021 10-K.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i w:val="1"/>
          <w:iCs w:val="1"/>
          <w:color w:val="auto"/>
        </w:rPr>
        <w:t xml:space="preserve">External Provider Costs. </w:t>
      </w:r>
      <w:r>
        <w:rPr>
          <w:rFonts w:ascii="Arial" w:cs="Arial" w:eastAsia="Arial" w:hAnsi="Arial"/>
          <w:sz w:val="18"/>
          <w:szCs w:val="18"/>
          <w:color w:val="auto"/>
        </w:rPr>
        <w:t>External provider costs consist primarily of the costs for medical care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non-InnovAge providers. We separate external provider costs into four categories: inpatient (e.g., hospital), housing (e.g., assisted living), outpatient and pharmacy. In aggregate, external provider costs represent the largest portion of our expenses.</w:t>
      </w:r>
    </w:p>
    <w:p>
      <w:pPr>
        <w:spacing w:after="0" w:line="18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Cost of Care, Excluding Depreciation and Amortization. </w:t>
      </w:r>
      <w:r>
        <w:rPr>
          <w:rFonts w:ascii="Arial" w:cs="Arial" w:eastAsia="Arial" w:hAnsi="Arial"/>
          <w:sz w:val="17"/>
          <w:szCs w:val="17"/>
          <w:color w:val="auto"/>
        </w:rPr>
        <w:t>Cost of care, excluding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the costs we incur to operate our care delivery model. This includes costs related to IDTs, salaries, wages and benefits for center-level staff, participant transportation, medical supplies, occupancy, insurance and other operating costs. IDT employees include medical doctors, registered nurses, social workers, physical, occupational, and speech therapists, nursing assistants, and transportation workers.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is fixed relative to the number of participants we serve, such as occupancy and insurance expenses. The remainder of our cost of care, including our employee-related costs, is directly related to the number of participants cared for in a center. As a result, as revenue increases due to census growth, cost of care, excluding depreciation and amortization, typically decreases as a percentage of revenue. As we open new centers, we expect cost of care, excluding depreciation and amortization, to increase in absolute dollars due to higher census and facility related costs.</w:t>
      </w:r>
    </w:p>
    <w:p>
      <w:pPr>
        <w:spacing w:after="0" w:line="18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consist of employee-related expenses, including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and employee benefits 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78" w:lineRule="exact"/>
        <w:rPr>
          <w:sz w:val="20"/>
          <w:szCs w:val="20"/>
          <w:color w:val="auto"/>
        </w:rPr>
      </w:pPr>
    </w:p>
    <w:p>
      <w:pPr>
        <w:jc w:val="both"/>
        <w:ind w:left="60" w:right="79" w:firstLine="324"/>
        <w:spacing w:after="0" w:line="254" w:lineRule="auto"/>
        <w:rPr>
          <w:sz w:val="20"/>
          <w:szCs w:val="20"/>
          <w:color w:val="auto"/>
        </w:rPr>
      </w:pPr>
      <w:r>
        <w:rPr>
          <w:rFonts w:ascii="Arial" w:cs="Arial" w:eastAsia="Arial" w:hAnsi="Arial"/>
          <w:sz w:val="18"/>
          <w:szCs w:val="18"/>
          <w:i w:val="1"/>
          <w:iCs w:val="1"/>
          <w:color w:val="auto"/>
        </w:rPr>
        <w:t xml:space="preserve">Corporate, General and Administrative Expenses. </w:t>
      </w:r>
      <w:r>
        <w:rPr>
          <w:rFonts w:ascii="Arial" w:cs="Arial" w:eastAsia="Arial" w:hAnsi="Arial"/>
          <w:sz w:val="18"/>
          <w:szCs w:val="18"/>
          <w:color w:val="auto"/>
        </w:rPr>
        <w:t>Corporate, general and administrative expenses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employee-related expenses, including salaries and related costs. In addition, general and administrative expenses include all corporate technology and occupancy costs associated with our regional corporate offices. We expect our general and administrative expenses to increase in absolute dollars due to the additional legal, accounting, insurance, investor relations and other costs that we incur as a public company, as well as other costs associated with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92"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are primarily attributable to our buildings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leasehold improvements and our equipment and vehicles. Depreciation and amortization are recorded using the straight-line method over the shorter of estimated useful life or lease terms, to the extent the assets are being leased.</w:t>
      </w:r>
    </w:p>
    <w:p>
      <w:pPr>
        <w:spacing w:after="0" w:line="16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Equity Loss. </w:t>
      </w:r>
      <w:r>
        <w:rPr>
          <w:rFonts w:ascii="Arial" w:cs="Arial" w:eastAsia="Arial" w:hAnsi="Arial"/>
          <w:sz w:val="18"/>
          <w:szCs w:val="18"/>
          <w:color w:val="auto"/>
        </w:rPr>
        <w:t>Equity loss relates to our equity method investment in InnovAge Sacramento, which began 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July 2020 and subsequently became a consolidated entity effective January 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consists of the re-measurement of contingent consideration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relating to our acquisition of NewCourtland.</w:t>
      </w:r>
    </w:p>
    <w:p>
      <w:pPr>
        <w:spacing w:after="0" w:line="170"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 xml:space="preserve">For more information relating to the components of our results of operations, see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 and Note 2 “Summary of Significant Accounting Policies” to our consolidated financial statements included in our 2021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results of our operations for the three months ended September 30, 2021 include those of InnovAge Sacramento, which during the same period of the prior year was not a consolidated entity. The following table sets forth our consolidated results of operations for the periods presented:</w:t>
      </w:r>
    </w:p>
    <w:p>
      <w:pPr>
        <w:spacing w:after="0" w:line="211"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Three Months Ended</w:t>
            </w:r>
          </w:p>
        </w:tc>
      </w:tr>
      <w:tr>
        <w:trPr>
          <w:trHeight w:val="219"/>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r>
      <w:tr>
        <w:trPr>
          <w:trHeight w:val="199"/>
        </w:trPr>
        <w:tc>
          <w:tcPr>
            <w:tcW w:w="4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Capitation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172,554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151,944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service revenue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173,070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152,566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External provider costs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73,681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care, excluding depreciation and amortization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general and administrative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operating income</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161,410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190,745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(38,179)</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other expense</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(6,684)</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Provision for Income Taxes</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net loss attributable to noncontrolling interests</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Net Income (Loss) Attributable to InnovAge Holding Corp.</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w w:val="99"/>
              </w:rPr>
              <w:t>Three Months Ended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60" w:type="dxa"/>
            <w:vAlign w:val="bottom"/>
            <w:gridSpan w:val="2"/>
          </w:tcPr>
          <w:p>
            <w:pPr>
              <w:jc w:val="right"/>
              <w:ind w:right="156"/>
              <w:spacing w:after="0"/>
              <w:rPr>
                <w:sz w:val="20"/>
                <w:szCs w:val="20"/>
                <w:color w:val="auto"/>
              </w:rPr>
            </w:pPr>
            <w:r>
              <w:rPr>
                <w:rFonts w:ascii="Arial" w:cs="Arial" w:eastAsia="Arial" w:hAnsi="Arial"/>
                <w:sz w:val="16"/>
                <w:szCs w:val="16"/>
                <w:b w:val="1"/>
                <w:bCs w:val="1"/>
                <w:color w:val="auto"/>
              </w:rPr>
              <w:t>2021</w:t>
            </w:r>
          </w:p>
        </w:tc>
        <w:tc>
          <w:tcPr>
            <w:tcW w:w="96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2020</w:t>
            </w:r>
          </w:p>
        </w:tc>
        <w:tc>
          <w:tcPr>
            <w:tcW w:w="3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88"/>
              </w:rPr>
              <w:t>Change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3"/>
              </w:rPr>
              <w:t>% Change</w:t>
            </w:r>
          </w:p>
        </w:tc>
      </w:tr>
      <w:tr>
        <w:trPr>
          <w:trHeight w:val="215"/>
        </w:trPr>
        <w:tc>
          <w:tcPr>
            <w:tcW w:w="2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Capitation revenue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$ 172,554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$ 151,944</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Other service revenue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$ 173,070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$ 152,566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20,504</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Capitation revenue. </w:t>
      </w:r>
      <w:r>
        <w:rPr>
          <w:rFonts w:ascii="Arial" w:cs="Arial" w:eastAsia="Arial" w:hAnsi="Arial"/>
          <w:sz w:val="16"/>
          <w:szCs w:val="16"/>
          <w:color w:val="auto"/>
        </w:rPr>
        <w:t>Capitation revenue was $172.6 million for the three months ended September 30, 2021,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$20.6 million, or 13.6%, compared to $151.9 million for the three months ended September 30, 2020. This increase was driven by (i) a 5.1% increase in capitation rates and (ii) an 8.1% increase in member months (as defined below). The increase in capitation rates was primarily driven by an expected annual increase in Medicaid capitation rates.</w:t>
      </w:r>
    </w:p>
    <w:p>
      <w:pPr>
        <w:spacing w:after="0" w:line="15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service revenue. </w:t>
      </w:r>
      <w:r>
        <w:rPr>
          <w:rFonts w:ascii="Arial" w:cs="Arial" w:eastAsia="Arial" w:hAnsi="Arial"/>
          <w:sz w:val="18"/>
          <w:szCs w:val="18"/>
          <w:color w:val="auto"/>
        </w:rPr>
        <w:t>Other service revenue was $0.5 million for the three months ended September 30, 2021,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$0.1 million, or 17%, from $0.6 million for the three months ended September 30, 2020.</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2700" w:type="dxa"/>
            <w:vAlign w:val="bottom"/>
            <w:gridSpan w:val="6"/>
          </w:tcPr>
          <w:p>
            <w:pPr>
              <w:ind w:left="20"/>
              <w:spacing w:after="0"/>
              <w:rPr>
                <w:sz w:val="20"/>
                <w:szCs w:val="20"/>
                <w:color w:val="auto"/>
              </w:rPr>
            </w:pPr>
            <w:r>
              <w:rPr>
                <w:rFonts w:ascii="Arial" w:cs="Arial" w:eastAsia="Arial" w:hAnsi="Arial"/>
                <w:sz w:val="16"/>
                <w:szCs w:val="16"/>
                <w:b w:val="1"/>
                <w:bCs w:val="1"/>
                <w:color w:val="auto"/>
                <w:w w:val="98"/>
              </w:rPr>
              <w:t>Three months ended September 30,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4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 Change</w:t>
            </w:r>
          </w:p>
        </w:tc>
      </w:tr>
      <w:tr>
        <w:trPr>
          <w:trHeight w:val="209"/>
        </w:trPr>
        <w:tc>
          <w:tcPr>
            <w:tcW w:w="4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provider costs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Cost of care (excluding 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2,445</w:t>
            </w: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(50,493)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Equity loss</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(801)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0"/>
        </w:trPr>
        <w:tc>
          <w:tcPr>
            <w:tcW w:w="446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161,410</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190,745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(29,335)</w:t>
            </w:r>
          </w:p>
        </w:tc>
        <w:tc>
          <w:tcPr>
            <w:tcW w:w="20" w:type="dxa"/>
            <w:vAlign w:val="bottom"/>
            <w:tcBorders>
              <w:bottom w:val="single" w:sz="8" w:color="auto"/>
            </w:tcBorders>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External provider costs. </w:t>
      </w:r>
      <w:r>
        <w:rPr>
          <w:rFonts w:ascii="Arial" w:cs="Arial" w:eastAsia="Arial" w:hAnsi="Arial"/>
          <w:sz w:val="18"/>
          <w:szCs w:val="18"/>
          <w:color w:val="auto"/>
        </w:rPr>
        <w:t>External provider costs were $90.0 million for the three months ended September 30,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$16.3 million, or 22.2%, compared to $73.7 million for the three months ended September 30, 2020. The increase is primarily driven by (i) an increase of 13.0% in cost per participant and (ii) an increase of 8.1% in member months. The increase in cost per participant is primarily driven by the net effect of an increase in housing, outpatient, inpatient and specialist care expenses.</w:t>
      </w:r>
    </w:p>
    <w:p>
      <w:pPr>
        <w:spacing w:after="0" w:line="18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Cost of care (excluding depreciation and amortization). </w:t>
      </w:r>
      <w:r>
        <w:rPr>
          <w:rFonts w:ascii="Arial" w:cs="Arial" w:eastAsia="Arial" w:hAnsi="Arial"/>
          <w:sz w:val="16"/>
          <w:szCs w:val="16"/>
          <w:color w:val="auto"/>
        </w:rPr>
        <w:t>Cost of care (excluding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was $40.7 million for the three months ended September 30, 2021, an increase of $2.4 million, or 6.4%, compared to $38.3 million for the three months ended September 30, 2020, primarily due to the net effect of (i) an increase of 8.1% in member months and (ii) a decrease of 1.6% in cost per participant. The decrease in cost per participant was driven by a decrease in supplies expense offset by an increase in transportation costs due to the reopening of our centers.</w:t>
      </w:r>
    </w:p>
    <w:p>
      <w:pPr>
        <w:spacing w:after="0" w:line="16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were $6.3 million for the three months ended September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$2.2 million, or 53.0%, compared to $4.1 million for the three months ended September 30, 2020, primarily due to an increase in (i) employee compensation and benefits due to an increase in FTEs and (ii) costs associated with certain new advertising campaigns to raise PACE awareness and accelerate growth.</w:t>
      </w:r>
    </w:p>
    <w:p>
      <w:pPr>
        <w:spacing w:after="0" w:line="17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Corporate, general and administrative. </w:t>
      </w:r>
      <w:r>
        <w:rPr>
          <w:rFonts w:ascii="Arial" w:cs="Arial" w:eastAsia="Arial" w:hAnsi="Arial"/>
          <w:sz w:val="17"/>
          <w:szCs w:val="17"/>
          <w:color w:val="auto"/>
        </w:rPr>
        <w:t>Corporate, general and administrative expenses were $21.1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30, 2021, a decrease of $50.5 million, or 70.5%, compared to $71.6 million for the three months ended September 30, 2020. The decrease was primarily due to the fees incurred during fiscal year 2021 as a result of the Apax Transaction (as defined below). In connection with the Apax Transaction, $45.4 million was recorded related to the cancellation of 16,994,975 common stock options outstanding under the Company’s 2016 Equity Incentive Plan and $13.1 million of transaction related costs were recorded as corporate, general and administrative expenses. Offsetting the decrease of $58.5 million related to the Apax Transaction were expenses of $8.0 million primarily from Company growth and the additional costs associated with being a publicly traded company.</w:t>
      </w:r>
    </w:p>
    <w:p>
      <w:pPr>
        <w:spacing w:after="0" w:line="178" w:lineRule="exact"/>
        <w:rPr>
          <w:sz w:val="20"/>
          <w:szCs w:val="20"/>
          <w:color w:val="auto"/>
        </w:rPr>
      </w:pPr>
    </w:p>
    <w:p>
      <w:pPr>
        <w:jc w:val="both"/>
        <w:ind w:left="60" w:right="79" w:firstLine="324"/>
        <w:spacing w:after="0" w:line="273"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are primarily attributable to our buildings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leasehold improvements and our equipment and vehicles. Depreciation and amortization are recorded using the straight-line method over the shorter of estimated useful life or lease terms, to the extent the assets are being leased. Depreciation and amortization expense was $3.3 million for the three months ended September 30, 2021, an increase of $0.3 million, or 11.3%, compared to $3.0 million for the three months ended September 30, 2020. This increase is due to an increase in depreciation expense as a result of capital additions in the normal course of business.</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Equity loss. </w:t>
      </w:r>
      <w:r>
        <w:rPr>
          <w:rFonts w:ascii="Arial" w:cs="Arial" w:eastAsia="Arial" w:hAnsi="Arial"/>
          <w:sz w:val="18"/>
          <w:szCs w:val="18"/>
          <w:color w:val="auto"/>
        </w:rPr>
        <w:t>Equity loss of $0.8 million for the three months ended September 30, 2020 related to our equity method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InnovAge Sacramento. InnovAge Sacramento began operations in July 2020 and was subsequently consolidated into operations effective January 1, 2021, therefore there are no equity earnings for the three months ended September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was $0.7 million for the three months ended September 30, 2020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change in fair value of contingent consideration. The contingent consideration was paid in March 2021 and there were no amounts outstanding as of September 30,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8"/>
              </w:rPr>
              <w:t>Three Months Ended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0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 Change</w:t>
            </w:r>
          </w:p>
        </w:tc>
      </w:tr>
      <w:tr>
        <w:trPr>
          <w:trHeight w:val="215"/>
        </w:trPr>
        <w:tc>
          <w:tcPr>
            <w:tcW w:w="45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(695.2)%</w:t>
            </w:r>
          </w:p>
        </w:tc>
      </w:tr>
      <w:tr>
        <w:trPr>
          <w:trHeight w:val="210"/>
        </w:trPr>
        <w:tc>
          <w:tcPr>
            <w:tcW w:w="4500" w:type="dxa"/>
            <w:vAlign w:val="bottom"/>
          </w:tcPr>
          <w:p>
            <w:pPr>
              <w:ind w:left="22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consists primarily of interest payments on our outstanding borrowings, net</w:t>
      </w:r>
      <w:r>
        <w:rPr>
          <w:rFonts w:ascii="Arial" w:cs="Arial" w:eastAsia="Arial" w:hAnsi="Arial"/>
          <w:sz w:val="17"/>
          <w:szCs w:val="17"/>
          <w:i w:val="1"/>
          <w:iCs w:val="1"/>
          <w:color w:val="auto"/>
        </w:rPr>
        <w:t xml:space="preserve"> </w:t>
      </w:r>
      <w:r>
        <w:rPr>
          <w:rFonts w:ascii="Arial" w:cs="Arial" w:eastAsia="Arial" w:hAnsi="Arial"/>
          <w:sz w:val="17"/>
          <w:szCs w:val="17"/>
          <w:color w:val="auto"/>
        </w:rPr>
        <w:t>of interest income earned on our cash and cash equivalents and restricted cash. Interest expense, net was $0.5 million for the three months ended September 30, 2021, a decrease of $5.1 million, or 90.3%, compared to $5.6 million for the three months ended September 30, 2020. The decrease was primarily due to (i) a lower outstanding debt balance and (ii) to a lesser extent, a lower average interest rate. For additional information regarding our outstanding indebtedness, see Note 8, “Long-Term Debt” to our consolidated financial statements.</w:t>
      </w:r>
    </w:p>
    <w:p>
      <w:pPr>
        <w:spacing w:after="0" w:line="17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Loss on extinguishment of debt. </w:t>
      </w:r>
      <w:r>
        <w:rPr>
          <w:rFonts w:ascii="Arial" w:cs="Arial" w:eastAsia="Arial" w:hAnsi="Arial"/>
          <w:sz w:val="16"/>
          <w:szCs w:val="16"/>
          <w:color w:val="auto"/>
        </w:rPr>
        <w:t>We recognized a loss on extinguishment of debt of $1.0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and no loss on extinguishment of debt for the three months ended September 30, 2021.</w:t>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Sacramento have elected to be taxed as partnerships, and no provision for income taxes for SH1 or Sacramento is included in these consolidated financial statements.</w:t>
      </w:r>
    </w:p>
    <w:p>
      <w:pPr>
        <w:spacing w:after="0" w:line="17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6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During the three months ended September 30, 2021 and 2020, we reported provision for income taxes of $3.0 million and $4.9 million, respectively. The decrease of $1.9 million is primarily due to (i) our pretax book loss recognized during the three months ended September 30, 2020, as compared to pretax book income recognized during the three months ended September 30, 2021 and (ii) certain permanent differences between the financial and tax accounting treatment in 2020 of</w:t>
      </w:r>
    </w:p>
    <w:p>
      <w:pPr>
        <w:spacing w:after="0" w:line="1" w:lineRule="exact"/>
        <w:rPr>
          <w:sz w:val="20"/>
          <w:szCs w:val="20"/>
          <w:color w:val="auto"/>
        </w:rPr>
      </w:pPr>
    </w:p>
    <w:p>
      <w:pPr>
        <w:ind w:left="60" w:right="59" w:hanging="10"/>
        <w:spacing w:after="0" w:line="260"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Section 162(m) limitation on compensation of five highest paid officers, (b) transaction costs associated with the Apax Transaction and (c) the change in our valuation allowance.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225"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InnovAge Senior Housing Thornton, LLC (“SH1”)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are recorded in the consolidated statements of operations and the share of the other noncontrolling interest holders’ earnings are recorded as net loss attributable to noncontrolling interests.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a controlling interest in InnovAge Sacramento. As of January 1, 2021, our share of earnings are recorded in the consolidated statements of operations and the share of the other noncontrolling interest holders’ earnings are recorded as net loss attributable to noncontrolling interests.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three months ended September 30, 2021 and 2020, we reported net income of $7.6 million and a net loss of $(49.8) million, respectively, consisting of (i) income (loss) from operations of $11.7 million and ($38.2 million), respectively, (ii) other expense of $1.0 million and $6.7 million, respectively, and (iii) provision for income taxes of $3.0 million and $4.9 million, respectively, each as described above.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Business Metrics and Non-GAAP Measures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w w:val="90"/>
              </w:rPr>
              <w:t>Three months ended September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Key Business Metrics: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right"/>
              <w:ind w:right="311"/>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Centers</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line="216" w:lineRule="exact"/>
              <w:rPr>
                <w:sz w:val="20"/>
                <w:szCs w:val="20"/>
                <w:color w:val="auto"/>
              </w:rPr>
            </w:pPr>
            <w:r>
              <w:rPr>
                <w:rFonts w:ascii="Arial" w:cs="Arial" w:eastAsia="Arial" w:hAnsi="Arial"/>
                <w:sz w:val="25"/>
                <w:szCs w:val="25"/>
                <w:color w:val="auto"/>
                <w:vertAlign w:val="subscript"/>
              </w:rPr>
              <w:t>Census</w:t>
            </w:r>
            <w:r>
              <w:rPr>
                <w:rFonts w:ascii="Arial" w:cs="Arial" w:eastAsia="Arial" w:hAnsi="Arial"/>
                <w:sz w:val="11"/>
                <w:szCs w:val="11"/>
                <w:color w:val="auto"/>
              </w:rPr>
              <w:t>(a)(b)</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Total Member Months</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Center-level Contribution Margin</w:t>
            </w:r>
          </w:p>
        </w:tc>
        <w:tc>
          <w:tcPr>
            <w:tcW w:w="5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42,330</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w w:val="99"/>
              </w:rPr>
              <w:t>Center-level Contribution Margin as a % of revenue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Non-GAAP Measures: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(c)</w:t>
            </w:r>
          </w:p>
        </w:tc>
        <w:tc>
          <w:tcPr>
            <w:tcW w:w="5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18,212</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(c)</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14141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76" w:lineRule="exact"/>
        <w:rPr>
          <w:sz w:val="20"/>
          <w:szCs w:val="20"/>
          <w:color w:val="auto"/>
        </w:rPr>
      </w:pPr>
    </w:p>
    <w:p>
      <w:pPr>
        <w:ind w:left="720" w:right="79" w:hanging="319"/>
        <w:spacing w:after="0" w:line="189" w:lineRule="auto"/>
        <w:tabs>
          <w:tab w:leader="none" w:pos="720" w:val="left"/>
        </w:tabs>
        <w:numPr>
          <w:ilvl w:val="0"/>
          <w:numId w:val="14"/>
        </w:numPr>
        <w:rPr>
          <w:rFonts w:ascii="Arial" w:cs="Arial" w:eastAsia="Arial" w:hAnsi="Arial"/>
          <w:sz w:val="29"/>
          <w:szCs w:val="29"/>
          <w:color w:val="auto"/>
          <w:vertAlign w:val="superscript"/>
        </w:rPr>
      </w:pPr>
      <w:r>
        <w:rPr>
          <w:rFonts w:ascii="Arial" w:cs="Arial" w:eastAsia="Arial" w:hAnsi="Arial"/>
          <w:sz w:val="16"/>
          <w:szCs w:val="16"/>
          <w:color w:val="auto"/>
        </w:rPr>
        <w:t>Amount for 2021 includes InnovAge Sacramento, which the Company owns and controls through a joint venture and is consolidated in our financial statements.</w:t>
      </w:r>
    </w:p>
    <w:p>
      <w:pPr>
        <w:spacing w:after="0" w:line="1" w:lineRule="exact"/>
        <w:rPr>
          <w:rFonts w:ascii="Arial" w:cs="Arial" w:eastAsia="Arial" w:hAnsi="Arial"/>
          <w:sz w:val="29"/>
          <w:szCs w:val="29"/>
          <w:color w:val="auto"/>
          <w:vertAlign w:val="superscript"/>
        </w:rPr>
      </w:pPr>
    </w:p>
    <w:p>
      <w:pPr>
        <w:ind w:left="720" w:hanging="319"/>
        <w:spacing w:after="0" w:line="183" w:lineRule="auto"/>
        <w:tabs>
          <w:tab w:leader="none" w:pos="720" w:val="left"/>
        </w:tabs>
        <w:numPr>
          <w:ilvl w:val="0"/>
          <w:numId w:val="14"/>
        </w:numPr>
        <w:rPr>
          <w:rFonts w:ascii="Arial" w:cs="Arial" w:eastAsia="Arial" w:hAnsi="Arial"/>
          <w:sz w:val="23"/>
          <w:szCs w:val="23"/>
          <w:color w:val="auto"/>
          <w:vertAlign w:val="superscript"/>
        </w:rPr>
      </w:pPr>
      <w:r>
        <w:rPr>
          <w:rFonts w:ascii="Arial" w:cs="Arial" w:eastAsia="Arial" w:hAnsi="Arial"/>
          <w:sz w:val="13"/>
          <w:szCs w:val="13"/>
          <w:color w:val="auto"/>
        </w:rPr>
        <w:t>Participant numbers are approximate.</w:t>
      </w:r>
    </w:p>
    <w:p>
      <w:pPr>
        <w:spacing w:after="0" w:line="10" w:lineRule="exact"/>
        <w:rPr>
          <w:rFonts w:ascii="Arial" w:cs="Arial" w:eastAsia="Arial" w:hAnsi="Arial"/>
          <w:sz w:val="23"/>
          <w:szCs w:val="23"/>
          <w:color w:val="auto"/>
          <w:vertAlign w:val="superscript"/>
        </w:rPr>
      </w:pPr>
    </w:p>
    <w:p>
      <w:pPr>
        <w:jc w:val="both"/>
        <w:ind w:left="720" w:right="79" w:hanging="319"/>
        <w:spacing w:after="0" w:line="204" w:lineRule="auto"/>
        <w:tabs>
          <w:tab w:leader="none" w:pos="720" w:val="left"/>
        </w:tabs>
        <w:numPr>
          <w:ilvl w:val="0"/>
          <w:numId w:val="14"/>
        </w:numPr>
        <w:rPr>
          <w:rFonts w:ascii="Arial" w:cs="Arial" w:eastAsia="Arial" w:hAnsi="Arial"/>
          <w:sz w:val="29"/>
          <w:szCs w:val="29"/>
          <w:color w:val="auto"/>
          <w:vertAlign w:val="superscript"/>
        </w:rPr>
      </w:pPr>
      <w:r>
        <w:rPr>
          <w:rFonts w:ascii="Arial" w:cs="Arial" w:eastAsia="Arial" w:hAnsi="Arial"/>
          <w:sz w:val="16"/>
          <w:szCs w:val="16"/>
          <w:color w:val="auto"/>
        </w:rPr>
        <w:t>Adjusted EBITDA and Adjusted EBITDA margin are non-GAAP measures. For a definition and reconciliation of these non-GAAP measures to the most closely comparable GAAP measures for the period indicated, see below under “Adjusted EBITDA.”</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Centers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define our centers as those centers open for business and attending to participants at the end of a particular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Census</w:t>
      </w:r>
    </w:p>
    <w:p>
      <w:pPr>
        <w:spacing w:after="0" w:line="225"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Our census is comprised of our capitated participants for whom we are financially responsible for their total healthcare costs.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member months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Center-level Contribution Margin</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$42.3 million and $40.6 million for the three months ended September 30, 2021 and 2020,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define Adjusted EBITDA as net income adjusted for interest expense, depreciation and amortization, and provision for income tax as well as addbacks for non-recurring expenses or exceptional items, including charges relating to management equity compensation, M&amp;A diligence, transaction and integration, business optimization, electronic medical record (“EMR”) implementation, financing-related fees and contingent consideration. For the three months ended September 30, 2021 and 2020, our net income (loss) was $7.6 million and ($49.8 million), respectively, and Adjusted EBITDA was $18.2 million and $23.1 million, respectively, representing a year-over-year decrease of 21.2%. The decrease in Adjusted EBITDA and Adjusted EBITDA margin is primarily from i) the impact of normalization of center-level contribution margin as COVID-19 transmission rates declined period over period ii) an increase in sales and marketing expense as a result of our investment in digital and other sales initiatives and ii) higher corporate, general and administrative expenses, including those associated with being a publicly traded company.</w:t>
      </w:r>
    </w:p>
    <w:p>
      <w:pPr>
        <w:spacing w:after="0" w:line="168"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A reconciliation of Adjusted EBITDA to net income, the most directly comparable GAAP measure, for each of the periods is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199"/>
        </w:trPr>
        <w:tc>
          <w:tcPr>
            <w:tcW w:w="5120" w:type="dxa"/>
            <w:vAlign w:val="bottom"/>
            <w:gridSpan w:val="3"/>
          </w:tcPr>
          <w:p>
            <w:pPr>
              <w:ind w:left="90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spacing w:after="0"/>
              <w:rPr>
                <w:sz w:val="17"/>
                <w:szCs w:val="17"/>
                <w:color w:val="auto"/>
              </w:rPr>
            </w:pPr>
          </w:p>
        </w:tc>
        <w:tc>
          <w:tcPr>
            <w:tcW w:w="1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Provision for income tax</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2"/>
          </w:tcPr>
          <w:p>
            <w:pPr>
              <w:spacing w:after="0" w:line="216" w:lineRule="exact"/>
              <w:rPr>
                <w:sz w:val="20"/>
                <w:szCs w:val="20"/>
                <w:color w:val="auto"/>
              </w:rPr>
            </w:pPr>
            <w:r>
              <w:rPr>
                <w:rFonts w:ascii="Arial" w:cs="Arial" w:eastAsia="Arial" w:hAnsi="Arial"/>
                <w:sz w:val="17"/>
                <w:szCs w:val="17"/>
                <w:color w:val="auto"/>
              </w:rPr>
              <w:t>M&amp;A diligence, transaction and integration</w:t>
            </w:r>
            <w:r>
              <w:rPr>
                <w:rFonts w:ascii="Arial" w:cs="Arial" w:eastAsia="Arial" w:hAnsi="Arial"/>
                <w:sz w:val="25"/>
                <w:szCs w:val="25"/>
                <w:color w:val="auto"/>
                <w:vertAlign w:val="superscript"/>
              </w:rPr>
              <w:t>(a)</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Business optimization</w:t>
            </w:r>
            <w:r>
              <w:rPr>
                <w:rFonts w:ascii="Arial" w:cs="Arial" w:eastAsia="Arial" w:hAnsi="Arial"/>
                <w:sz w:val="25"/>
                <w:szCs w:val="25"/>
                <w:color w:val="auto"/>
                <w:vertAlign w:val="superscript"/>
              </w:rPr>
              <w:t>(b)</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2"/>
          </w:tcPr>
          <w:p>
            <w:pPr>
              <w:spacing w:after="0" w:line="216" w:lineRule="exact"/>
              <w:rPr>
                <w:sz w:val="20"/>
                <w:szCs w:val="20"/>
                <w:color w:val="auto"/>
              </w:rPr>
            </w:pPr>
            <w:r>
              <w:rPr>
                <w:rFonts w:ascii="Arial" w:cs="Arial" w:eastAsia="Arial" w:hAnsi="Arial"/>
                <w:sz w:val="17"/>
                <w:szCs w:val="17"/>
                <w:color w:val="auto"/>
              </w:rPr>
              <w:t>EMR implementation</w:t>
            </w:r>
            <w:r>
              <w:rPr>
                <w:rFonts w:ascii="Arial" w:cs="Arial" w:eastAsia="Arial" w:hAnsi="Arial"/>
                <w:sz w:val="25"/>
                <w:szCs w:val="25"/>
                <w:color w:val="auto"/>
                <w:vertAlign w:val="superscript"/>
              </w:rPr>
              <w:t>(c)</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Financing-related fees</w:t>
            </w:r>
            <w:r>
              <w:rPr>
                <w:rFonts w:ascii="Arial" w:cs="Arial" w:eastAsia="Arial" w:hAnsi="Arial"/>
                <w:sz w:val="25"/>
                <w:szCs w:val="25"/>
                <w:color w:val="auto"/>
                <w:vertAlign w:val="superscript"/>
              </w:rPr>
              <w:t>(d)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Contingent consideration</w:t>
            </w:r>
            <w:r>
              <w:rPr>
                <w:rFonts w:ascii="Arial" w:cs="Arial" w:eastAsia="Arial" w:hAnsi="Arial"/>
                <w:sz w:val="25"/>
                <w:szCs w:val="25"/>
                <w:color w:val="auto"/>
                <w:vertAlign w:val="superscript"/>
              </w:rPr>
              <w:t>(e)</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Adjusted EBITDA</w:t>
            </w: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20" w:right="79" w:hanging="319"/>
        <w:spacing w:after="0" w:line="203" w:lineRule="auto"/>
        <w:tabs>
          <w:tab w:leader="none" w:pos="720" w:val="left"/>
        </w:tabs>
        <w:numPr>
          <w:ilvl w:val="0"/>
          <w:numId w:val="15"/>
        </w:numPr>
        <w:rPr>
          <w:rFonts w:ascii="Arial" w:cs="Arial" w:eastAsia="Arial" w:hAnsi="Arial"/>
          <w:sz w:val="27"/>
          <w:szCs w:val="27"/>
          <w:color w:val="auto"/>
          <w:vertAlign w:val="superscript"/>
        </w:rPr>
      </w:pPr>
      <w:r>
        <w:rPr>
          <w:rFonts w:ascii="Arial" w:cs="Arial" w:eastAsia="Arial" w:hAnsi="Arial"/>
          <w:sz w:val="15"/>
          <w:szCs w:val="15"/>
          <w:color w:val="auto"/>
        </w:rPr>
        <w:t>For the three months ended September 30, 2020, this primarily represents (i) $45.4 million related to the cancellation of options and the redemption of shares and (ii) $13.1 million of transaction fees and expenses recognized in connection with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right="79"/>
        <w:spacing w:after="0" w:line="266" w:lineRule="auto"/>
        <w:rPr>
          <w:sz w:val="20"/>
          <w:szCs w:val="20"/>
          <w:color w:val="auto"/>
        </w:rPr>
      </w:pPr>
      <w:r>
        <w:rPr>
          <w:rFonts w:ascii="Arial" w:cs="Arial" w:eastAsia="Arial" w:hAnsi="Arial"/>
          <w:sz w:val="16"/>
          <w:szCs w:val="16"/>
          <w:color w:val="auto"/>
        </w:rPr>
        <w:t>the July 27, 2020 transaction between us, an affiliate of Apax Partners and our then existing equity holders entering into a Securities Purchase Agreement (the “Apax Transaction”).</w:t>
      </w:r>
    </w:p>
    <w:p>
      <w:pPr>
        <w:ind w:left="720" w:right="79" w:hanging="319"/>
        <w:spacing w:after="0" w:line="188" w:lineRule="auto"/>
        <w:tabs>
          <w:tab w:leader="none" w:pos="720" w:val="left"/>
        </w:tabs>
        <w:numPr>
          <w:ilvl w:val="0"/>
          <w:numId w:val="16"/>
        </w:numPr>
        <w:rPr>
          <w:rFonts w:ascii="Arial" w:cs="Arial" w:eastAsia="Arial" w:hAnsi="Arial"/>
          <w:sz w:val="29"/>
          <w:szCs w:val="29"/>
          <w:color w:val="auto"/>
          <w:vertAlign w:val="superscript"/>
        </w:rPr>
      </w:pPr>
      <w:r>
        <w:rPr>
          <w:rFonts w:ascii="Arial" w:cs="Arial" w:eastAsia="Arial" w:hAnsi="Arial"/>
          <w:sz w:val="16"/>
          <w:szCs w:val="16"/>
          <w:color w:val="auto"/>
        </w:rPr>
        <w:t>Reflects charges related to business optimization initiatives. Such charges relate to one-time investments in projects designed to enhance our technology systems and improve the efficiency and effectiveness of our operations.</w:t>
      </w:r>
    </w:p>
    <w:p>
      <w:pPr>
        <w:ind w:left="720" w:hanging="319"/>
        <w:spacing w:after="0" w:line="183" w:lineRule="auto"/>
        <w:tabs>
          <w:tab w:leader="none" w:pos="720" w:val="left"/>
        </w:tabs>
        <w:numPr>
          <w:ilvl w:val="0"/>
          <w:numId w:val="16"/>
        </w:numPr>
        <w:rPr>
          <w:rFonts w:ascii="Arial" w:cs="Arial" w:eastAsia="Arial" w:hAnsi="Arial"/>
          <w:sz w:val="23"/>
          <w:szCs w:val="23"/>
          <w:color w:val="auto"/>
          <w:vertAlign w:val="superscript"/>
        </w:rPr>
      </w:pPr>
      <w:r>
        <w:rPr>
          <w:rFonts w:ascii="Arial" w:cs="Arial" w:eastAsia="Arial" w:hAnsi="Arial"/>
          <w:sz w:val="13"/>
          <w:szCs w:val="13"/>
          <w:color w:val="auto"/>
        </w:rPr>
        <w:t>Reflects non-recurring expenses relating to the implementation of a new electronic medical record vendor.</w:t>
      </w:r>
    </w:p>
    <w:p>
      <w:pPr>
        <w:spacing w:after="0" w:line="10" w:lineRule="exact"/>
        <w:rPr>
          <w:rFonts w:ascii="Arial" w:cs="Arial" w:eastAsia="Arial" w:hAnsi="Arial"/>
          <w:sz w:val="23"/>
          <w:szCs w:val="23"/>
          <w:color w:val="auto"/>
          <w:vertAlign w:val="superscript"/>
        </w:rPr>
      </w:pPr>
    </w:p>
    <w:p>
      <w:pPr>
        <w:ind w:left="720" w:right="79" w:hanging="319"/>
        <w:spacing w:after="0" w:line="183" w:lineRule="auto"/>
        <w:tabs>
          <w:tab w:leader="none" w:pos="720" w:val="left"/>
        </w:tabs>
        <w:numPr>
          <w:ilvl w:val="0"/>
          <w:numId w:val="16"/>
        </w:numPr>
        <w:rPr>
          <w:rFonts w:ascii="Arial" w:cs="Arial" w:eastAsia="Arial" w:hAnsi="Arial"/>
          <w:sz w:val="29"/>
          <w:szCs w:val="29"/>
          <w:color w:val="auto"/>
          <w:vertAlign w:val="superscript"/>
        </w:rPr>
      </w:pPr>
      <w:r>
        <w:rPr>
          <w:rFonts w:ascii="Arial" w:cs="Arial" w:eastAsia="Arial" w:hAnsi="Arial"/>
          <w:sz w:val="16"/>
          <w:szCs w:val="16"/>
          <w:color w:val="auto"/>
        </w:rPr>
        <w:t>Reflects fees and expenses incurred in connection with amendments to our credit agreements. See Note 8, “Long Term Debt” to the consolidated financial statements.</w:t>
      </w:r>
    </w:p>
    <w:p>
      <w:pPr>
        <w:ind w:left="720" w:right="79" w:hanging="319"/>
        <w:spacing w:after="0" w:line="187" w:lineRule="auto"/>
        <w:tabs>
          <w:tab w:leader="none" w:pos="720" w:val="left"/>
        </w:tabs>
        <w:numPr>
          <w:ilvl w:val="0"/>
          <w:numId w:val="16"/>
        </w:numPr>
        <w:rPr>
          <w:rFonts w:ascii="Arial" w:cs="Arial" w:eastAsia="Arial" w:hAnsi="Arial"/>
          <w:sz w:val="29"/>
          <w:szCs w:val="29"/>
          <w:color w:val="auto"/>
          <w:vertAlign w:val="superscript"/>
        </w:rPr>
      </w:pPr>
      <w:r>
        <w:rPr>
          <w:rFonts w:ascii="Arial" w:cs="Arial" w:eastAsia="Arial" w:hAnsi="Arial"/>
          <w:sz w:val="16"/>
          <w:szCs w:val="16"/>
          <w:color w:val="auto"/>
        </w:rPr>
        <w:t>Reflects the contingent consideration fair value adjustment made during the reporting period associated with our acquisition of NewCourtland.</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Adjusted EBITDA margin is Adjusted EBITDA expressed as a percentage of our total revenue less any exceptional, one-time revenue items. For the three months ended September 30, 2021, our net income margin was 4.4%, as compared to our net income margin of (32.6)% for the three months ended September 30, 2020. For the three months ended September 30, 2021, our Adjusted EBITDA margin was 10.5%, as compared to our Adjusted EBITDA margin for the three months ended September 30, 2020 of 15.1%.</w:t>
      </w:r>
    </w:p>
    <w:p>
      <w:pPr>
        <w:spacing w:after="0" w:line="18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To date, we have financed our operations principally through cash flows from operations and through borrowings under our credit facilities, and from the sale of common stock in our IPO that occurred in March 2021. As of September 30, 2021, we had cash and cash equivalents of $215.5 million. Our cash and cash equivalents primarily consist of highly liquid investments in demand deposit accounts and cash.</w:t>
      </w:r>
    </w:p>
    <w:p>
      <w:pPr>
        <w:spacing w:after="0" w:line="18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capital resources are generally used to fund (i) debt service requirements, the majority of which relate to the quarterly principal payments of the Term Loan Facility (as defined in Note 8, “Long Term Debt” to the condensed consolidated financial statements) due 2026, (ii) capital and operating lease obligations, which are generally paid on a monthly basis and include maturities through 2025 and 2032, respectively, (iii) the operations of our business, including special projects such as our transition to a new electronic medical record vendor, with respect to which we expect to incur non-recurring implementation costs over the next 18 months, and ongoing costs through 2026, and (iv) income tax payments, which are generally due on a quarterly and annual basis. We also expect to use capital resources for capital additions, which we expect to primarily relate to the development of de novo centers to the extent and as they are opened. Collectively, these obligations are expected to represent a significant liquidity requirement of our Company on both a short-term and long-term basis. For additional information regarding our lease obligations, debt and commitments, see Note 7, “Leases”, Note 8, “Long Term Debt” and Note 9, “Commitments and Contingencies” to our condensed consolidated financial statements.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believe that our cash and cash equivalents and our cash flows from operations will be sufficient to fund our operating and capital needs for at least the next 12 months.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the timing and extent of spending to open new centers and the expansion of sales and marketing activities.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6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March 8, 2021, concurrently with the closing of the IPO, the Company entered into a new credit agreement, the 2021 Credit Agreement, that replaced the 2016 Credit Agreement, as further discussed in Note 8, “Long Term Debt” to our condensed consolidated financial statements. The 2021 Credit Agreement consists of a senior secured term loan, Term Loan Facility, of $75.0 million principal amount and a revolving credit facility, Revolving Credit Facility, of $100.0 million maximum borrowing capacity, each as defined and described in Note 8, “Long Term debt” to the consolidated financial statements. Principal on the Term Loan Facility is paid each calendar quarter beginning September 2021 in an amount equal to 1.25% of the initial term loan on closing date. Proceeds of the Term Loan Facility, together with proceeds from the IPO, were used to repay amounts outstanding under the 2016 Credit Agreement.</w:t>
      </w:r>
    </w:p>
    <w:p>
      <w:pPr>
        <w:spacing w:after="0" w:line="16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Any outstanding principal amounts under the 2021 Credit Agreement accrue interest at a variable interest rate. As of September 30, 2021, the interest rate on the Term Loan Facility was 1.84%. Under the terms of the 2021 Credit Agreement, the Revolving Credit Facility fee accrues at 0.25% of the average daily unused amount and is paid quarterly. As of September 30, 2021, we had no borrowings outstanding under the Revolving Credit Facility and, therefore, had full capacity thereunder, subject to applicable covenant compliance restrictions and any other conditions precedent to borrowing. As of September 30, 2021, we also had $2.4 million principal amount outstanding under our convertible term loan. Monthly principal and interest payments are approximately $0.02 million, and the loan bears interest at an annual rate of 6.68%. The remaining principal balance is due upon maturity, which is August 20, 2030.</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more information about our debt, see Note 8 “Long Term Debt” to our consolidated financial statements.</w:t>
      </w:r>
    </w:p>
    <w:p>
      <w:pPr>
        <w:spacing w:after="0" w:line="23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consolidated statements of cash flows for the three months ended September 30, 2021 and 2020 are summarized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88"/>
              </w:rPr>
              <w:t>Change</w:t>
            </w:r>
          </w:p>
        </w:tc>
      </w:tr>
      <w:tr>
        <w:trPr>
          <w:trHeight w:val="210"/>
        </w:trPr>
        <w:tc>
          <w:tcPr>
            <w:tcW w:w="4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(18,058)</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38,617</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(40,001)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38,549</w:t>
            </w:r>
          </w:p>
        </w:tc>
      </w:tr>
      <w:tr>
        <w:trPr>
          <w:trHeight w:val="210"/>
        </w:trPr>
        <w:tc>
          <w:tcPr>
            <w:tcW w:w="20" w:type="dxa"/>
            <w:vAlign w:val="bottom"/>
          </w:tcPr>
          <w:p>
            <w:pPr>
              <w:spacing w:after="0"/>
              <w:rPr>
                <w:sz w:val="18"/>
                <w:szCs w:val="18"/>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w w:val="90"/>
              </w:rPr>
              <w:t>Net change in cash, cash equivalents and restricted cash</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(62,688)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76,753</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change in net cash provided by (used in) operating activities was primarily due to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(i) net income of $7.6 million in the current year period compared to a net loss of $49.8 million in the prior year period, as described further above, (ii) a net increase in working capital primarily as a result of the impact of the completion of the Colorado Department of Health Care Policy &amp; Financing’s (‘HCPF’) reconciliation, as described below, and the timing of prepaid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In fiscal year 2021, the Company and the HCPF completed the reconciliation for fiscal years 2018 and 2019. The reconciliation resulted in a net adjustment of reduction of accounts receivable of $3.4 million, which was recorded in fiscal year 2021. The Company does not expect adjustments related to the reconciliation to be significant in future periods.</w:t>
      </w:r>
    </w:p>
    <w:p>
      <w:pPr>
        <w:spacing w:after="0" w:line="14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increase in net cash used in investing activities was primarily due to an increase in cash used</w:t>
      </w:r>
      <w:r>
        <w:rPr>
          <w:rFonts w:ascii="Arial" w:cs="Arial" w:eastAsia="Arial" w:hAnsi="Arial"/>
          <w:sz w:val="18"/>
          <w:szCs w:val="18"/>
          <w:i w:val="1"/>
          <w:iCs w:val="1"/>
          <w:color w:val="auto"/>
        </w:rPr>
        <w:t xml:space="preserve"> </w:t>
      </w:r>
      <w:r>
        <w:rPr>
          <w:rFonts w:ascii="Arial" w:cs="Arial" w:eastAsia="Arial" w:hAnsi="Arial"/>
          <w:sz w:val="18"/>
          <w:szCs w:val="18"/>
          <w:color w:val="auto"/>
        </w:rPr>
        <w:t>of $3.0 million for growth-related capital expenditures and a $2.0 million cost method investment.</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decrease in net cash used in financing activities was primarily due to the net effect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Apax Transaction in fiscal year 2021, which included net proceeds on long-term debt of $87.4 million, $77.6 million related to treasury stock purchases and $32.4 million related to stock option cancellation payments, those payments of which did not recur in fiscal year 2022.</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principal commitments consist of repayments of long-term debt and obligations under operating and capital leases. As of September 30, 2021, we had $76.4 million of long-term debt outstanding. See Note 8, “Long Term Debt” in our consolidated financial statements for more information. As of September 30, 2021, we had future minimum operating lease payments under non-cancellable leases through the year 2032 of $31.4 million. We also had non-cancellable capital lease agreements with third parties through the year 2027 with future minimum payments of $6.9 million. See Note 7, “Leases” in our consolidated financial statements for more information.</w:t>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did not have any off balance sheet arrangements as of September 30, 2021</w:t>
      </w:r>
      <w:r>
        <w:rPr>
          <w:rFonts w:ascii="Arial" w:cs="Arial" w:eastAsia="Arial" w:hAnsi="Arial"/>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spacing w:after="0" w:line="18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consolidated financial statements and the reported amounts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of revenues and expenses during the reporting period. Actual results may differ from these estimates under different assumptions or conditions, impacting our reported results of operations and financial condition.</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Certain accounting policies involve significant judgments and assumptions by management, which have a material impact on the carrying value of assets and liabilities and the recognition of income and expenses. We consider these accounting policies to be critical accounting policies. The estimates and assumptions used by management are based on historical experience and other factors, which are believed to be reasonable under the circumstances.</w:t>
      </w:r>
    </w:p>
    <w:p>
      <w:pPr>
        <w:spacing w:after="0" w:line="15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a description of our policies regarding our critical accounting policies, see “Critical Accounting Policies and Estimates” in the 2021 Annual 10-K. There have been no significant changes in our critical accounting policies, estimates, or methodologies to our condensed consolidated financial statements</w:t>
      </w:r>
      <w:r>
        <w:rPr>
          <w:rFonts w:ascii="Arial" w:cs="Arial" w:eastAsia="Arial" w:hAnsi="Arial"/>
          <w:sz w:val="18"/>
          <w:szCs w:val="18"/>
          <w:b w:val="1"/>
          <w:bCs w:val="1"/>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September 30, 2021, we had total outstanding debt of $74.1 million in principal amount under the Term Loan Facility, $2.4 million under the convertible term loan, and no outstanding debt under the Revolving Credit Facility (each as defined in Note 8, “Long Term Debt” to the Condensed Consolidated Financial Statements). As of June 30, 2021, we had total outstanding debt of $75.0 million in principal amount under the Term Loan Facility and $2.4 million under the Convertible Term Loan. As of September 30, 2021, the interest rate on the Term Loan Facility was 1.84%</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Additionally, we are required to pay the following fees pursuant to the terms of the 2021 Credit Agreement:</w:t>
      </w:r>
    </w:p>
    <w:p>
      <w:pPr>
        <w:spacing w:after="0" w:line="225" w:lineRule="exact"/>
        <w:rPr>
          <w:sz w:val="20"/>
          <w:szCs w:val="20"/>
          <w:color w:val="auto"/>
        </w:rPr>
      </w:pPr>
    </w:p>
    <w:p>
      <w:pPr>
        <w:ind w:left="1340" w:right="59" w:firstLine="6"/>
        <w:spacing w:after="0" w:line="258" w:lineRule="auto"/>
        <w:tabs>
          <w:tab w:leader="none" w:pos="15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commitment fee on the average daily unused portion of the revolving credit commitments of 0.25% effective March 8, 2021 and 0.5% per annum prior to that date;</w:t>
      </w:r>
    </w:p>
    <w:p>
      <w:pPr>
        <w:spacing w:after="0" w:line="1" w:lineRule="exact"/>
        <w:rPr>
          <w:rFonts w:ascii="Arial" w:cs="Arial" w:eastAsia="Arial" w:hAnsi="Arial"/>
          <w:sz w:val="18"/>
          <w:szCs w:val="18"/>
          <w:color w:val="auto"/>
        </w:rPr>
      </w:pPr>
    </w:p>
    <w:p>
      <w:pPr>
        <w:ind w:left="1600" w:hanging="25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customary administrative agent fee to the first lien administrative agent;</w:t>
      </w:r>
    </w:p>
    <w:p>
      <w:pPr>
        <w:spacing w:after="0" w:line="9" w:lineRule="exact"/>
        <w:rPr>
          <w:rFonts w:ascii="Arial" w:cs="Arial" w:eastAsia="Arial" w:hAnsi="Arial"/>
          <w:sz w:val="18"/>
          <w:szCs w:val="18"/>
          <w:color w:val="auto"/>
        </w:rPr>
      </w:pPr>
    </w:p>
    <w:p>
      <w:pPr>
        <w:jc w:val="both"/>
        <w:ind w:left="1340" w:right="59" w:firstLine="6"/>
        <w:spacing w:after="0" w:line="250" w:lineRule="auto"/>
        <w:tabs>
          <w:tab w:leader="none" w:pos="15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participation fee on the daily amount of letter of credit exposure of each letter of credit issued by each issuing bank at a rate equal to 5.0% with respect to the term loan borrowings under the 2021 Credit Agreement; and</w:t>
      </w:r>
    </w:p>
    <w:p>
      <w:pPr>
        <w:spacing w:after="0" w:line="1" w:lineRule="exact"/>
        <w:rPr>
          <w:rFonts w:ascii="Arial" w:cs="Arial" w:eastAsia="Arial" w:hAnsi="Arial"/>
          <w:sz w:val="18"/>
          <w:szCs w:val="18"/>
          <w:color w:val="auto"/>
        </w:rPr>
      </w:pPr>
    </w:p>
    <w:p>
      <w:pPr>
        <w:ind w:left="1340" w:right="59"/>
        <w:spacing w:after="0" w:line="260" w:lineRule="auto"/>
        <w:tabs>
          <w:tab w:leader="none" w:pos="15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fronting fee which shall accrue at 0.125% on the actual daily amounts of the exposure determined in the prior subsection (c).</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had cash and cash equivalents of $215.5 million and $201.5 million as of September 30, 2021 and June 30, 2021, respectively, which are deposited with high credit quality financial institutions and are primarily in demand deposit accounts.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including as a result of COVID-19, will not have an adverse impact on our operating results and financial condition.</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Evaluation of Disclosure Controls and Procedures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the end of the period covered by this Report. Based on that evaluation, the Chief Executive Officer and Chief Financial Officer have concluded that these disclosure controls and procedures were effective as of September 30,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Changes to our Internal Controls over Financial Reporting</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There have been no changes in internal control over financial reporting during the quarter ended September 30, 2021 that have materially affected, or are reasonably likely to materially affect, our internal control over financial reporting.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From time to time, we may be involved in various legal proceedings and subject to claims that arise in the ordinary course of business.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July 2021, we received a CID from the Attorney General for the State of Colorado. The CID requests information and documents regarding Medicaid billing, patient services and referrals at InnovAge’s Colorado program. We continue to fully cooperate with the Attorney General and to produce the requested information and documentation. We are currently unable to predict the outcome of this investigation.</w:t>
      </w:r>
    </w:p>
    <w:p>
      <w:pPr>
        <w:spacing w:after="0" w:line="187" w:lineRule="exact"/>
        <w:rPr>
          <w:sz w:val="20"/>
          <w:szCs w:val="20"/>
          <w:color w:val="auto"/>
        </w:rPr>
      </w:pPr>
    </w:p>
    <w:p>
      <w:pPr>
        <w:jc w:val="both"/>
        <w:ind w:left="60" w:right="59" w:firstLine="389"/>
        <w:spacing w:after="0" w:line="273" w:lineRule="auto"/>
        <w:rPr>
          <w:sz w:val="20"/>
          <w:szCs w:val="20"/>
          <w:color w:val="auto"/>
        </w:rPr>
      </w:pPr>
      <w:r>
        <w:rPr>
          <w:rFonts w:ascii="Arial" w:cs="Arial" w:eastAsia="Arial" w:hAnsi="Arial"/>
          <w:sz w:val="17"/>
          <w:szCs w:val="17"/>
          <w:color w:val="auto"/>
        </w:rPr>
        <w:t>On October 14, 2021, the Company was named as a defendant in a putative class action complaint filed in the District Court for the District of Colorado on behalf of individuals who purchased or acquired shares of the Company’s common stock during a specified period. Through the complaint, plaintiffs are asserting claims against the Company, certain of the Company’s officers and the underwriters in the Company’s IPO, alleging violations of Sections 11 and 15 of the Securities Act of 1933 for making allegedly inaccurate and misleading statements and omissions in connection with the Company’s IPO and seeking compensatory damages, among other things.</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Although the results of legal proceedings and claims are inherently unpredictable and uncertain, we do not believe that any of the legal proceedings with which we are currently involved would, if determined adversely to us, either individually or in the aggregate, have a material adverse effect on our business, operating results, cash flows or financial condition. Regardless of the outcome, litigation has the potential to have an adverse impact on us due to any related defense and settlement costs, diversion of management resources, and other factors.</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 xml:space="preserve">Other than the updates to the risk factor set forth below, there have been no material changes to the risk factors disclosed in the “Risk factors” section of </w:t>
      </w:r>
      <w:r>
        <w:rPr>
          <w:rFonts w:ascii="Arial" w:cs="Arial" w:eastAsia="Arial" w:hAnsi="Arial"/>
          <w:sz w:val="18"/>
          <w:szCs w:val="18"/>
          <w:color w:val="212529"/>
        </w:rPr>
        <w:t>our 2021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Risks Related to our Business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 subject to legal proceedings, enforcement actions and litigation, malpractice and privacy disputes, which are costly to defend and could materially harm our business and results of operations.</w:t>
      </w:r>
    </w:p>
    <w:p>
      <w:pPr>
        <w:spacing w:after="0" w:line="103"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may be party to lawsuits and legal proceedings in the normal course of business. These matters are often expensive and disruptive to normal business operations. We may face allegations, lawsuits and regulatory inquiries, requests for information, audits and investigations regarding care and services provided to participants, the False Claims Act (“FCA”), data privacy, security, labor and employment, consumer protection or intellectual property. We may also face allegations or litigation related to our acquisitions, securities issuances or business practices, including public disclosures about our business. On October 14, 2021, the Company was named as a defendant in a putative class action complaint filed in the District Court for the District of Colorado on behalf of individuals who purchased or acquired shares of the Company’s common stock during a specified period. We are currently unable to predict the outcome of this proceeding. See Item 1, Legal Proceedings.</w:t>
      </w:r>
    </w:p>
    <w:p>
      <w:pPr>
        <w:spacing w:after="0" w:line="113"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Litigation and regulatory proceedings may be protracted and expensive, and the results are difficult to predict. Certain of these matters include claims for substantial or indeterminate amounts of damages and may include claims for injunctive relief. Additionally, our litigation costs could be significant. Adverse outcomes with respect to litigation or any of these legal proceedings may result in significant settlement costs or judgments, penalties, fines and sanctions. In the event of compliance issues, sanctions could include civil monetary penalties, corrective action plans (as is the case currently with respect to our Sacramento, California center), monitoring, contract termination, and/or CMS and/or Medicaid agencies suspending or restricting enrollment with us, which could negatively impact our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geographical expansion and revenue growth. We may also become subject to periodic audits, which would likely increase our regulatory compliance costs and may require us to change our business practices, which could negatively impact our revenue growth. Managing legal proceedings, regulatory inquiries, litigation and audits, even if we achieve favorable outcomes, is time-consuming and diverts management’s attention from our business.</w:t>
      </w:r>
    </w:p>
    <w:p>
      <w:pPr>
        <w:spacing w:after="0" w:line="10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results of regulatory proceedings, investigations, inquiries, litigation, claims, and audits cannot be predicted with certainty, and determining reserves for pending litigation and other legal, regulatory and audit matters requires significant judgment. There can be no assurance that our expectations will prove correct, and even if these matters are resolved in our favor or without significant cash settlements, these matters, and the time and resources necessary to litigate or resolve them, cause harm to our reputation, business, financial condition, results of operations and the market price of our common stock.</w:t>
      </w:r>
    </w:p>
    <w:p>
      <w:pPr>
        <w:spacing w:after="0" w:line="1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are also subject to lawsuits under the FCA and comparable state laws for submitting allegedly fraudulent, inadequately supported or otherwise inappropriate bills for services to the Medicare and Medicaid programs.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fraud and abuse.</w:t>
      </w:r>
    </w:p>
    <w:p>
      <w:pPr>
        <w:spacing w:after="0" w:line="17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July 2021, we received a CID from the Attorney General for the State of Colorado. The CID requests information and documents regarding Medicaid billing, patient services and referrals at InnovAge’s Colorado program. We are currently unable to predict the outcome of this investigation. See Item 1, Legal Proceedings.</w:t>
      </w:r>
    </w:p>
    <w:p>
      <w:pPr>
        <w:spacing w:after="0" w:line="103"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Furthermore, our business exposes us to potential medical malpractice, professional negligence or other related actions or claims that are inherent in the provision of healthcare services. While the industry has not seen an increase in the number of claims of this nature due to the impact of the COVID-19 pandemic, this remains a possibility due to the relatively lengthy claim development inherent in professional liability claims. These claims, with or without merit, could cause us to incur substantial costs, and could place a significant strain on our financial resources, divert the attention of management from our core business, harm our reputation and adversely affect our ability to attract and retain participants, any of which could have a material adverse effect on our business, financial condition and results of operations.</w:t>
      </w:r>
    </w:p>
    <w:p>
      <w:pPr>
        <w:spacing w:after="0" w:line="12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Although we maintain third-party professional liability insurance coverage, it is possible that claims against us may exceed the coverage limits of our insurance policies.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with or without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Regulation</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b w:val="1"/>
          <w:bCs w:val="1"/>
          <w:i w:val="1"/>
          <w:iCs w:val="1"/>
          <w:color w:val="auto"/>
        </w:rPr>
        <w:t>We face inspections, reviews, audits and investigations under federal and state government programs and contracts. These audits could require corrective actions or have adverse findings that may negatively affect our business, including our results of operations, liquidity, financial condition and reputation.</w:t>
      </w:r>
    </w:p>
    <w:p>
      <w:pPr>
        <w:spacing w:after="0" w:line="16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a result of our PACE contracts with CMS and state government agencies, state licenses, and participation in Medicaid, we are routinely subject to, or will continue to be subject to in the future, various governmental inspections, reviews, audits, requests for information and investigations to verify our compliance with requirements of these programs and applicable laws and regulations, assess the quality of the services we are providing to our participants, and evaluate the accuracy of the risk adjustment data we have submitted to the government.</w:t>
      </w:r>
    </w:p>
    <w:p>
      <w:pPr>
        <w:spacing w:after="0" w:line="9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May 26, 2021, the Colorado Department of Health Care Policy &amp; Financing (“HCPF”) and the Colorado Department of Public Health and Environment (“CDPHE”) initiated a joint audit of our Colorado PACE centers, and on June 21, 2021, CMS also initiated a separate focused desk audit of our Colorado PACE program. We received preliminary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7"/>
          <w:szCs w:val="17"/>
          <w:color w:val="auto"/>
        </w:rPr>
        <w:t>findings from CMS and HCPF/CDPHE in July 2021, received validation results presenting issues in two of the six areas under validation in October 2021, and expect to receive final reports from the agencies in early 2022. In conjunction with providing validation results, the agencies referred our case to the Compliance and Enforcement Division of CMS for review and possible further action. With respect to these three audits, to date, we have no indication of whether the agencies intend to request a corrective action plan, suspend or otherwise curtail our programs or impose other sanctions, and given the recent referral to the Compliance and Enforcement Division, we do not have an indication of what further action, if any, the Division may take. We cannot guarantee the outcome of these audits, including whether or not sanctions will be imposed, until the Compliance and Enforcement Division completes its review and we receive the respective final reports from each agency.</w:t>
      </w:r>
    </w:p>
    <w:p>
      <w:pPr>
        <w:spacing w:after="0" w:line="1"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8"/>
          <w:szCs w:val="18"/>
          <w:color w:val="auto"/>
        </w:rPr>
        <w:t>On May 10, 2021, CMS began a routine, scheduled audit of our Sacramento, California center. On September 17, 2021, we were notified that CMS had determined to suspend new enrollments at our Sacramento center based on deficiencies detected in the audit related to participant quality of care, and on September 30, 2021, we were further notified that the State of California had followed in the determination of such sanctions. The suspension will remain in effect until CMS and the State of California determine that we have remediated the deficiencies to their satisfaction. We submitted a corrective action plan on October 15, 2021 and began implementing corrective action even prior to such submission. As of November 2, 2021, CMS and the State of California jointly requested additional feedback regarding the corrective action plan, which is due by November 16, 2021. At such time, the corrective action plan will again be under review by CMS and California. At this time, we cannot guarantee the outcome of these processes. If CMS or California is not satisfied with proposed or implemented corrective actions, we could be subject to additional sanctions.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Inspections, reviews, audits, requests for information or investigations with adverse findings, can result in:</w:t>
      </w:r>
    </w:p>
    <w:p>
      <w:pPr>
        <w:spacing w:after="0" w:line="225" w:lineRule="exact"/>
        <w:rPr>
          <w:sz w:val="20"/>
          <w:szCs w:val="20"/>
          <w:color w:val="auto"/>
        </w:rPr>
      </w:pPr>
    </w:p>
    <w:p>
      <w:pPr>
        <w:ind w:left="700" w:right="979" w:hanging="2"/>
        <w:spacing w:after="0" w:line="258" w:lineRule="auto"/>
        <w:tabs>
          <w:tab w:leader="none" w:pos="1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temporary or permanent enrollment sanctions in the affected center(s), as is the case with our Sacramento, California center;</w:t>
      </w:r>
    </w:p>
    <w:p>
      <w:pPr>
        <w:spacing w:after="0" w:line="1" w:lineRule="exact"/>
        <w:rPr>
          <w:rFonts w:ascii="Arial" w:cs="Arial" w:eastAsia="Arial" w:hAnsi="Arial"/>
          <w:sz w:val="18"/>
          <w:szCs w:val="18"/>
          <w:color w:val="auto"/>
        </w:rPr>
      </w:pPr>
    </w:p>
    <w:p>
      <w:pPr>
        <w:ind w:left="1340" w:hanging="642"/>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refunding amounts we have been paid by the government;</w:t>
      </w:r>
    </w:p>
    <w:p>
      <w:pPr>
        <w:spacing w:after="0" w:line="9" w:lineRule="exact"/>
        <w:rPr>
          <w:rFonts w:ascii="Arial" w:cs="Arial" w:eastAsia="Arial" w:hAnsi="Arial"/>
          <w:sz w:val="18"/>
          <w:szCs w:val="18"/>
          <w:color w:val="auto"/>
        </w:rPr>
      </w:pPr>
    </w:p>
    <w:p>
      <w:pPr>
        <w:ind w:left="700" w:right="779" w:hanging="2"/>
        <w:spacing w:after="0" w:line="250" w:lineRule="auto"/>
        <w:tabs>
          <w:tab w:leader="none" w:pos="1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 or federal agencies imposing corrective action plans, fines, penalties, training, policies and procedures, and other requirements or sanctions on us;</w:t>
      </w:r>
    </w:p>
    <w:p>
      <w:pPr>
        <w:ind w:left="1340" w:hanging="642"/>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temporary suspension of payments;</w:t>
      </w:r>
    </w:p>
    <w:p>
      <w:pPr>
        <w:spacing w:after="0" w:line="9" w:lineRule="exact"/>
        <w:rPr>
          <w:rFonts w:ascii="Arial" w:cs="Arial" w:eastAsia="Arial" w:hAnsi="Arial"/>
          <w:sz w:val="18"/>
          <w:szCs w:val="18"/>
          <w:color w:val="auto"/>
        </w:rPr>
      </w:pPr>
    </w:p>
    <w:p>
      <w:pPr>
        <w:ind w:left="1340" w:hanging="642"/>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debarment or exclusion from participation in federal health care programs;</w:t>
      </w:r>
    </w:p>
    <w:p>
      <w:pPr>
        <w:spacing w:after="0" w:line="9" w:lineRule="exact"/>
        <w:rPr>
          <w:rFonts w:ascii="Arial" w:cs="Arial" w:eastAsia="Arial" w:hAnsi="Arial"/>
          <w:sz w:val="18"/>
          <w:szCs w:val="18"/>
          <w:color w:val="auto"/>
        </w:rPr>
      </w:pPr>
    </w:p>
    <w:p>
      <w:pPr>
        <w:ind w:left="1340" w:hanging="642"/>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self-disclosure of violations to applicable regulatory authorities;</w:t>
      </w:r>
    </w:p>
    <w:p>
      <w:pPr>
        <w:spacing w:after="0" w:line="9" w:lineRule="exact"/>
        <w:rPr>
          <w:rFonts w:ascii="Arial" w:cs="Arial" w:eastAsia="Arial" w:hAnsi="Arial"/>
          <w:sz w:val="18"/>
          <w:szCs w:val="18"/>
          <w:color w:val="auto"/>
        </w:rPr>
      </w:pPr>
    </w:p>
    <w:p>
      <w:pPr>
        <w:ind w:left="1340" w:hanging="642"/>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1340" w:hanging="642"/>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revocation of a facility’s license; and</w:t>
      </w:r>
    </w:p>
    <w:p>
      <w:pPr>
        <w:spacing w:after="0" w:line="9" w:lineRule="exact"/>
        <w:rPr>
          <w:rFonts w:ascii="Arial" w:cs="Arial" w:eastAsia="Arial" w:hAnsi="Arial"/>
          <w:sz w:val="18"/>
          <w:szCs w:val="18"/>
          <w:color w:val="auto"/>
        </w:rPr>
      </w:pPr>
    </w:p>
    <w:p>
      <w:pPr>
        <w:ind w:left="1340" w:hanging="642"/>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certain rights under, or termination of, our contracts with government payors.</w:t>
      </w:r>
    </w:p>
    <w:p>
      <w:pPr>
        <w:spacing w:after="0" w:line="14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may be required to refund amounts we have been paid and/or pay fines and penalties as a result of these inspections, reviews, audits, requests for information and investigations. Any of the results noted above could have a material adverse effect on our business and operating results. Furthermore, the legal, document production and other costs associated with complying with these inspections, reviews, audits, requests for information or investigations could be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unregistered sales of equity securities during the three months ended September 30, 2021</w:t>
      </w:r>
      <w:r>
        <w:rPr>
          <w:rFonts w:ascii="Arial" w:cs="Arial" w:eastAsia="Arial" w:hAnsi="Arial"/>
          <w:sz w:val="18"/>
          <w:szCs w:val="18"/>
          <w:color w:val="212529"/>
        </w:rPr>
        <w: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On March 8, 2021, we completed the IPO of our common stock pursuant to a Registration Statement on Form S-1 (File No. 333-252853), which was declared effective on March 3, 2021. There have been no material changes in the planned use of proceeds from the IPO from those that were described in the final prospectus filed pursuant to Rule 424(b) with the Securities and Exchange Commission on March 5,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Restatement of Prior Period Financial Statements</w:t>
      </w:r>
    </w:p>
    <w:p>
      <w:pPr>
        <w:spacing w:after="0" w:line="229" w:lineRule="exact"/>
        <w:rPr>
          <w:sz w:val="20"/>
          <w:szCs w:val="20"/>
          <w:color w:val="auto"/>
        </w:rPr>
      </w:pPr>
    </w:p>
    <w:p>
      <w:pPr>
        <w:jc w:val="both"/>
        <w:ind w:left="60" w:right="219" w:firstLine="324"/>
        <w:spacing w:after="0" w:line="268" w:lineRule="auto"/>
        <w:rPr>
          <w:sz w:val="20"/>
          <w:szCs w:val="20"/>
          <w:color w:val="auto"/>
        </w:rPr>
      </w:pPr>
      <w:r>
        <w:rPr>
          <w:rFonts w:ascii="Arial" w:cs="Arial" w:eastAsia="Arial" w:hAnsi="Arial"/>
          <w:sz w:val="17"/>
          <w:szCs w:val="17"/>
          <w:color w:val="auto"/>
        </w:rPr>
        <w:t>As discussed in Note 2, “Summary of Significant Accounting Policies”, to the Condensed Consolidated Financial Statements included in Item 1 of this Form 10-Q, subsequent to the issuance of the Company’s consolidated financial statements as of and for the year ended June 30, 2021, we identified an error in our consolidated balance sheet and statement of stockholders’ equity as of June 30, 2021 related to the presentation of redeemable noncontrolling interests. As a result of the IPO in March 2021, certain put options held by the noncontrolling interests were determined to be redeemable noncontrolling interests pursuant to Rule 5-02 of SEC Regulation S-X and the SEC guidance codified in ASC 480-10-S99. The Company incorrectly recorded redeemable noncontrolling interests of $17.0 million as permanent equity rather than temporary equity as of June 30, 2021. As a result, the Company will correct the June 30, 2021 consolidated financial statements that will be included in our Form 10-K for the year ended June 30, 2022 to reflect this reclassification from permanent to temporary equity and to record the related adjustment to redemption value as of June 30, 2021. Management has evaluated the materiality of this misstatement and concluded that it is not material to the prior period. The impact of the restatement on periods previously included in our Form 10-K for the year ended June 30, 2021 is presented below.</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effect of the restatement on the consolidated balance sheet as of June 30, 2021 is as follows (in thousands):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Previously</w:t>
            </w:r>
          </w:p>
        </w:tc>
        <w:tc>
          <w:tcPr>
            <w:tcW w:w="11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59"/>
              <w:spacing w:after="0"/>
              <w:rPr>
                <w:sz w:val="20"/>
                <w:szCs w:val="20"/>
                <w:color w:val="auto"/>
              </w:rPr>
            </w:pPr>
            <w:r>
              <w:rPr>
                <w:rFonts w:ascii="Arial" w:cs="Arial" w:eastAsia="Arial" w:hAnsi="Arial"/>
                <w:sz w:val="14"/>
                <w:szCs w:val="14"/>
                <w:b w:val="1"/>
                <w:bCs w:val="1"/>
                <w:color w:val="auto"/>
              </w:rPr>
              <w:t>Reported</w:t>
            </w:r>
          </w:p>
        </w:tc>
        <w:tc>
          <w:tcPr>
            <w:tcW w:w="1100" w:type="dxa"/>
            <w:vAlign w:val="bottom"/>
            <w:gridSpan w:val="3"/>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Redeemable Noncontrolling Interests (See Note 4)</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Retained earnings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InnovAge Holding Corp.</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335,146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334,559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22,819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(16,399)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357,965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340,979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5020" w:type="dxa"/>
            <w:vAlign w:val="bottom"/>
            <w:gridSpan w:val="2"/>
          </w:tcPr>
          <w:p>
            <w:pPr>
              <w:jc w:val="right"/>
              <w:ind w:right="37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effect of the restatement on the consolidated statement of stockholders’ equity as of June 30, 2021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Redeemable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Noncontrolling</w:t>
            </w: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Permanent</w:t>
            </w: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Interests</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(Temporary Equity)</w:t>
            </w:r>
          </w:p>
        </w:tc>
        <w:tc>
          <w:tcPr>
            <w:tcW w:w="660" w:type="dxa"/>
            <w:vAlign w:val="bottom"/>
          </w:tcPr>
          <w:p>
            <w:pPr>
              <w:jc w:val="right"/>
              <w:ind w:right="3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820" w:type="dxa"/>
            <w:vAlign w:val="bottom"/>
            <w:tcBorders>
              <w:top w:val="single" w:sz="8" w:color="CCEEFF"/>
              <w:bottom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As Previously Reported</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Consolidation of equity method investment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16,838</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16,838</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(43,986)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(44,740)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Adjustment to redemption value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Balances, June 30, 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22,819</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357,965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Adjustments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Consolidation of equity method investment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439</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(44,740)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 to redemption value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Balances, June 30, 2021</w:t>
            </w:r>
          </w:p>
        </w:tc>
        <w:tc>
          <w:tcPr>
            <w:tcW w:w="660" w:type="dxa"/>
            <w:vAlign w:val="bottom"/>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(16,399)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(16,986)</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As Restated</w:t>
            </w:r>
          </w:p>
        </w:tc>
        <w:tc>
          <w:tcPr>
            <w:tcW w:w="298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Consolidation of equity method investment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16,838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(43,986)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(44,301)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Adjustment to redemption value</w:t>
            </w:r>
          </w:p>
        </w:tc>
        <w:tc>
          <w:tcPr>
            <w:tcW w:w="660" w:type="dxa"/>
            <w:vAlign w:val="bottom"/>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Balances, June 30, 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340,979</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900" w:type="dxa"/>
            <w:vAlign w:val="bottom"/>
            <w:gridSpan w:val="14"/>
          </w:tcPr>
          <w:p>
            <w:pPr>
              <w:ind w:left="320"/>
              <w:spacing w:after="0"/>
              <w:rPr>
                <w:sz w:val="20"/>
                <w:szCs w:val="20"/>
                <w:color w:val="auto"/>
              </w:rPr>
            </w:pPr>
            <w:r>
              <w:rPr>
                <w:rFonts w:ascii="Arial" w:cs="Arial" w:eastAsia="Arial" w:hAnsi="Arial"/>
                <w:sz w:val="18"/>
                <w:szCs w:val="18"/>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60" w:type="dxa"/>
            <w:vAlign w:val="bottom"/>
            <w:gridSpan w:val="9"/>
          </w:tcPr>
          <w:p>
            <w:pPr>
              <w:ind w:left="9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63"/>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80" w:type="dxa"/>
            <w:vAlign w:val="bottom"/>
            <w:gridSpan w:val="13"/>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20" w:type="dxa"/>
            <w:vAlign w:val="bottom"/>
            <w:tcBorders>
              <w:top w:val="single" w:sz="8" w:color="auto"/>
              <w:bottom w:val="single" w:sz="8" w:color="0000EE"/>
            </w:tcBorders>
            <w:gridSpan w:val="9"/>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Second Amended and Restated Certificate of Incorporation of InnovAge Holding Corp., filed March 3,</w:t>
              </w:r>
            </w:hyperlink>
          </w:p>
        </w:tc>
        <w:tc>
          <w:tcPr>
            <w:tcW w:w="40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1"/>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2021 (incorporated by reference to Exhibit 3.1 to the Company’s Current Report on Form 8-K filed with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SEC on March 8, 2021).</w:t>
              </w:r>
            </w:hyperlink>
          </w:p>
        </w:tc>
        <w:tc>
          <w:tcPr>
            <w:tcW w:w="600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rFonts w:ascii="Arial" w:cs="Arial" w:eastAsia="Arial" w:hAnsi="Arial"/>
                <w:sz w:val="18"/>
                <w:szCs w:val="18"/>
                <w:color w:val="0000EE"/>
                <w:w w:val="97"/>
              </w:rPr>
            </w:pPr>
            <w:hyperlink r:id="rId71">
              <w:r>
                <w:rPr>
                  <w:rFonts w:ascii="Arial" w:cs="Arial" w:eastAsia="Arial" w:hAnsi="Arial"/>
                  <w:sz w:val="18"/>
                  <w:szCs w:val="18"/>
                  <w:color w:val="0000EE"/>
                  <w:w w:val="97"/>
                </w:rPr>
                <w:t>Amended and Restated Bylaws of InnovAge Holding Corp., effective March 3, 2021 (incorporated by</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reference to Exhibit 3.2 to the Company’s Current Report on Form 8-K filed with the SEC on March 8,</w:t>
              </w:r>
            </w:hyperlink>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gridSpan w:val="3"/>
          </w:tcPr>
          <w:p>
            <w:pPr>
              <w:ind w:left="260"/>
              <w:spacing w:after="0" w:line="196" w:lineRule="exact"/>
              <w:rPr>
                <w:rFonts w:ascii="Arial" w:cs="Arial" w:eastAsia="Arial" w:hAnsi="Arial"/>
                <w:sz w:val="18"/>
                <w:szCs w:val="18"/>
                <w:color w:val="0000EE"/>
                <w:w w:val="86"/>
              </w:rPr>
            </w:pPr>
            <w:hyperlink r:id="rId71">
              <w:r>
                <w:rPr>
                  <w:rFonts w:ascii="Arial" w:cs="Arial" w:eastAsia="Arial" w:hAnsi="Arial"/>
                  <w:sz w:val="18"/>
                  <w:szCs w:val="18"/>
                  <w:color w:val="0000EE"/>
                  <w:w w:val="86"/>
                </w:rPr>
                <w:t>2021).</w:t>
              </w:r>
            </w:hyperlink>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Certification of Chief Executive Officer Pursuant to Section 302 of the Sarbanes-Oxley Act of 2002</w:t>
              </w:r>
            </w:hyperlink>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Certification of Chief Financial Officer Pursuant to Section 302 of the Sarbanes-Oxley Act of 2002</w:t>
              </w:r>
            </w:hyperlink>
          </w:p>
        </w:tc>
        <w:tc>
          <w:tcPr>
            <w:tcW w:w="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Certification of Chief Executive Officer Pursuant to 18 U.S.C. Section 1350, as adopted pursuant to</w:t>
              </w:r>
            </w:hyperlink>
          </w:p>
        </w:tc>
        <w:tc>
          <w:tcPr>
            <w:tcW w:w="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Certification of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Section 906 of the Sarbanes-Oxley Act of 2002</w:t>
              </w:r>
            </w:hyperlink>
          </w:p>
        </w:tc>
        <w:tc>
          <w:tcPr>
            <w:tcW w:w="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11"/>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hanging="1084"/>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-499745</wp:posOffset>
            </wp:positionV>
            <wp:extent cx="14141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9, 2021</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INNOVAGE HOLDING CORP.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Gutierrez</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Barbara Gutierrez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Maureen Hewitt, certify that:</w:t>
      </w:r>
    </w:p>
    <w:p>
      <w:pPr>
        <w:spacing w:after="0" w:line="104" w:lineRule="exact"/>
        <w:rPr>
          <w:sz w:val="20"/>
          <w:szCs w:val="20"/>
          <w:color w:val="auto"/>
        </w:rPr>
      </w:pPr>
    </w:p>
    <w:p>
      <w:pPr>
        <w:ind w:left="1020" w:hanging="65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InnovAge Holding Corp.;</w:t>
      </w:r>
    </w:p>
    <w:p>
      <w:pPr>
        <w:spacing w:after="0" w:line="103" w:lineRule="exact"/>
        <w:rPr>
          <w:rFonts w:ascii="Arial" w:cs="Arial" w:eastAsia="Arial" w:hAnsi="Arial"/>
          <w:sz w:val="18"/>
          <w:szCs w:val="18"/>
          <w:color w:val="auto"/>
        </w:rPr>
      </w:pPr>
    </w:p>
    <w:p>
      <w:pPr>
        <w:ind w:left="1020" w:right="119" w:hanging="652"/>
        <w:spacing w:after="0" w:line="270"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1020" w:right="439" w:hanging="652"/>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1020" w:right="399" w:hanging="652"/>
        <w:spacing w:after="0" w:line="24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sz w:val="20"/>
          <w:szCs w:val="20"/>
          <w:color w:val="auto"/>
        </w:rPr>
      </w:pPr>
    </w:p>
    <w:p>
      <w:pPr>
        <w:ind w:left="1660" w:right="79" w:hanging="644"/>
        <w:spacing w:after="0" w:line="262" w:lineRule="auto"/>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sz w:val="20"/>
          <w:szCs w:val="20"/>
          <w:color w:val="auto"/>
        </w:rPr>
      </w:pPr>
    </w:p>
    <w:p>
      <w:pPr>
        <w:jc w:val="both"/>
        <w:ind w:left="1660" w:right="319" w:hanging="644"/>
        <w:spacing w:after="0" w:line="270" w:lineRule="auto"/>
        <w:tabs>
          <w:tab w:leader="none" w:pos="1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660" w:right="139" w:hanging="644"/>
        <w:spacing w:after="0" w:line="262" w:lineRule="auto"/>
        <w:tabs>
          <w:tab w:leader="none" w:pos="1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7"/>
          <w:szCs w:val="17"/>
          <w:color w:val="auto"/>
        </w:rPr>
      </w:pPr>
    </w:p>
    <w:p>
      <w:pPr>
        <w:jc w:val="both"/>
        <w:ind w:left="1020" w:right="219" w:hanging="652"/>
        <w:spacing w:after="0" w:line="24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660" w:right="359" w:hanging="644"/>
        <w:spacing w:after="0" w:line="270" w:lineRule="auto"/>
        <w:tabs>
          <w:tab w:leader="none" w:pos="1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660" w:right="579" w:hanging="644"/>
        <w:spacing w:after="0" w:line="261" w:lineRule="auto"/>
        <w:tabs>
          <w:tab w:leader="none" w:pos="1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9, 2021</w:t>
      </w:r>
    </w:p>
    <w:p>
      <w:pPr>
        <w:spacing w:after="0" w:line="23" w:lineRule="exact"/>
        <w:rPr>
          <w:sz w:val="20"/>
          <w:szCs w:val="20"/>
          <w:color w:val="auto"/>
        </w:rPr>
      </w:pPr>
    </w:p>
    <w:p>
      <w:pPr>
        <w:ind w:left="468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Hewitt</w:t>
      </w:r>
    </w:p>
    <w:p>
      <w:pPr>
        <w:spacing w:after="0" w:line="4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Maureen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-121920</wp:posOffset>
            </wp:positionV>
            <wp:extent cx="24003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8" w:name="page49"/>
    <w:bookmarkEnd w:id="48"/>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Barbara Gutierrez, certify that:</w:t>
      </w:r>
    </w:p>
    <w:p>
      <w:pPr>
        <w:spacing w:after="0" w:line="104" w:lineRule="exact"/>
        <w:rPr>
          <w:sz w:val="20"/>
          <w:szCs w:val="20"/>
          <w:color w:val="auto"/>
        </w:rPr>
      </w:pPr>
    </w:p>
    <w:p>
      <w:pPr>
        <w:ind w:left="1020" w:hanging="65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InnovAge Holding, Corp.;</w:t>
      </w:r>
    </w:p>
    <w:p>
      <w:pPr>
        <w:spacing w:after="0" w:line="103" w:lineRule="exact"/>
        <w:rPr>
          <w:rFonts w:ascii="Arial" w:cs="Arial" w:eastAsia="Arial" w:hAnsi="Arial"/>
          <w:sz w:val="18"/>
          <w:szCs w:val="18"/>
          <w:color w:val="auto"/>
        </w:rPr>
      </w:pPr>
    </w:p>
    <w:p>
      <w:pPr>
        <w:ind w:left="1020" w:right="119" w:hanging="652"/>
        <w:spacing w:after="0" w:line="270"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1020" w:right="439" w:hanging="652"/>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1020" w:right="399" w:hanging="652"/>
        <w:spacing w:after="0" w:line="24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8"/>
          <w:szCs w:val="18"/>
          <w:color w:val="auto"/>
        </w:rPr>
      </w:pPr>
    </w:p>
    <w:p>
      <w:pPr>
        <w:ind w:left="1660" w:right="79" w:hanging="644"/>
        <w:spacing w:after="0" w:line="262" w:lineRule="auto"/>
        <w:tabs>
          <w:tab w:leader="none" w:pos="1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7"/>
          <w:szCs w:val="17"/>
          <w:color w:val="auto"/>
        </w:rPr>
      </w:pPr>
    </w:p>
    <w:p>
      <w:pPr>
        <w:jc w:val="both"/>
        <w:ind w:left="1660" w:right="319" w:hanging="644"/>
        <w:spacing w:after="0" w:line="270" w:lineRule="auto"/>
        <w:tabs>
          <w:tab w:leader="none" w:pos="1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660" w:right="139" w:hanging="644"/>
        <w:spacing w:after="0" w:line="262" w:lineRule="auto"/>
        <w:tabs>
          <w:tab w:leader="none" w:pos="1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7"/>
          <w:szCs w:val="17"/>
          <w:color w:val="auto"/>
        </w:rPr>
      </w:pPr>
    </w:p>
    <w:p>
      <w:pPr>
        <w:jc w:val="both"/>
        <w:ind w:left="1020" w:right="219" w:hanging="652"/>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660" w:right="359" w:hanging="644"/>
        <w:spacing w:after="0" w:line="270" w:lineRule="auto"/>
        <w:tabs>
          <w:tab w:leader="none" w:pos="1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660" w:right="579" w:hanging="644"/>
        <w:spacing w:after="0" w:line="261" w:lineRule="auto"/>
        <w:tabs>
          <w:tab w:leader="none" w:pos="1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9, 2021</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8"/>
          <w:szCs w:val="18"/>
          <w:color w:val="auto"/>
        </w:rPr>
        <w:t>By:</w:t>
        <w:tab/>
        <w:t>/s/ Barbara Gutierrez</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-121920</wp:posOffset>
            </wp:positionV>
            <wp:extent cx="23914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16" w:lineRule="exact"/>
        <w:rPr>
          <w:sz w:val="20"/>
          <w:szCs w:val="20"/>
          <w:color w:val="auto"/>
        </w:rPr>
      </w:pPr>
    </w:p>
    <w:p>
      <w:pPr>
        <w:jc w:val="both"/>
        <w:ind w:left="40" w:right="219" w:firstLine="500"/>
        <w:spacing w:after="0" w:line="243" w:lineRule="auto"/>
        <w:rPr>
          <w:sz w:val="20"/>
          <w:szCs w:val="20"/>
          <w:color w:val="auto"/>
        </w:rPr>
      </w:pPr>
      <w:r>
        <w:rPr>
          <w:rFonts w:ascii="Arial" w:cs="Arial" w:eastAsia="Arial" w:hAnsi="Arial"/>
          <w:sz w:val="18"/>
          <w:szCs w:val="18"/>
          <w:color w:val="auto"/>
        </w:rPr>
        <w:t>In connection with the Quarterly Report on Form 10-Q of InnovAge Holding Corp. (the “Company”) for the fiscal quarter ended September 30, 2021 as filed with the U.S. Securities and Exchange Commission (the “Report”), I, Maureen Hewitt, Chief Executive Officer of the Company, hereby certify, pursuant to 18 U.S.C. Section 1350, as adopted pursuant to Section 906 of the Sarbanes-Oxley Act of 2002, that, to my knowledge:</w:t>
      </w:r>
    </w:p>
    <w:p>
      <w:pPr>
        <w:spacing w:after="0" w:line="80" w:lineRule="exact"/>
        <w:rPr>
          <w:sz w:val="20"/>
          <w:szCs w:val="20"/>
          <w:color w:val="auto"/>
        </w:rPr>
      </w:pPr>
    </w:p>
    <w:p>
      <w:pPr>
        <w:ind w:left="1340" w:right="539" w:hanging="648"/>
        <w:spacing w:after="0" w:line="261"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9, 2021</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Hewitt</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Maureen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50" w:name="page51"/>
    <w:bookmarkEnd w:id="50"/>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16" w:lineRule="exact"/>
        <w:rPr>
          <w:sz w:val="20"/>
          <w:szCs w:val="20"/>
          <w:color w:val="auto"/>
        </w:rPr>
      </w:pPr>
    </w:p>
    <w:p>
      <w:pPr>
        <w:ind w:left="40" w:right="99" w:firstLine="500"/>
        <w:spacing w:after="0" w:line="243" w:lineRule="auto"/>
        <w:rPr>
          <w:sz w:val="20"/>
          <w:szCs w:val="20"/>
          <w:color w:val="auto"/>
        </w:rPr>
      </w:pPr>
      <w:r>
        <w:rPr>
          <w:rFonts w:ascii="Arial" w:cs="Arial" w:eastAsia="Arial" w:hAnsi="Arial"/>
          <w:sz w:val="18"/>
          <w:szCs w:val="18"/>
          <w:color w:val="auto"/>
        </w:rPr>
        <w:t>In connection with the Quarterly Report on Form 10-Q of InnovAge Holding Corp. (the “Company”) for the fiscal quarter ended September 30, 2021 as filed with the U.S. Securities and Exchange Commission (the “Report”), I, Barbara Gutierrez, Chief Financial Officer of the Company, hereby certify, pursuant to 18 U.S.C. Section 1350, as adopted pursuant to Section 906 of the Sarbanes-Oxley Act of 2002, that, to my knowledge:</w:t>
      </w:r>
    </w:p>
    <w:p>
      <w:pPr>
        <w:spacing w:after="0" w:line="80" w:lineRule="exact"/>
        <w:rPr>
          <w:sz w:val="20"/>
          <w:szCs w:val="20"/>
          <w:color w:val="auto"/>
        </w:rPr>
      </w:pPr>
    </w:p>
    <w:p>
      <w:pPr>
        <w:ind w:left="1340" w:right="539" w:hanging="64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9, 2021</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Gutierrez</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590"/>
    </w:lvl>
  </w:abstractNum>
  <w:abstractNum w:abstractNumId="6">
    <w:nsid w:val="4E6AFB66"/>
    <w:multiLevelType w:val="hybridMultilevel"/>
    <w:lvl w:ilvl="0">
      <w:lvlJc w:val="left"/>
      <w:lvlText w:val="%1"/>
      <w:numFmt w:val="decimal"/>
      <w:start w:val="368"/>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2"/>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lvl w:ilvl="1">
      <w:lvlJc w:val="left"/>
      <w:lvlText w:val="%2"/>
      <w:numFmt w:val="decimal"/>
      <w:start w:val="104"/>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3"/>
    </w:lvl>
  </w:abstractNum>
  <w:abstractNum w:abstractNumId="22">
    <w:nsid w:val="8EDBDAB"/>
    <w:multiLevelType w:val="hybridMultilevel"/>
    <w:lvl w:ilvl="0">
      <w:lvlJc w:val="left"/>
      <w:lvlText w:val="%1."/>
      <w:numFmt w:val="decimal"/>
      <w:start w:val="5"/>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70" Type="http://schemas.openxmlformats.org/officeDocument/2006/relationships/hyperlink" Target="https://www.sec.gov/Archives/edgar/data/1834376/000110465921033328/tm2037889d18_ex3-1.htm" TargetMode="External"/><Relationship Id="rId71" Type="http://schemas.openxmlformats.org/officeDocument/2006/relationships/hyperlink" Target="https://www.sec.gov/Archives/edgar/data/1834376/000110465921033328/tm2037889d1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2021-11-09T16:23:30Z</dcterms:created>
  <dcterms:modified xsi:type="dcterms:W3CDTF">2021-11-09T16:23:30Z</dcterms:modified>
</cp:coreProperties>
</file>