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7000840.xml.htm"/>
      <w:bookmarkStart w:id="1" w:name="kswkform3_178700084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Taheri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 E LOWRY BLVD</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InnovAge Holding Corp.</w:t>
              </w:r>
            </w:hyperlink>
            <w:r>
              <w:rPr/>
              <w:t xml:space="preserve"> [ </w:t>
            </w:r>
            <w:r>
              <w:rPr>
                <w:rFonts w:ascii="Times;serif" w:hAnsi="Times;serif"/>
                <w:color w:val="0000FF"/>
                <w:sz w:val="24"/>
                <w:shd w:fill="FFFFFF" w:val="clear"/>
              </w:rPr>
              <w:t>INNV</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38,765</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which will be settled in shares of common stock of the Issuer upon vesting, including (i) 17,361 RSUs which will vest ratably over three years beginning on January 27, 2027, and (ii) 21,404 RSUs which will vest ratably over three years beginning on July 22, 2027, in each case subject to the Reporting Person's continued service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D'Amato,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innv-section16filingspoa.htm"/>
      <w:bookmarkStart w:id="3" w:name="ksinnvsection16filingspoa"/>
      <w:bookmarkEnd w:id="2"/>
      <w:bookmarkEnd w:id="3"/>
      <w:r>
        <w:rPr/>
        <w:drawing>
          <wp:inline distT="0" distB="0" distL="0" distR="0">
            <wp:extent cx="7620000" cy="5886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FOR SECTION 16 REPORTING OBLIGATIONS August 17, 2026 KNOW ALL BY THESE PRESENTS, that the undersigned hereby constitutes and appoints each of Patrick Blair and Nicole D'Amato, signing singly, the undersigned's true and lawful attorney-in-fact to: (i) execute for and on behalf of the undersigned, in the undersigned's capacity as an officer and/or director and/or owner of greater than 10% of the outstanding common stock of InnovAge Holding Corp., a Delaware Corporation (the "Company"), Forms 3, 4 and 5 (including any amendments, supplements or exhibits thereto) in accordance with Section 16(a) of the Securities Exchange Act of 1934 and the rules thereunder; (ii) do and perform any and all acts for and on behalf of the undersigned which may be necessary or desirable to complete and execute any such Form 3, 4 or 5 (including any amendments, supplements or exhibits thereto) and timely file such form with the United States Securities and Exchange Commission (the "SEC") and any stock exchange or similar authority, including without limitation the filing of a Form ID or any other documents necessary or appropriate to enable the undersigned to file the Form 3, 4 and 5 electronically with the SEC; (iii)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each of the undersigned's attorneys-in-fact appointed by this Power of Attorney and ratifies any such release of information; and (iv)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the date first written above. By: /s/ Paul Taheri Name: Paul Taheri Title: Chief Medical Officer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8946" TargetMode="External"/><Relationship Id="rId3" Type="http://schemas.openxmlformats.org/officeDocument/2006/relationships/hyperlink" Target="http://www.sec.gov/cgi-bin/browse-edgar?action=getcompany&amp;CIK=000183437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1040</Words>
  <Characters>5584</Characters>
  <CharactersWithSpaces>6577</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innv-section16filingspoa</dc:title>
</cp:coreProperties>
</file>