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TCO GROUP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1226"/>
        <w:gridCol w:w="420"/>
        <w:gridCol w:w="642"/>
        <w:gridCol w:w="1421"/>
        <w:gridCol w:w="955"/>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p>
        </w:tc>
        <w:tc>
          <w:tcPr>
            <w:tcW w:w="1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102,576,555</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Reporting Person sold 10,000,000 shares of common stock, par value $0.001, of InnovAge Holding Corp. (the "Issuer") in an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common stock held directly by TCO Group Holdings, L.P. Voting and dispositive power with respect to the common stock held by TCO Group Holdings, L.P. is exercised by a committee of limited partners (the "LP Board"), pursuant to a delegation of authority from its limited partners. The LP Board is currently comprised of Thomas Scully and Sean Traynor (the "WCAS Designees"), and Andrew Cavanna and Pavithra Mahesh (the "Apax Designees"). The LP Board exercises its voting and dispositive power by majority vote, so long as one WCAS Designee and one Apax Designee comprise the majority.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Scully,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TCO Group Holdings,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76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3896</Characters>
  <CharactersWithSpaces>4545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