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w:t>
      </w:r>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w:t>
      </w:r>
    </w:p>
    <w:p>
      <w:pPr>
        <w:pStyle w:val="TextBody"/>
        <w:spacing w:lineRule="auto" w:line="288" w:before="60" w:after="283"/>
        <w:jc w:val="both"/>
        <w:rPr>
          <w:rFonts w:ascii="Times New Roman;sans-serif" w:hAnsi="Times New Roman;sans-serif"/>
          <w:b/>
          <w:color w:val="000000"/>
          <w:sz w:val="18"/>
        </w:rPr>
      </w:pPr>
      <w:r>
        <w:rPr>
          <w:rFonts w:ascii="Times New Roman;sans-serif" w:hAnsi="Times New Roman;sans-serif"/>
          <w:b/>
          <w:color w:val="000000"/>
          <w:sz w:val="18"/>
        </w:rPr>
        <w:t>(Mark One)</w:t>
      </w:r>
    </w:p>
    <w:p>
      <w:pPr>
        <w:pStyle w:val="TextBody"/>
        <w:spacing w:lineRule="auto" w:line="288" w:before="0" w:after="0"/>
        <w:jc w:val="center"/>
        <w:rPr/>
      </w:pPr>
      <w:r>
        <w:rPr>
          <w:rFonts w:ascii="Wingdings;sans-serif" w:hAnsi="Wingdings;sans-serif"/>
          <w:b/>
          <w:color w:val="000000"/>
          <w:sz w:val="18"/>
        </w:rPr>
        <w:t>x</w:t>
      </w:r>
      <w:r>
        <w:rPr>
          <w:color w:val="000000"/>
        </w:rPr>
        <w:t>                     </w:t>
      </w:r>
      <w:r>
        <w:rPr>
          <w:rFonts w:ascii="Times New Roman;sans-serif" w:hAnsi="Times New Roman;sans-serif"/>
          <w:b/>
          <w:color w:val="000000"/>
          <w:sz w:val="18"/>
        </w:rPr>
        <w:t>QUARTERLY REPORT PURSUANT TO SECTION 13 OR 15(d) OF THE SECURITIES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EXCHANGE ACT OF 1934</w:t>
      </w:r>
    </w:p>
    <w:p>
      <w:pPr>
        <w:pStyle w:val="TextBody"/>
        <w:spacing w:lineRule="auto" w:line="288" w:before="0" w:after="0"/>
        <w:ind w:left="0" w:right="0" w:firstLine="72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2023</w:t>
      </w:r>
    </w:p>
    <w:p>
      <w:pPr>
        <w:pStyle w:val="TextBody"/>
        <w:spacing w:lineRule="auto" w:line="288" w:before="60" w:after="283"/>
        <w:ind w:left="0" w:right="0" w:firstLine="720"/>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spacing w:lineRule="auto" w:line="288" w:before="60" w:after="283"/>
        <w:jc w:val="center"/>
        <w:rPr/>
      </w:pPr>
      <w:r>
        <w:rPr>
          <w:rFonts w:ascii="Wingdings;sans-serif" w:hAnsi="Wingdings;sans-serif"/>
          <w:b/>
          <w:color w:val="000000"/>
          <w:sz w:val="18"/>
        </w:rPr>
        <w:t>o</w:t>
      </w:r>
      <w:r>
        <w:rPr>
          <w:color w:val="000000"/>
        </w:rPr>
        <w:t>                     </w:t>
      </w:r>
      <w:r>
        <w:rPr>
          <w:rFonts w:ascii="Times New Roman;sans-serif" w:hAnsi="Times New Roman;sans-serif"/>
          <w:b/>
          <w:color w:val="000000"/>
          <w:sz w:val="18"/>
        </w:rPr>
        <w:t>TRANSITION REPORT PURSUANT TO SECTION 13 OR 15(d) OF THE SECURITIES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EXCHANGE ACT OF 1934</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_________ to _________</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Commission File Number: 001-40159</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w:t>
      </w:r>
    </w:p>
    <w:p>
      <w:pPr>
        <w:pStyle w:val="TextBody"/>
        <w:spacing w:before="0" w:after="0"/>
        <w:jc w:val="center"/>
        <w:rPr/>
      </w:pPr>
      <w:r>
        <w:rPr/>
        <w:drawing>
          <wp:inline distT="0" distB="63500" distL="0" distR="0">
            <wp:extent cx="188595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571500"/>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InnovAge Holding Corp.</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w:t>
      </w:r>
    </w:p>
    <w:tbl>
      <w:tblPr>
        <w:tblW w:w="4829" w:type="dxa"/>
        <w:jc w:val="left"/>
        <w:tblInd w:w="0" w:type="dxa"/>
        <w:tblCellMar>
          <w:top w:w="28" w:type="dxa"/>
          <w:left w:w="28" w:type="dxa"/>
          <w:bottom w:w="28" w:type="dxa"/>
          <w:right w:w="28" w:type="dxa"/>
        </w:tblCellMar>
      </w:tblPr>
      <w:tblGrid>
        <w:gridCol w:w="1091"/>
        <w:gridCol w:w="957"/>
        <w:gridCol w:w="967"/>
        <w:gridCol w:w="528"/>
        <w:gridCol w:w="528"/>
        <w:gridCol w:w="758"/>
      </w:tblGrid>
      <w:tr>
        <w:trPr/>
        <w:tc>
          <w:tcPr>
            <w:tcW w:w="1091"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81-0710819</w:t>
            </w:r>
          </w:p>
        </w:tc>
      </w:tr>
      <w:tr>
        <w:trPr/>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Number)</w:t>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8950 E. Lowry Boulevard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Denver, CO</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80230</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(844) 803-8745</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w:t>
      </w:r>
    </w:p>
    <w:p>
      <w:pPr>
        <w:pStyle w:val="TextBody"/>
        <w:spacing w:lineRule="auto" w:line="288" w:before="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Securities Act:</w:t>
      </w:r>
    </w:p>
    <w:tbl>
      <w:tblPr>
        <w:tblW w:w="9253" w:type="dxa"/>
        <w:jc w:val="left"/>
        <w:tblInd w:w="0" w:type="dxa"/>
        <w:tblCellMar>
          <w:top w:w="28" w:type="dxa"/>
          <w:left w:w="28" w:type="dxa"/>
          <w:bottom w:w="28" w:type="dxa"/>
          <w:right w:w="28" w:type="dxa"/>
        </w:tblCellMar>
      </w:tblPr>
      <w:tblGrid>
        <w:gridCol w:w="965"/>
        <w:gridCol w:w="849"/>
        <w:gridCol w:w="855"/>
        <w:gridCol w:w="519"/>
        <w:gridCol w:w="519"/>
        <w:gridCol w:w="521"/>
        <w:gridCol w:w="1472"/>
        <w:gridCol w:w="1472"/>
        <w:gridCol w:w="2081"/>
      </w:tblGrid>
      <w:tr>
        <w:trPr/>
        <w:tc>
          <w:tcPr>
            <w:tcW w:w="965"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472" w:type="dxa"/>
            <w:tcBorders/>
            <w:shd w:fill="auto" w:val="clear"/>
            <w:vAlign w:val="center"/>
          </w:tcPr>
          <w:p>
            <w:pPr>
              <w:pStyle w:val="TableContents"/>
              <w:spacing w:before="0" w:after="283"/>
              <w:rPr>
                <w:sz w:val="4"/>
                <w:szCs w:val="4"/>
              </w:rPr>
            </w:pPr>
            <w:r>
              <w:rPr>
                <w:sz w:val="4"/>
                <w:szCs w:val="4"/>
              </w:rPr>
            </w:r>
          </w:p>
        </w:tc>
        <w:tc>
          <w:tcPr>
            <w:tcW w:w="1472" w:type="dxa"/>
            <w:tcBorders/>
            <w:shd w:fill="auto" w:val="clear"/>
            <w:vAlign w:val="center"/>
          </w:tcPr>
          <w:p>
            <w:pPr>
              <w:pStyle w:val="TableContents"/>
              <w:spacing w:before="0" w:after="283"/>
              <w:rPr>
                <w:sz w:val="4"/>
                <w:szCs w:val="4"/>
              </w:rPr>
            </w:pPr>
            <w:r>
              <w:rPr>
                <w:sz w:val="4"/>
                <w:szCs w:val="4"/>
              </w:rPr>
            </w:r>
          </w:p>
        </w:tc>
        <w:tc>
          <w:tcPr>
            <w:tcW w:w="2081"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50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66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$0.001 par value</w:t>
            </w:r>
          </w:p>
        </w:tc>
        <w:tc>
          <w:tcPr>
            <w:tcW w:w="155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INNV</w:t>
            </w:r>
          </w:p>
        </w:tc>
        <w:tc>
          <w:tcPr>
            <w:tcW w:w="502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The Nasdaq Stock Market LLC (Nasdaq Global Select Market)</w:t>
            </w:r>
          </w:p>
        </w:tc>
      </w:tr>
    </w:tbl>
    <w:p>
      <w:pPr>
        <w:pStyle w:val="TextBody"/>
        <w:spacing w:lineRule="auto" w:line="288" w:before="120" w:after="283"/>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spacing w:lineRule="auto" w:line="288" w:before="120" w:after="283"/>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56" w:type="dxa"/>
        <w:jc w:val="left"/>
        <w:tblInd w:w="0" w:type="dxa"/>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09"/>
        <w:gridCol w:w="679"/>
        <w:gridCol w:w="679"/>
        <w:gridCol w:w="682"/>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spacing w:lineRule="auto" w:line="288" w:before="120" w:after="283"/>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spacing w:lineRule="auto" w:line="288" w:before="120" w:after="283"/>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May 8, 2023, there were 135,630,167 of the registrant’s common stock outstanding.</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2" name="Frame1"/>
                <a:graphic xmlns:a="http://schemas.openxmlformats.org/drawingml/2006/main">
                  <a:graphicData uri="http://schemas.microsoft.com/office/word/2010/wordprocessingShape">
                    <wps:wsp>
                      <wps:cNvSpPr txBox="1"/>
                      <wps:spPr>
                        <a:xfrm>
                          <a:off x="0" y="0"/>
                          <a:ext cx="6480175" cy="480060"/>
                        </a:xfrm>
                        <a:prstGeom prst="rect"/>
                      </wps:spPr>
                      <wps:txbx>
                        <w:txbxContent>
                          <w:p>
                            <w:pPr>
                              <w:pStyle w:val="TextBody"/>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480" w:after="600"/>
                        <w:jc w:val="center"/>
                        <w:rPr/>
                      </w:pPr>
                      <w:r>
                        <w:rPr/>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449"/>
        <w:gridCol w:w="381"/>
        <w:gridCol w:w="340"/>
        <w:gridCol w:w="2867"/>
        <w:gridCol w:w="2822"/>
        <w:gridCol w:w="2831"/>
        <w:gridCol w:w="149"/>
        <w:gridCol w:w="149"/>
        <w:gridCol w:w="217"/>
      </w:tblGrid>
      <w:tr>
        <w:trPr/>
        <w:tc>
          <w:tcPr>
            <w:tcW w:w="44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2867" w:type="dxa"/>
            <w:tcBorders/>
            <w:shd w:fill="auto" w:val="clear"/>
            <w:vAlign w:val="center"/>
          </w:tcPr>
          <w:p>
            <w:pPr>
              <w:pStyle w:val="TableContents"/>
              <w:spacing w:before="0" w:after="283"/>
              <w:rPr>
                <w:sz w:val="4"/>
                <w:szCs w:val="4"/>
              </w:rPr>
            </w:pPr>
            <w:r>
              <w:rPr>
                <w:sz w:val="4"/>
                <w:szCs w:val="4"/>
              </w:rPr>
            </w:r>
          </w:p>
        </w:tc>
        <w:tc>
          <w:tcPr>
            <w:tcW w:w="2822" w:type="dxa"/>
            <w:tcBorders/>
            <w:shd w:fill="auto" w:val="clear"/>
            <w:vAlign w:val="center"/>
          </w:tcPr>
          <w:p>
            <w:pPr>
              <w:pStyle w:val="TableContents"/>
              <w:spacing w:before="0" w:after="283"/>
              <w:rPr>
                <w:sz w:val="4"/>
                <w:szCs w:val="4"/>
              </w:rPr>
            </w:pPr>
            <w:r>
              <w:rPr>
                <w:sz w:val="4"/>
                <w:szCs w:val="4"/>
              </w:rPr>
            </w:r>
          </w:p>
        </w:tc>
        <w:tc>
          <w:tcPr>
            <w:tcW w:w="283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3">
              <w:r>
                <w:rPr>
                  <w:rStyle w:val="InternetLink"/>
                  <w:rFonts w:ascii="Times New Roman;sans-serif" w:hAnsi="Times New Roman;sans-serif"/>
                  <w:b/>
                  <w:color w:val="0000FF"/>
                  <w:sz w:val="20"/>
                  <w:u w:val="single"/>
                </w:rPr>
                <w:t>Part I</w:t>
              </w:r>
            </w:hyperlink>
          </w:p>
        </w:tc>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3">
              <w:r>
                <w:rPr>
                  <w:rStyle w:val="InternetLink"/>
                  <w:rFonts w:ascii="Times New Roman;sans-serif" w:hAnsi="Times New Roman;sans-serif"/>
                  <w:b/>
                  <w:color w:val="0000FF"/>
                  <w:sz w:val="20"/>
                  <w:u w:val="single"/>
                </w:rPr>
                <w:t>Financial Information</w:t>
              </w:r>
            </w:hyperlink>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6">
              <w:r>
                <w:rPr>
                  <w:rStyle w:val="InternetLink"/>
                  <w:rFonts w:ascii="Times New Roman;sans-serif" w:hAnsi="Times New Roman;sans-serif"/>
                  <w:b w:val="false"/>
                  <w:color w:val="0000FF"/>
                  <w:sz w:val="20"/>
                  <w:u w:val="single"/>
                </w:rPr>
                <w:t>Item 1.</w:t>
              </w:r>
            </w:hyperlink>
          </w:p>
        </w:tc>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6">
              <w:r>
                <w:rPr>
                  <w:rStyle w:val="InternetLink"/>
                  <w:rFonts w:ascii="Times New Roman;sans-serif" w:hAnsi="Times New Roman;sans-serif"/>
                  <w:b w:val="false"/>
                  <w:color w:val="0000FF"/>
                  <w:sz w:val="20"/>
                  <w:u w:val="single"/>
                </w:rPr>
                <w:t>Financial Statements (Unaudited)</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68dc42382174974a6ff018886b25687_16">
              <w:r>
                <w:rPr>
                  <w:rStyle w:val="InternetLink"/>
                  <w:rFonts w:ascii="Times New Roman;sans-serif" w:hAnsi="Times New Roman;sans-serif"/>
                  <w:b w:val="false"/>
                  <w:strike w:val="false"/>
                  <w:dstrike w:val="false"/>
                  <w:color w:val="000000"/>
                  <w:sz w:val="20"/>
                  <w:u w:val="none"/>
                  <w:effect w:val="none"/>
                </w:rPr>
                <w:t>5</w:t>
              </w:r>
            </w:hyperlink>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9">
              <w:r>
                <w:rPr>
                  <w:rStyle w:val="InternetLink"/>
                  <w:rFonts w:ascii="Times New Roman;sans-serif" w:hAnsi="Times New Roman;sans-serif"/>
                  <w:b w:val="false"/>
                  <w:color w:val="0000FF"/>
                  <w:sz w:val="20"/>
                  <w:u w:val="single"/>
                </w:rPr>
                <w:t xml:space="preserve">Condensed Consolidated Balance Sheets as of March 31, 2023 (Unaudited) and June 30, 2022 </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68dc42382174974a6ff018886b25687_19">
              <w:r>
                <w:rPr>
                  <w:rStyle w:val="InternetLink"/>
                  <w:rFonts w:ascii="Times New Roman;sans-serif" w:hAnsi="Times New Roman;sans-serif"/>
                  <w:b w:val="false"/>
                  <w:strike w:val="false"/>
                  <w:dstrike w:val="false"/>
                  <w:color w:val="000000"/>
                  <w:sz w:val="20"/>
                  <w:u w:val="none"/>
                  <w:effect w:val="none"/>
                </w:rPr>
                <w:t>5</w:t>
              </w:r>
            </w:hyperlink>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22">
              <w:r>
                <w:rPr>
                  <w:rStyle w:val="InternetLink"/>
                  <w:rFonts w:ascii="Times New Roman;sans-serif" w:hAnsi="Times New Roman;sans-serif"/>
                  <w:b w:val="false"/>
                  <w:color w:val="0000FF"/>
                  <w:sz w:val="20"/>
                  <w:u w:val="single"/>
                </w:rPr>
                <w:t>Condensed Consolidated Statements of Operations for the three and nine months ended March 31, 2023 and 2022 (Unaudited)</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68dc42382174974a6ff018886b25687_22">
              <w:r>
                <w:rPr>
                  <w:rStyle w:val="InternetLink"/>
                  <w:rFonts w:ascii="Times New Roman;sans-serif" w:hAnsi="Times New Roman;sans-serif"/>
                  <w:b w:val="false"/>
                  <w:strike w:val="false"/>
                  <w:dstrike w:val="false"/>
                  <w:color w:val="000000"/>
                  <w:sz w:val="20"/>
                  <w:u w:val="none"/>
                  <w:effect w:val="none"/>
                </w:rPr>
                <w:t>6</w:t>
              </w:r>
            </w:hyperlink>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25">
              <w:r>
                <w:rPr>
                  <w:rStyle w:val="InternetLink"/>
                  <w:rFonts w:ascii="Times New Roman;sans-serif" w:hAnsi="Times New Roman;sans-serif"/>
                  <w:b w:val="false"/>
                  <w:color w:val="0000FF"/>
                  <w:sz w:val="20"/>
                  <w:u w:val="single"/>
                </w:rPr>
                <w:t>Condensed Consolidated Statements of Stockholders’ Equity for the three and nine months ended March 31, 2023 and 2022 (Unaudited)</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68dc42382174974a6ff018886b25687_25">
              <w:r>
                <w:rPr>
                  <w:rStyle w:val="InternetLink"/>
                  <w:rFonts w:ascii="Times New Roman;sans-serif" w:hAnsi="Times New Roman;sans-serif"/>
                  <w:b w:val="false"/>
                  <w:strike w:val="false"/>
                  <w:dstrike w:val="false"/>
                  <w:color w:val="000000"/>
                  <w:sz w:val="20"/>
                  <w:u w:val="none"/>
                  <w:effect w:val="none"/>
                </w:rPr>
                <w:t>7</w:t>
              </w:r>
            </w:hyperlink>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28">
              <w:r>
                <w:rPr>
                  <w:rStyle w:val="InternetLink"/>
                  <w:rFonts w:ascii="Times New Roman;sans-serif" w:hAnsi="Times New Roman;sans-serif"/>
                  <w:b w:val="false"/>
                  <w:color w:val="0000FF"/>
                  <w:sz w:val="20"/>
                  <w:u w:val="single"/>
                </w:rPr>
                <w:t>Condensed Consolidated Statements of Cash Flows for the nine months ended March 31, 2023 and 2022 (Unaudited)</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68dc42382174974a6ff018886b25687_28">
              <w:r>
                <w:rPr>
                  <w:rStyle w:val="InternetLink"/>
                  <w:rFonts w:ascii="Times New Roman;sans-serif" w:hAnsi="Times New Roman;sans-serif"/>
                  <w:b w:val="false"/>
                  <w:strike w:val="false"/>
                  <w:dstrike w:val="false"/>
                  <w:color w:val="000000"/>
                  <w:sz w:val="20"/>
                  <w:u w:val="none"/>
                  <w:effect w:val="none"/>
                </w:rPr>
                <w:t>9</w:t>
              </w:r>
            </w:hyperlink>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31">
              <w:r>
                <w:rPr>
                  <w:rStyle w:val="InternetLink"/>
                </w:rPr>
                <w:t xml:space="preserve">Notes to Condensed Consolidated Financial Statements as of </w:t>
              </w:r>
            </w:hyperlink>
            <w:hyperlink w:anchor="i968dc42382174974a6ff018886b25687_31">
              <w:r>
                <w:rPr>
                  <w:rStyle w:val="InternetLink"/>
                </w:rPr>
                <w:t>March</w:t>
              </w:r>
            </w:hyperlink>
            <w:hyperlink w:anchor="i968dc42382174974a6ff018886b25687_31">
              <w:r>
                <w:rPr>
                  <w:rStyle w:val="InternetLink"/>
                </w:rPr>
                <w:t xml:space="preserve"> 31, 202</w:t>
              </w:r>
            </w:hyperlink>
            <w:hyperlink w:anchor="i968dc42382174974a6ff018886b25687_31">
              <w:r>
                <w:rPr>
                  <w:rStyle w:val="InternetLink"/>
                </w:rPr>
                <w:t>3</w:t>
              </w:r>
            </w:hyperlink>
            <w:hyperlink w:anchor="i968dc42382174974a6ff018886b25687_31">
              <w:r>
                <w:rPr>
                  <w:rStyle w:val="InternetLink"/>
                </w:rPr>
                <w:t xml:space="preserve"> (Unaudited)</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68dc42382174974a6ff018886b25687_31">
              <w:r>
                <w:rPr>
                  <w:rStyle w:val="InternetLink"/>
                  <w:rFonts w:ascii="Times New Roman;sans-serif" w:hAnsi="Times New Roman;sans-serif"/>
                  <w:b w:val="false"/>
                  <w:strike w:val="false"/>
                  <w:dstrike w:val="false"/>
                  <w:color w:val="000000"/>
                  <w:sz w:val="20"/>
                  <w:u w:val="none"/>
                  <w:effect w:val="none"/>
                </w:rPr>
                <w:t>10</w:t>
              </w:r>
            </w:hyperlink>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82">
              <w:r>
                <w:rPr>
                  <w:rStyle w:val="InternetLink"/>
                  <w:rFonts w:ascii="Times New Roman;sans-serif" w:hAnsi="Times New Roman;sans-serif"/>
                  <w:b w:val="false"/>
                  <w:color w:val="0000FF"/>
                  <w:sz w:val="20"/>
                  <w:u w:val="single"/>
                </w:rPr>
                <w:t>Item 2.</w:t>
              </w:r>
            </w:hyperlink>
          </w:p>
        </w:tc>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68dc42382174974a6ff018886b25687_82">
              <w:r>
                <w:rPr>
                  <w:rStyle w:val="InternetLink"/>
                  <w:rFonts w:ascii="Times New Roman;sans-serif" w:hAnsi="Times New Roman;sans-serif"/>
                  <w:b w:val="false"/>
                  <w:strike w:val="false"/>
                  <w:dstrike w:val="false"/>
                  <w:color w:val="000000"/>
                  <w:sz w:val="20"/>
                  <w:u w:val="none"/>
                  <w:effect w:val="none"/>
                </w:rPr>
                <w:t>28</w:t>
              </w:r>
            </w:hyperlink>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09">
              <w:r>
                <w:rPr>
                  <w:rStyle w:val="InternetLink"/>
                  <w:rFonts w:ascii="Times New Roman;sans-serif" w:hAnsi="Times New Roman;sans-serif"/>
                  <w:b w:val="false"/>
                  <w:color w:val="0000FF"/>
                  <w:sz w:val="20"/>
                  <w:u w:val="single"/>
                </w:rPr>
                <w:t>Item 3.</w:t>
              </w:r>
            </w:hyperlink>
          </w:p>
        </w:tc>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09">
              <w:r>
                <w:rPr>
                  <w:rStyle w:val="InternetLink"/>
                  <w:rFonts w:ascii="Times New Roman;sans-serif" w:hAnsi="Times New Roman;sans-serif"/>
                  <w:b w:val="false"/>
                  <w:color w:val="0000FF"/>
                  <w:sz w:val="20"/>
                  <w:u w:val="single"/>
                </w:rPr>
                <w:t>Quantitative and Qualitative Disclosures About Market Risk</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68dc42382174974a6ff018886b25687_109">
              <w:r>
                <w:rPr>
                  <w:rStyle w:val="InternetLink"/>
                  <w:rFonts w:ascii="Times New Roman;sans-serif" w:hAnsi="Times New Roman;sans-serif"/>
                  <w:b w:val="false"/>
                  <w:strike w:val="false"/>
                  <w:dstrike w:val="false"/>
                  <w:color w:val="000000"/>
                  <w:sz w:val="20"/>
                  <w:u w:val="none"/>
                  <w:effect w:val="none"/>
                </w:rPr>
                <w:t>42</w:t>
              </w:r>
            </w:hyperlink>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12">
              <w:r>
                <w:rPr>
                  <w:rStyle w:val="InternetLink"/>
                  <w:rFonts w:ascii="Times New Roman;sans-serif" w:hAnsi="Times New Roman;sans-serif"/>
                  <w:b w:val="false"/>
                  <w:color w:val="0000FF"/>
                  <w:sz w:val="20"/>
                  <w:u w:val="single"/>
                </w:rPr>
                <w:t>Item 4.</w:t>
              </w:r>
            </w:hyperlink>
          </w:p>
        </w:tc>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12">
              <w:r>
                <w:rPr>
                  <w:rStyle w:val="InternetLink"/>
                  <w:rFonts w:ascii="Times New Roman;sans-serif" w:hAnsi="Times New Roman;sans-serif"/>
                  <w:b w:val="false"/>
                  <w:color w:val="0000FF"/>
                  <w:sz w:val="20"/>
                  <w:u w:val="single"/>
                </w:rPr>
                <w:t>Controls and Procedures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68dc42382174974a6ff018886b25687_112">
              <w:r>
                <w:rPr>
                  <w:rStyle w:val="InternetLink"/>
                  <w:rFonts w:ascii="Times New Roman;sans-serif" w:hAnsi="Times New Roman;sans-serif"/>
                  <w:b w:val="false"/>
                  <w:strike w:val="false"/>
                  <w:dstrike w:val="false"/>
                  <w:color w:val="000000"/>
                  <w:sz w:val="20"/>
                  <w:u w:val="none"/>
                  <w:effect w:val="none"/>
                </w:rPr>
                <w:t>42</w:t>
              </w:r>
            </w:hyperlink>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15">
              <w:r>
                <w:rPr>
                  <w:rStyle w:val="InternetLink"/>
                  <w:rFonts w:ascii="Times New Roman;sans-serif" w:hAnsi="Times New Roman;sans-serif"/>
                  <w:b/>
                  <w:color w:val="0000FF"/>
                  <w:sz w:val="20"/>
                  <w:u w:val="single"/>
                </w:rPr>
                <w:t>Part II</w:t>
              </w:r>
            </w:hyperlink>
          </w:p>
        </w:tc>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15">
              <w:r>
                <w:rPr>
                  <w:rStyle w:val="InternetLink"/>
                  <w:rFonts w:ascii="Times New Roman;sans-serif" w:hAnsi="Times New Roman;sans-serif"/>
                  <w:b/>
                  <w:color w:val="0000FF"/>
                  <w:sz w:val="20"/>
                  <w:u w:val="single"/>
                </w:rPr>
                <w:t>Other Information</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68dc42382174974a6ff018886b25687_115">
              <w:r>
                <w:rPr>
                  <w:rStyle w:val="InternetLink"/>
                  <w:rFonts w:ascii="Times New Roman;sans-serif" w:hAnsi="Times New Roman;sans-serif"/>
                  <w:b w:val="false"/>
                  <w:strike w:val="false"/>
                  <w:dstrike w:val="false"/>
                  <w:color w:val="000000"/>
                  <w:sz w:val="20"/>
                  <w:u w:val="none"/>
                  <w:effect w:val="none"/>
                </w:rPr>
                <w:t>44</w:t>
              </w:r>
            </w:hyperlink>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18">
              <w:r>
                <w:rPr>
                  <w:rStyle w:val="InternetLink"/>
                  <w:rFonts w:ascii="Times New Roman;sans-serif" w:hAnsi="Times New Roman;sans-serif"/>
                  <w:b w:val="false"/>
                  <w:color w:val="0000FF"/>
                  <w:sz w:val="20"/>
                  <w:u w:val="single"/>
                </w:rPr>
                <w:t>Item 1.</w:t>
              </w:r>
            </w:hyperlink>
          </w:p>
        </w:tc>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18">
              <w:r>
                <w:rPr>
                  <w:rStyle w:val="InternetLink"/>
                  <w:rFonts w:ascii="Times New Roman;sans-serif" w:hAnsi="Times New Roman;sans-serif"/>
                  <w:b w:val="false"/>
                  <w:color w:val="0000FF"/>
                  <w:sz w:val="20"/>
                  <w:u w:val="single"/>
                </w:rPr>
                <w:t>Legal Proceedings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68dc42382174974a6ff018886b25687_118">
              <w:r>
                <w:rPr>
                  <w:rStyle w:val="InternetLink"/>
                  <w:rFonts w:ascii="Times New Roman;sans-serif" w:hAnsi="Times New Roman;sans-serif"/>
                  <w:b w:val="false"/>
                  <w:strike w:val="false"/>
                  <w:dstrike w:val="false"/>
                  <w:color w:val="000000"/>
                  <w:sz w:val="20"/>
                  <w:u w:val="none"/>
                  <w:effect w:val="none"/>
                </w:rPr>
                <w:t>44</w:t>
              </w:r>
            </w:hyperlink>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21">
              <w:r>
                <w:rPr>
                  <w:rStyle w:val="InternetLink"/>
                  <w:rFonts w:ascii="Times New Roman;sans-serif" w:hAnsi="Times New Roman;sans-serif"/>
                  <w:b w:val="false"/>
                  <w:color w:val="0000FF"/>
                  <w:sz w:val="20"/>
                  <w:u w:val="single"/>
                </w:rPr>
                <w:t>Item 1A.</w:t>
              </w:r>
            </w:hyperlink>
          </w:p>
        </w:tc>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21">
              <w:r>
                <w:rPr>
                  <w:rStyle w:val="InternetLink"/>
                  <w:rFonts w:ascii="Times New Roman;sans-serif" w:hAnsi="Times New Roman;sans-serif"/>
                  <w:b w:val="false"/>
                  <w:color w:val="0000FF"/>
                  <w:sz w:val="20"/>
                  <w:u w:val="single"/>
                </w:rPr>
                <w:t>Risk Factors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68dc42382174974a6ff018886b25687_121">
              <w:r>
                <w:rPr>
                  <w:rStyle w:val="InternetLink"/>
                  <w:rFonts w:ascii="Times New Roman;sans-serif" w:hAnsi="Times New Roman;sans-serif"/>
                  <w:b w:val="false"/>
                  <w:strike w:val="false"/>
                  <w:dstrike w:val="false"/>
                  <w:color w:val="000000"/>
                  <w:sz w:val="20"/>
                  <w:u w:val="none"/>
                  <w:effect w:val="none"/>
                </w:rPr>
                <w:t>44</w:t>
              </w:r>
            </w:hyperlink>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24">
              <w:r>
                <w:rPr>
                  <w:rStyle w:val="InternetLink"/>
                  <w:rFonts w:ascii="Times New Roman;sans-serif" w:hAnsi="Times New Roman;sans-serif"/>
                  <w:b w:val="false"/>
                  <w:color w:val="0000FF"/>
                  <w:sz w:val="20"/>
                  <w:u w:val="single"/>
                </w:rPr>
                <w:t>Item 2.</w:t>
              </w:r>
            </w:hyperlink>
          </w:p>
        </w:tc>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24">
              <w:r>
                <w:rPr>
                  <w:rStyle w:val="InternetLink"/>
                  <w:rFonts w:ascii="Times New Roman;sans-serif" w:hAnsi="Times New Roman;sans-serif"/>
                  <w:b w:val="false"/>
                  <w:color w:val="0000FF"/>
                  <w:sz w:val="20"/>
                  <w:u w:val="single"/>
                </w:rPr>
                <w:t>Unregistered Sales of Equity Securities and Use of Proceeds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68dc42382174974a6ff018886b25687_124">
              <w:r>
                <w:rPr>
                  <w:rStyle w:val="InternetLink"/>
                  <w:rFonts w:ascii="Times New Roman;sans-serif" w:hAnsi="Times New Roman;sans-serif"/>
                  <w:b w:val="false"/>
                  <w:strike w:val="false"/>
                  <w:dstrike w:val="false"/>
                  <w:color w:val="000000"/>
                  <w:sz w:val="20"/>
                  <w:u w:val="none"/>
                  <w:effect w:val="none"/>
                </w:rPr>
                <w:t>44</w:t>
              </w:r>
            </w:hyperlink>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27">
              <w:r>
                <w:rPr>
                  <w:rStyle w:val="InternetLink"/>
                  <w:rFonts w:ascii="Times New Roman;sans-serif" w:hAnsi="Times New Roman;sans-serif"/>
                  <w:b w:val="false"/>
                  <w:color w:val="0000FF"/>
                  <w:sz w:val="20"/>
                  <w:u w:val="single"/>
                </w:rPr>
                <w:t>Item 3.</w:t>
              </w:r>
            </w:hyperlink>
          </w:p>
        </w:tc>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27">
              <w:r>
                <w:rPr>
                  <w:rStyle w:val="InternetLink"/>
                  <w:rFonts w:ascii="Times New Roman;sans-serif" w:hAnsi="Times New Roman;sans-serif"/>
                  <w:b w:val="false"/>
                  <w:color w:val="0000FF"/>
                  <w:sz w:val="20"/>
                  <w:u w:val="single"/>
                </w:rPr>
                <w:t>Defaults Upon Senior Securities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68dc42382174974a6ff018886b25687_127">
              <w:r>
                <w:rPr>
                  <w:rStyle w:val="InternetLink"/>
                  <w:rFonts w:ascii="Times New Roman;sans-serif" w:hAnsi="Times New Roman;sans-serif"/>
                  <w:b w:val="false"/>
                  <w:strike w:val="false"/>
                  <w:dstrike w:val="false"/>
                  <w:color w:val="000000"/>
                  <w:sz w:val="20"/>
                  <w:u w:val="none"/>
                  <w:effect w:val="none"/>
                </w:rPr>
                <w:t>44</w:t>
              </w:r>
            </w:hyperlink>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30">
              <w:r>
                <w:rPr>
                  <w:rStyle w:val="InternetLink"/>
                  <w:rFonts w:ascii="Times New Roman;sans-serif" w:hAnsi="Times New Roman;sans-serif"/>
                  <w:b w:val="false"/>
                  <w:color w:val="0000FF"/>
                  <w:sz w:val="20"/>
                  <w:u w:val="single"/>
                </w:rPr>
                <w:t>Item 4.</w:t>
              </w:r>
            </w:hyperlink>
          </w:p>
        </w:tc>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30">
              <w:r>
                <w:rPr>
                  <w:rStyle w:val="InternetLink"/>
                  <w:rFonts w:ascii="Times New Roman;sans-serif" w:hAnsi="Times New Roman;sans-serif"/>
                  <w:b w:val="false"/>
                  <w:color w:val="0000FF"/>
                  <w:sz w:val="20"/>
                  <w:u w:val="single"/>
                </w:rPr>
                <w:t>Mine Safety Disclosures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68dc42382174974a6ff018886b25687_130">
              <w:r>
                <w:rPr>
                  <w:rStyle w:val="InternetLink"/>
                  <w:rFonts w:ascii="Times New Roman;sans-serif" w:hAnsi="Times New Roman;sans-serif"/>
                  <w:b w:val="false"/>
                  <w:strike w:val="false"/>
                  <w:dstrike w:val="false"/>
                  <w:color w:val="000000"/>
                  <w:sz w:val="20"/>
                  <w:u w:val="none"/>
                  <w:effect w:val="none"/>
                </w:rPr>
                <w:t>44</w:t>
              </w:r>
            </w:hyperlink>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33">
              <w:r>
                <w:rPr>
                  <w:rStyle w:val="InternetLink"/>
                  <w:rFonts w:ascii="Times New Roman;sans-serif" w:hAnsi="Times New Roman;sans-serif"/>
                  <w:b w:val="false"/>
                  <w:color w:val="0000FF"/>
                  <w:sz w:val="20"/>
                  <w:u w:val="single"/>
                </w:rPr>
                <w:t>Item 5.</w:t>
              </w:r>
            </w:hyperlink>
          </w:p>
        </w:tc>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33">
              <w:r>
                <w:rPr>
                  <w:rStyle w:val="InternetLink"/>
                  <w:rFonts w:ascii="Times New Roman;sans-serif" w:hAnsi="Times New Roman;sans-serif"/>
                  <w:b w:val="false"/>
                  <w:color w:val="0000FF"/>
                  <w:sz w:val="20"/>
                  <w:u w:val="single"/>
                </w:rPr>
                <w:t>Other Information</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68dc42382174974a6ff018886b25687_133">
              <w:r>
                <w:rPr>
                  <w:rStyle w:val="InternetLink"/>
                  <w:rFonts w:ascii="Times New Roman;sans-serif" w:hAnsi="Times New Roman;sans-serif"/>
                  <w:b w:val="false"/>
                  <w:strike w:val="false"/>
                  <w:dstrike w:val="false"/>
                  <w:color w:val="000000"/>
                  <w:sz w:val="20"/>
                  <w:u w:val="none"/>
                  <w:effect w:val="none"/>
                </w:rPr>
                <w:t>44</w:t>
              </w:r>
            </w:hyperlink>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36">
              <w:r>
                <w:rPr>
                  <w:rStyle w:val="InternetLink"/>
                  <w:rFonts w:ascii="Times New Roman;sans-serif" w:hAnsi="Times New Roman;sans-serif"/>
                  <w:b w:val="false"/>
                  <w:color w:val="0000FF"/>
                  <w:sz w:val="20"/>
                  <w:u w:val="single"/>
                </w:rPr>
                <w:t>Item 6.</w:t>
              </w:r>
            </w:hyperlink>
          </w:p>
        </w:tc>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36">
              <w:r>
                <w:rPr>
                  <w:rStyle w:val="InternetLink"/>
                  <w:rFonts w:ascii="Times New Roman;sans-serif" w:hAnsi="Times New Roman;sans-serif"/>
                  <w:b w:val="false"/>
                  <w:color w:val="0000FF"/>
                  <w:sz w:val="20"/>
                  <w:u w:val="single"/>
                </w:rPr>
                <w:t>Exhibits</w:t>
              </w:r>
            </w:hyperlink>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68dc42382174974a6ff018886b25687_136">
              <w:r>
                <w:rPr>
                  <w:rStyle w:val="InternetLink"/>
                  <w:rFonts w:ascii="Times New Roman;sans-serif" w:hAnsi="Times New Roman;sans-serif"/>
                  <w:b w:val="false"/>
                  <w:strike w:val="false"/>
                  <w:dstrike w:val="false"/>
                  <w:color w:val="000000"/>
                  <w:sz w:val="20"/>
                  <w:u w:val="none"/>
                  <w:effect w:val="none"/>
                </w:rPr>
                <w:t>45</w:t>
              </w:r>
            </w:hyperlink>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39">
              <w:r>
                <w:rPr>
                  <w:rStyle w:val="InternetLink"/>
                  <w:rFonts w:ascii="Times New Roman;sans-serif" w:hAnsi="Times New Roman;sans-serif"/>
                  <w:b w:val="false"/>
                  <w:color w:val="0000FF"/>
                  <w:sz w:val="20"/>
                  <w:u w:val="single"/>
                </w:rPr>
                <w:t>Exhibit Index</w:t>
              </w:r>
            </w:hyperlink>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68dc42382174974a6ff018886b25687_139">
              <w:r>
                <w:rPr>
                  <w:rStyle w:val="InternetLink"/>
                  <w:rFonts w:ascii="Times New Roman;sans-serif" w:hAnsi="Times New Roman;sans-serif"/>
                  <w:b w:val="false"/>
                  <w:strike w:val="false"/>
                  <w:dstrike w:val="false"/>
                  <w:color w:val="000000"/>
                  <w:sz w:val="20"/>
                  <w:u w:val="none"/>
                  <w:effect w:val="none"/>
                </w:rPr>
                <w:t>45</w:t>
              </w:r>
            </w:hyperlink>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68dc42382174974a6ff018886b25687_142">
              <w:r>
                <w:rPr>
                  <w:rStyle w:val="InternetLink"/>
                  <w:rFonts w:ascii="Times New Roman;sans-serif" w:hAnsi="Times New Roman;sans-serif"/>
                  <w:b w:val="false"/>
                  <w:color w:val="0000FF"/>
                  <w:sz w:val="20"/>
                  <w:u w:val="single"/>
                </w:rPr>
                <w:t>Signatures</w:t>
              </w:r>
            </w:hyperlink>
          </w:p>
        </w:tc>
        <w:tc>
          <w:tcPr>
            <w:tcW w:w="8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68dc42382174974a6ff018886b25687_142">
              <w:r>
                <w:rPr>
                  <w:rStyle w:val="InternetLink"/>
                  <w:rFonts w:ascii="Times New Roman;sans-serif" w:hAnsi="Times New Roman;sans-serif"/>
                  <w:b w:val="false"/>
                  <w:strike w:val="false"/>
                  <w:dstrike w:val="false"/>
                  <w:color w:val="000000"/>
                  <w:sz w:val="20"/>
                  <w:u w:val="none"/>
                  <w:effect w:val="none"/>
                </w:rPr>
                <w:t>46</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InnovAge Holding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240" w:after="283"/>
        <w:jc w:val="center"/>
        <w:rPr>
          <w:rFonts w:ascii="Times New Roman;sans-serif" w:hAnsi="Times New Roman;sans-serif"/>
          <w:b/>
          <w:i/>
          <w:color w:val="000000"/>
          <w:sz w:val="20"/>
        </w:rPr>
      </w:pPr>
      <w:r>
        <w:rPr>
          <w:rFonts w:ascii="Times New Roman;sans-serif" w:hAnsi="Times New Roman;sans-serif"/>
          <w:b/>
          <w:i/>
          <w:color w:val="000000"/>
          <w:sz w:val="20"/>
        </w:rPr>
        <w:t>Cautionary Note on Forward-Looking Statements</w:t>
      </w:r>
    </w:p>
    <w:p>
      <w:pPr>
        <w:pStyle w:val="TextBody"/>
        <w:spacing w:lineRule="auto" w:line="288" w:before="240" w:after="283"/>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Forward-looking statements may be identified by the fact that they do not relate strictly to historical or current facts and may include statements about our expectations with respect to current audits and legal proceedings and actions, relationships and discussions with regulatory agencies, our expectations with respect to correcting deficiencies raised in audits and other processes, and our expectations to increase the number of participants we serve, to grow enrollment and capacity within existing centers, to build de novo centers, and other similar statements. The forward-looking statements contained in this Quarterly Report on Form 10-Q are generally located in the material set forth under the heading “Management’s Discussion and Analysis of Financial Condition and Results of Operations,” included in Part I, Item 2, and “Risk Factors,” included in Part II, Item 1A,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the results of periodic inspections, reviews, audits and investigations under the federal and state government programs, including our ability to sufficiently cure any deficiencies identified by the respective federal and state government programs;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adverse impact of inspections, reviews, audits, investigations, legal proceedings, enforcement actions and litigation, including the current civil investigative demands initiated by federal and state agencies, as well as the litigation and other proceedings initiated by, or on behalf, of our stockholders;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effects of a pandemic, epidemic or outbreak of an infectious disease, including the ongoing effects of COVID-19;</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enroll or attract new participants and grow our revenue throughout our existing centers;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establish a presence in new geographic markets, especially as a result of the actions taken by certain states and us in light of our audit processes;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risk that the cost of providing services will exceed our compensation under the Program of All Inclusive Care for the Elderly (“PACE”);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dependence of our revenues and operations upon a limited number of government payors;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the rules governing the Medicare, Medicaid or PACE programs or applicable licensure requirements, including the effects of the expiration of the national emergency and public health emergency declarations related to the COVID-19 pandemic;</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risk that our submissions to government payors may contain inaccurate or unsupportable information, including regarding risk adjustment scores of participants;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viability of our business strategy and our ability to realize expected results;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on our business of renegotiation, non-renewal or termination of capitation agreements with government payors;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state and federal efforts to reduce healthcare spending;</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on our business from an economic downturn or recession;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dependence on our senior management team and other key employees;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sustained inflation on our business;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failures by our suppliers, sustained material price increases on supplies or limitations on our ability to access new technology or medical products;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our relatively limited operating history as a for-profit company on investors’ ability to evaluate our current business and future prospects;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concentration of our presence in Colorado;</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manage our operations effectively, execute our business plan, maintain effective levels of service and participant satisfaction and adequately address competitive challenges;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compete in the healthcare industry;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competition for physicians and other clinical personnel and related increases in our labor costs;</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on our business of security breaches, loss of data or other disruptions causing the compromise of sensitive information or preventing us from accessing critical information;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effectively invest in, implement improvements to and properly maintain the uninterrupted operation and data integrity of our information technology and other business systems;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accurately estimate incurred but not reported medical expense or the risk scores of our participants;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risks associated with our use of “open-source” software;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on our business of the termination of our leases, increases in rent or inability to renew or extend leases;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maintain our corporate culture;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negative publicity regarding the managed healthcare industry;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weather and other factors beyond our control;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adhere to complex and changing government laws and regulations in the healthcare industry, including U.S. Healthcare reform, the regulation of the corporate practice of medicine and the Health Information Technology for Economic and Clinical Health Act of 2009 (the “HITECH Act”), and their implementing regulations (collectively, “HIPAA”), the California Consumer Privacy Act (“CCPA”) and other privacy laws and regulations in the healthcare industry;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status as a “controlled company”;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maintain effective internal controls over financial reporting and other enhanced requirements of being a public company;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maintain and enhance our reputation and brand recognition;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on our business of disruptions in our disaster recovery systems or business continuity planning;</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accounting principles and guidance, resulting in unfavorable accounting charges or effects; and other factors disclosed in the section entitled “Risk Factors” in our Annual Report for the year ended June 30, 2022 filed with the Securities and Exchange Commission (the “SEC”) on September 13, 2022, and our subsequent filings with the SEC.</w:t>
      </w:r>
    </w:p>
    <w:p>
      <w:pPr>
        <w:pStyle w:val="TextBody"/>
        <w:spacing w:lineRule="auto" w:line="288" w:before="240" w:after="283"/>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written and oral forward-looking statements attributable to us, or persons acting on our behalf, are expressly qualified in their entirety by these cautionary statements as well as other cautionary statements that are made from time to time in our other public communications and filings with the SEC. You should evaluate all forward-looking statements made in this Quarterly Report on Form 10-Q in the context of these risks and uncertainties. </w:t>
      </w:r>
    </w:p>
    <w:p>
      <w:pPr>
        <w:pStyle w:val="TextBody"/>
        <w:spacing w:lineRule="auto" w:line="288" w:before="240" w:after="283"/>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We undertake no obligation to update or revise any forward-looking statement as a result of new information, future events or otherwise, except as otherwise required by law. </w:t>
      </w:r>
    </w:p>
    <w:p>
      <w:pPr>
        <w:pStyle w:val="TextBody"/>
        <w:spacing w:lineRule="auto" w:line="288" w:before="240" w:after="283"/>
        <w:jc w:val="both"/>
        <w:rPr>
          <w:rFonts w:ascii="Times New Roman;sans-serif" w:hAnsi="Times New Roman;sans-serif"/>
          <w:b w:val="false"/>
          <w:color w:val="212529"/>
          <w:sz w:val="20"/>
        </w:rPr>
      </w:pPr>
      <w:r>
        <w:rPr>
          <w:rFonts w:ascii="Times New Roman;sans-serif" w:hAnsi="Times New Roman;sans-serif"/>
          <w:b w:val="false"/>
          <w:color w:val="212529"/>
          <w:sz w:val="20"/>
        </w:rPr>
        <w:t>Unless otherwise specified or unless the context requires otherwise, all references in this Quarterly Report on Form 10-Q to “InnovAge,” “the Company,” “we,” “us,” and “our,” or similar references, refer to InnovAge Holding Corp. and our consolidated subsidiaries.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INNOVAGE HOLDING CORP. AND SUBSIDIARIES</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CellMar>
          <w:top w:w="28" w:type="dxa"/>
          <w:left w:w="28" w:type="dxa"/>
          <w:bottom w:w="28" w:type="dxa"/>
          <w:right w:w="28" w:type="dxa"/>
        </w:tblCellMar>
      </w:tblPr>
      <w:tblGrid>
        <w:gridCol w:w="2948"/>
        <w:gridCol w:w="2390"/>
        <w:gridCol w:w="2411"/>
        <w:gridCol w:w="196"/>
        <w:gridCol w:w="736"/>
        <w:gridCol w:w="109"/>
        <w:gridCol w:w="109"/>
        <w:gridCol w:w="109"/>
        <w:gridCol w:w="109"/>
        <w:gridCol w:w="196"/>
        <w:gridCol w:w="736"/>
        <w:gridCol w:w="156"/>
      </w:tblGrid>
      <w:tr>
        <w:trPr/>
        <w:tc>
          <w:tcPr>
            <w:tcW w:w="2948" w:type="dxa"/>
            <w:tcBorders/>
            <w:shd w:fill="auto" w:val="clear"/>
            <w:vAlign w:val="center"/>
          </w:tcPr>
          <w:p>
            <w:pPr>
              <w:pStyle w:val="TableContents"/>
              <w:spacing w:before="0" w:after="283"/>
              <w:rPr>
                <w:sz w:val="4"/>
                <w:szCs w:val="4"/>
              </w:rPr>
            </w:pPr>
            <w:r>
              <w:rPr>
                <w:sz w:val="4"/>
                <w:szCs w:val="4"/>
              </w:rPr>
            </w:r>
          </w:p>
        </w:tc>
        <w:tc>
          <w:tcPr>
            <w:tcW w:w="2390" w:type="dxa"/>
            <w:tcBorders/>
            <w:shd w:fill="auto" w:val="clear"/>
            <w:vAlign w:val="center"/>
          </w:tcPr>
          <w:p>
            <w:pPr>
              <w:pStyle w:val="TableContents"/>
              <w:spacing w:before="0" w:after="283"/>
              <w:rPr>
                <w:sz w:val="4"/>
                <w:szCs w:val="4"/>
              </w:rPr>
            </w:pPr>
            <w:r>
              <w:rPr>
                <w:sz w:val="4"/>
                <w:szCs w:val="4"/>
              </w:rPr>
            </w:r>
          </w:p>
        </w:tc>
        <w:tc>
          <w:tcPr>
            <w:tcW w:w="241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2022</w:t>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184,429 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 ($3,936 – March 31, 2023 and $3,403 – June 30, 2022)</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35,907 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13,842 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240,956 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Noncurrent Assets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176,260 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 and 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124,217 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314,640 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555,596 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Liabilities</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50,562 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Reported and estimated claims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38,454 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to Medicaid and Medicare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finance lease obligations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obligations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105,307 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Noncurrent Liabilities</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liability,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obligations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obligations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net of debt issuance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68,210 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201,852 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Commitments and Contingencies (See Note 9)</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u w:val="single"/>
              </w:rPr>
            </w:pPr>
            <w:r>
              <w:rPr>
                <w:color w:val="000000"/>
                <w:u w:val="single"/>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Redeemable Noncontrolling Interests (See Note 4)</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$0.001 par value; 500,000,000 authorized as of March 31, 2023 and June 30, 2022; 135,602,464 and 135,532,811 issued shares as of March 31, 2023 and June 30, 2022, respectively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330,955 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327,499 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 (deficit)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InnovAge Holding Corp.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332,364 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338,466 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569,407 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555,596 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INNOVAGE HOLDING CORP.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number of shares and per share data)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CellMar>
          <w:top w:w="28" w:type="dxa"/>
          <w:left w:w="28" w:type="dxa"/>
          <w:bottom w:w="28" w:type="dxa"/>
          <w:right w:w="28" w:type="dxa"/>
        </w:tblCellMar>
      </w:tblPr>
      <w:tblGrid>
        <w:gridCol w:w="1788"/>
        <w:gridCol w:w="1394"/>
        <w:gridCol w:w="141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88"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5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45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Capitation revenue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524,507 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 revenue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5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provider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284,299 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care,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129,740 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5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Provision (Benefit) for 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InnovAge Holding Corp.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number of common shares outstanding - basic</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135,601,327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135,516,608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135,581,971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135,516,544</w:t>
            </w:r>
          </w:p>
        </w:tc>
      </w:tr>
      <w:tr>
        <w:trPr/>
        <w:tc>
          <w:tcPr>
            <w:tcW w:w="45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number of common shares outstanding - diluted</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135,601,327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135,516,608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135,581,971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135,530,793</w:t>
            </w:r>
          </w:p>
        </w:tc>
      </w:tr>
      <w:tr>
        <w:trPr/>
        <w:tc>
          <w:tcPr>
            <w:tcW w:w="45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 - 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 - diluted</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INNOVAGE HOLDING CORP.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464" w:type="dxa"/>
        <w:jc w:val="left"/>
        <w:tblInd w:w="0" w:type="dxa"/>
        <w:tblCellMar>
          <w:top w:w="28" w:type="dxa"/>
          <w:left w:w="28" w:type="dxa"/>
          <w:bottom w:w="28" w:type="dxa"/>
          <w:right w:w="28" w:type="dxa"/>
        </w:tblCellMar>
      </w:tblPr>
      <w:tblGrid>
        <w:gridCol w:w="573"/>
        <w:gridCol w:w="253"/>
        <w:gridCol w:w="255"/>
        <w:gridCol w:w="334"/>
        <w:gridCol w:w="334"/>
        <w:gridCol w:w="338"/>
        <w:gridCol w:w="109"/>
        <w:gridCol w:w="109"/>
        <w:gridCol w:w="109"/>
        <w:gridCol w:w="196"/>
        <w:gridCol w:w="421"/>
        <w:gridCol w:w="109"/>
        <w:gridCol w:w="109"/>
        <w:gridCol w:w="109"/>
        <w:gridCol w:w="109"/>
        <w:gridCol w:w="196"/>
        <w:gridCol w:w="736"/>
        <w:gridCol w:w="109"/>
        <w:gridCol w:w="109"/>
        <w:gridCol w:w="109"/>
        <w:gridCol w:w="109"/>
        <w:gridCol w:w="196"/>
        <w:gridCol w:w="661"/>
        <w:gridCol w:w="109"/>
        <w:gridCol w:w="109"/>
        <w:gridCol w:w="109"/>
        <w:gridCol w:w="109"/>
        <w:gridCol w:w="273"/>
        <w:gridCol w:w="775"/>
        <w:gridCol w:w="153"/>
        <w:gridCol w:w="109"/>
        <w:gridCol w:w="109"/>
        <w:gridCol w:w="109"/>
        <w:gridCol w:w="203"/>
        <w:gridCol w:w="764"/>
        <w:gridCol w:w="114"/>
        <w:gridCol w:w="109"/>
        <w:gridCol w:w="109"/>
        <w:gridCol w:w="109"/>
        <w:gridCol w:w="247"/>
        <w:gridCol w:w="815"/>
        <w:gridCol w:w="139"/>
        <w:gridCol w:w="109"/>
        <w:gridCol w:w="109"/>
        <w:gridCol w:w="109"/>
        <w:gridCol w:w="385"/>
        <w:gridCol w:w="276"/>
        <w:gridCol w:w="211"/>
      </w:tblGrid>
      <w:tr>
        <w:trPr/>
        <w:tc>
          <w:tcPr>
            <w:tcW w:w="57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3"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 2023</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br/>
              <w:t>(Deficit)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Permanent</w:t>
              <w:br/>
              <w:t xml:space="preserve">Stockholders' Equity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w:t>
              <w:br/>
              <w:t>Noncontrolling Interests</w:t>
              <w:br/>
              <w:t>(Temporary Equity)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Income</w:t>
              <w:br/>
              <w:t>(Loss)</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December 31, 2022</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135,596,225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317,721 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0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redemption value</w:t>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(6,717)</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(7,310)</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March 31, 2023</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135,602,464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5,858 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312,182 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3" w:type="dxa"/>
            <w:gridSpan w:val="45"/>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3"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March 31, 2023</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br/>
              <w:t>(Deficit)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Permanent</w:t>
              <w:br/>
              <w:t xml:space="preserve">Stockholders' Equity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w:t>
              <w:br/>
              <w:t>Noncontrolling Interests</w:t>
              <w:br/>
              <w:t>(Temporary Equity)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Income</w:t>
              <w:br/>
              <w:t>(Loss)</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June 30, 2022</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135,532,811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338,466 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0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3,456 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redemption value</w:t>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(29,740)</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(1,817)</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(31,557)</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March 31, 2023</w:t>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135,602,464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5,858 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312,182 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tbl>
      <w:tblPr>
        <w:tblW w:w="11359" w:type="dxa"/>
        <w:jc w:val="left"/>
        <w:tblInd w:w="0" w:type="dxa"/>
        <w:tblCellMar>
          <w:top w:w="28" w:type="dxa"/>
          <w:left w:w="28" w:type="dxa"/>
          <w:bottom w:w="28" w:type="dxa"/>
          <w:right w:w="28" w:type="dxa"/>
        </w:tblCellMar>
      </w:tblPr>
      <w:tblGrid>
        <w:gridCol w:w="573"/>
        <w:gridCol w:w="253"/>
        <w:gridCol w:w="255"/>
        <w:gridCol w:w="334"/>
        <w:gridCol w:w="334"/>
        <w:gridCol w:w="338"/>
        <w:gridCol w:w="109"/>
        <w:gridCol w:w="109"/>
        <w:gridCol w:w="109"/>
        <w:gridCol w:w="196"/>
        <w:gridCol w:w="421"/>
        <w:gridCol w:w="109"/>
        <w:gridCol w:w="109"/>
        <w:gridCol w:w="109"/>
        <w:gridCol w:w="109"/>
        <w:gridCol w:w="196"/>
        <w:gridCol w:w="736"/>
        <w:gridCol w:w="109"/>
        <w:gridCol w:w="109"/>
        <w:gridCol w:w="109"/>
        <w:gridCol w:w="109"/>
        <w:gridCol w:w="196"/>
        <w:gridCol w:w="646"/>
        <w:gridCol w:w="109"/>
        <w:gridCol w:w="109"/>
        <w:gridCol w:w="109"/>
        <w:gridCol w:w="109"/>
        <w:gridCol w:w="273"/>
        <w:gridCol w:w="775"/>
        <w:gridCol w:w="153"/>
        <w:gridCol w:w="109"/>
        <w:gridCol w:w="109"/>
        <w:gridCol w:w="109"/>
        <w:gridCol w:w="203"/>
        <w:gridCol w:w="764"/>
        <w:gridCol w:w="114"/>
        <w:gridCol w:w="109"/>
        <w:gridCol w:w="109"/>
        <w:gridCol w:w="109"/>
        <w:gridCol w:w="247"/>
        <w:gridCol w:w="815"/>
        <w:gridCol w:w="139"/>
        <w:gridCol w:w="109"/>
        <w:gridCol w:w="109"/>
        <w:gridCol w:w="109"/>
        <w:gridCol w:w="373"/>
        <w:gridCol w:w="198"/>
        <w:gridCol w:w="211"/>
      </w:tblGrid>
      <w:tr>
        <w:trPr/>
        <w:tc>
          <w:tcPr>
            <w:tcW w:w="57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8"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 2022</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br/>
              <w:t>(Deficit)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Permanent</w:t>
              <w:br/>
              <w:t xml:space="preserve">Stockholders' Equity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Redeemable </w:t>
              <w:br/>
              <w:t xml:space="preserve">Noncontrolling Interests </w:t>
              <w:br/>
              <w:t>(Temporary Equity)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Income</w:t>
              <w:br/>
              <w:t>(Loss)</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December 31, 2021</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135,516,513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349,586 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18,850 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0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redemption value</w:t>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(2,563)</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(2,868)</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(3,158)</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March 31, 2022</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135,525,006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350,126 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8"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March 31, 2022</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br/>
              <w:t>(Deficit)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Permanent</w:t>
              <w:br/>
              <w:t xml:space="preserve">Stockholders' Equity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Redeemable </w:t>
              <w:br/>
              <w:t xml:space="preserve">Noncontrolling Interests </w:t>
              <w:br/>
              <w:t>(Temporary Equity)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Income</w:t>
              <w:br/>
              <w:t>(Loss)</w:t>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June 30, 2021</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135,516,513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340,979 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16,986 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0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2,586 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redemption value</w:t>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5,572 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March 31, 2022</w:t>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135,525,006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6,207 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350,126 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INNOVAGE HOLDING CORP.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685" w:type="dxa"/>
        <w:jc w:val="left"/>
        <w:tblInd w:w="0" w:type="dxa"/>
        <w:tblCellMar>
          <w:top w:w="28" w:type="dxa"/>
          <w:left w:w="28" w:type="dxa"/>
          <w:bottom w:w="28" w:type="dxa"/>
          <w:right w:w="28" w:type="dxa"/>
        </w:tblCellMar>
      </w:tblPr>
      <w:tblGrid>
        <w:gridCol w:w="2442"/>
        <w:gridCol w:w="2145"/>
        <w:gridCol w:w="2162"/>
        <w:gridCol w:w="234"/>
        <w:gridCol w:w="882"/>
        <w:gridCol w:w="130"/>
        <w:gridCol w:w="130"/>
        <w:gridCol w:w="130"/>
        <w:gridCol w:w="130"/>
        <w:gridCol w:w="234"/>
        <w:gridCol w:w="882"/>
        <w:gridCol w:w="184"/>
      </w:tblGrid>
      <w:tr>
        <w:trPr/>
        <w:tc>
          <w:tcPr>
            <w:tcW w:w="2442" w:type="dxa"/>
            <w:tcBorders/>
            <w:shd w:fill="auto" w:val="clear"/>
            <w:vAlign w:val="center"/>
          </w:tcPr>
          <w:p>
            <w:pPr>
              <w:pStyle w:val="TableContents"/>
              <w:spacing w:before="0" w:after="283"/>
              <w:rPr>
                <w:sz w:val="4"/>
                <w:szCs w:val="4"/>
              </w:rPr>
            </w:pPr>
            <w:r>
              <w:rPr>
                <w:sz w:val="4"/>
                <w:szCs w:val="4"/>
              </w:rPr>
            </w:r>
          </w:p>
        </w:tc>
        <w:tc>
          <w:tcPr>
            <w:tcW w:w="2145" w:type="dxa"/>
            <w:tcBorders/>
            <w:shd w:fill="auto" w:val="clear"/>
            <w:vAlign w:val="center"/>
          </w:tcPr>
          <w:p>
            <w:pPr>
              <w:pStyle w:val="TableContents"/>
              <w:spacing w:before="0" w:after="283"/>
              <w:rPr>
                <w:sz w:val="4"/>
                <w:szCs w:val="4"/>
              </w:rPr>
            </w:pPr>
            <w:r>
              <w:rPr>
                <w:sz w:val="4"/>
                <w:szCs w:val="4"/>
              </w:rPr>
            </w:r>
          </w:p>
        </w:tc>
        <w:tc>
          <w:tcPr>
            <w:tcW w:w="216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r>
      <w:tr>
        <w:trPr/>
        <w:tc>
          <w:tcPr>
            <w:tcW w:w="6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March 31,</w:t>
            </w:r>
          </w:p>
        </w:tc>
      </w:tr>
      <w:tr>
        <w:trPr/>
        <w:tc>
          <w:tcPr>
            <w:tcW w:w="6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(31,557)</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5,572 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(used in) operating activities</w:t>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disposal of assets</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uncollectible accounts</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2,319 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4,834 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11,087 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10,435 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rentals</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financing costs</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3,456 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2,586 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(12,046)</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(4,157)</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(4,323)</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receivable</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 and other</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(1,501)</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25,161 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4,705 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Reported and estimated claims</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2,778 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to Medicaid and Medicare</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1,870 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2,429 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(3,625)</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(used) by operating activities</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24,059 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(19,329)</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(20,141)</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short-term investments</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(45,000)</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intangible assets</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cost method investment</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(64,329)</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(23,578)</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finance lease obligations</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(2,637)</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(1,829)</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long-term debt</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(2,843)</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(2,841)</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(4,670)</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INCREASE (DECREASE) IN CASH, CASH EQUIVALENTS &amp; RESTRICTED CASH</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(62,724)</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(4,189)</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&amp; RESTRICTED CASH, BEGINNING OF PERIOD</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184,446 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203,700 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&amp; RESTRICTED CASH, END OF PERIOD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121,722 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199,511 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Cash Flows Information</w:t>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paid</w:t>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1,452 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paid</w:t>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included in accounts payable</w:t>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4,577 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purchased under finance leases</w:t>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8,057 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INNOVAGE HOLDING CORP. AND SUBSIDIARIES</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w:t>
      </w:r>
    </w:p>
    <w:p>
      <w:pPr>
        <w:pStyle w:val="TextBody"/>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 Business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InnovAge Holding Corp. and its subsidiaries, are headquartered in Denver, Colorado. The Company manages, and in many cases directly provides, a broad range of medical and ancillary services for seniors in need of care and support to safely live independently in their communities, including in-center services such as primary care, physical therapy, occupational therapy, speech therapy, dental services, mental health and psychiatric services, meals, and activities; transportation to the Program of All-Inclusive Care for the Elderly (“PACE”) center and third-party medical appointments; and care management. The Company manages its business as one reportable segment, PACE.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served approximately 6,310 PACE participants, making it the largest PACE provider in the United States of America (the “U.S.”) based upon participants served, and operates 17 PACE centers across Colorado, California, New Mexico, Pennsylvania and Virginia. During the third quarter ended March 31, 2023, the Company consolidated its Germantown LIFE center with its Allegheny and Henry Avenue LIFE centers in Pennsylvania.</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PACE is a fully-capitated managed care program, which serves the frail elderly, and predominantly dual-eligible, population in a community-based service model. InnovAge is obligated to provide, and participants receive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Affairs (“VA”), and private pay sources. Additionally, under the Medicare Prescription Drug Plan, the Centers for Medicare and Medicaid Services (“CMS”) share part of the risk for providing prescription medication to the Company’s participants.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common stock is traded on the Nasdaq Stock Market LLC (“NASDAQ”) under the ticker symbol “INNV.”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described its significant accounting policies in Note 2, “Summary of Significant Accounting Policies” of the Notes to Consolidated Financial Statements in its Annual Report on Form 10-K for the year ended June 30, 2022 (“2022 10-K”). With the exception of Recently Adopted Accounting Pronouncements described below, there were no significant changes to those accounting policies during the nine months ended March 31, 2023.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Basis of Preparation and Principles of Consolidation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interim condensed consolidated financial statements and accompanying notes have been prepared in accordance with accounting principles generally accepted in the U.S. (“U.S. GAAP”) for interim financial information and with the instructions to Form 10-Q and Article 10 of Regulation S-X. Accordingly, certain information and footnote disclosures normally included in financial statements prepared in accordance with U.S. GAAP have been omitted pursuant to such regulations. These financial statements have been prepared on a basis consistent with the accounting principles applied for the fiscal year ended June 30, 2022. In the opinion of management, all adjustments (consisting of all normal and recurring adjustments) considered necessary for a fair presentation have been included. The condensed consolidated financial statements include the accounts of InnovAge, its wholly owned subsidiaries, variable interest entities (“VIEs”) for which it is the primary beneficiary and entities for which it has a controlling interest. All intercompany accounts and transactions have been eliminated in consolidation.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components of comprehensive income and comprehensive income is equal to net income (loss) reported in the statements of operations for all periods presented.</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were comprised of the following as of March 31, 2023 and June 30, 2022:</w:t>
      </w:r>
    </w:p>
    <w:tbl>
      <w:tblPr>
        <w:tblW w:w="8353" w:type="dxa"/>
        <w:jc w:val="left"/>
        <w:tblInd w:w="0" w:type="dxa"/>
        <w:tblCellMar>
          <w:top w:w="28" w:type="dxa"/>
          <w:left w:w="28" w:type="dxa"/>
          <w:bottom w:w="28" w:type="dxa"/>
          <w:right w:w="28" w:type="dxa"/>
        </w:tblCellMar>
      </w:tblPr>
      <w:tblGrid>
        <w:gridCol w:w="1488"/>
        <w:gridCol w:w="1308"/>
        <w:gridCol w:w="1314"/>
        <w:gridCol w:w="379"/>
        <w:gridCol w:w="379"/>
        <w:gridCol w:w="381"/>
        <w:gridCol w:w="109"/>
        <w:gridCol w:w="109"/>
        <w:gridCol w:w="109"/>
        <w:gridCol w:w="232"/>
        <w:gridCol w:w="908"/>
        <w:gridCol w:w="119"/>
        <w:gridCol w:w="109"/>
        <w:gridCol w:w="109"/>
        <w:gridCol w:w="109"/>
        <w:gridCol w:w="211"/>
        <w:gridCol w:w="826"/>
        <w:gridCol w:w="154"/>
      </w:tblGrid>
      <w:tr>
        <w:trPr/>
        <w:tc>
          <w:tcPr>
            <w:tcW w:w="1488"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Useful Lives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10 - 40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124,231 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and vehicles</w:t>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3 - 7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260,296 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(67,385)</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192,911 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of $3.8 million was recorded during both the three months ended March 31, 2023 and 2022. Depreciation of $10.3 million and $9.9 million was recorded during the nine months ended March 31, 2023 and 2022, respectively.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spacing w:lineRule="auto" w:line="288" w:before="240" w:after="283"/>
        <w:ind w:left="0" w:right="0" w:firstLine="360"/>
        <w:jc w:val="both"/>
        <w:rPr/>
      </w:pPr>
      <w:r>
        <w:rPr>
          <w:rFonts w:ascii="Times New Roman;sans-serif" w:hAnsi="Times New Roman;sans-serif"/>
          <w:b w:val="false"/>
          <w:color w:val="000000"/>
          <w:sz w:val="20"/>
        </w:rPr>
        <w:t xml:space="preserve">In February 2016, the Financial Accounting Standards Board (“FASB”) issued ASU 2016-02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(“ASU 2016-02”), which was intended to increase transparency and comparability among organizations by recognizing lease assets and liabilities on the balance sheet and disclosing key information about leasing arrangements. Under the new guidance, lessees are required to recognize a right-of-use (“ROU”) asset and a lease liability, measured on a discounted basis, at the commencement date for all leases with terms greater than 12 months. Additionally, this guidance requires enhanced disclosures to help investors and other financial statement users to better understand the amount, timing, and uncertainty of cash flows arising from leases, including qualitative and quantitative requirements. In June 2020, the FASB issued ASU 2020-05 </w:t>
      </w:r>
      <w:r>
        <w:rPr>
          <w:rFonts w:ascii="Times New Roman;sans-serif" w:hAnsi="Times New Roman;sans-serif"/>
          <w:b w:val="false"/>
          <w:i/>
          <w:color w:val="000000"/>
          <w:sz w:val="20"/>
        </w:rPr>
        <w:t xml:space="preserve">Revenue from contracts with customers (Topic 606) and leases (Topic 842) – Effective dates for certain entities </w:t>
      </w:r>
      <w:r>
        <w:rPr>
          <w:rFonts w:ascii="Times New Roman;sans-serif" w:hAnsi="Times New Roman;sans-serif"/>
          <w:b w:val="false"/>
          <w:color w:val="000000"/>
          <w:sz w:val="20"/>
        </w:rPr>
        <w:t xml:space="preserve">which deferred the new lease standard effective date for the Company to interim periods beginning after December 15, 2021, with early adoption permitted.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adopted the new standard on July 1, 2022 using the modified retrospective transition approach as permitted in ASU 2018-11. In accordance with this approach, the effective date of Topic 842 is also the application date of the new requirements, with prior comparative periods presented in the financial statements with the legacy requirements of ASC Topic 840, Leases. We elected the package of practical expedients which permits us not to reassess under the new lease standard our prior conclusions for lease identification and lease classification on expired or existing contracts and whether initial direct costs previously capitalized would qualify for capitalization under the new lease standard. We also elected to adopt the optional transition method which allows an entity to recognize, if necessary, a cumulative-effect adjustment to the opening balance of retained earnings in the period of adoption. The Company did not elect the practical expedient to use hindsight in determining the lease term and in assessing impairment conclusions on the ROU assets. Comparative periods presented in the financial statements continue to be presented in accordance with GAAP related to leases prior to transitioning to the new lease standard. The adoption of Topic 842 resulted in the recognition of operating lease liabilities and ROU assets of $25.1 million and $23.6 million, respectively, while our accounting for capital leases (now referred to as finance leases) remained substantially unchanged. The impact of adopting Topic 842 was not material to our Statements of Operations and Statements of Cash Flows. See Note 7, “Leases.”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Recent Accounting Pronouncements Not Yet Adopted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Financial Instruments</w:t>
      </w:r>
    </w:p>
    <w:p>
      <w:pPr>
        <w:pStyle w:val="TextBody"/>
        <w:spacing w:lineRule="auto" w:line="288" w:before="240" w:after="283"/>
        <w:ind w:left="0" w:right="0" w:firstLine="360"/>
        <w:jc w:val="both"/>
        <w:rPr/>
      </w:pPr>
      <w:r>
        <w:rPr>
          <w:rFonts w:ascii="Times New Roman;sans-serif" w:hAnsi="Times New Roman;sans-serif"/>
          <w:b w:val="false"/>
          <w:color w:val="000000"/>
          <w:sz w:val="20"/>
        </w:rPr>
        <w:t xml:space="preserve">In April 2019, the FASB issued ASU 2019-04, </w:t>
      </w:r>
      <w:r>
        <w:rPr>
          <w:rFonts w:ascii="Times New Roman;sans-serif" w:hAnsi="Times New Roman;sans-serif"/>
          <w:b w:val="false"/>
          <w:i/>
          <w:color w:val="000000"/>
          <w:sz w:val="20"/>
        </w:rPr>
        <w:t>Codification Improvements to Topic 326, Financial Instruments—Credit Losses, Topic 815, Derivatives and Hedging, and Topic 825, Financial Instruments (</w:t>
      </w:r>
      <w:r>
        <w:rPr>
          <w:color w:val="000000"/>
        </w:rPr>
        <w:t>“</w:t>
      </w:r>
      <w:r>
        <w:rPr>
          <w:rFonts w:ascii="Times New Roman;sans-serif" w:hAnsi="Times New Roman;sans-serif"/>
          <w:b w:val="false"/>
          <w:color w:val="000000"/>
          <w:sz w:val="20"/>
        </w:rPr>
        <w:t>ASU 2019-04”</w:t>
      </w:r>
      <w:r>
        <w:rPr>
          <w:rFonts w:ascii="Times New Roman;sans-serif" w:hAnsi="Times New Roman;sans-serif"/>
          <w:b w:val="false"/>
          <w:i/>
          <w:color w:val="000000"/>
          <w:sz w:val="20"/>
        </w:rPr>
        <w:t>)</w:t>
      </w:r>
      <w:r>
        <w:rPr>
          <w:rFonts w:ascii="Times New Roman;sans-serif" w:hAnsi="Times New Roman;sans-serif"/>
          <w:b w:val="false"/>
          <w:color w:val="000000"/>
          <w:sz w:val="20"/>
        </w:rPr>
        <w:t xml:space="preserve">, which requires entities to use a current expected credit loss (“CECL”) model to measure impairment for most financial assets that are not recorded at fair value through net income. Under the CECL model, an entity will estimate lifetime expected credit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losses considering available relevant information about historical events, current conditions and supportable forecasts. The CECL model does not apply to available-for-sale debt securities. This guidance also expands the required credit loss disclosures and will be applied using a modified retrospective approach by recording a cumulative effect adjustment to retained earnings as of the beginning of the fiscal year of adoption. ASU 2019-04 is effective for the Company for fiscal years beginning after December 15, 2022, including interim periods within those fiscal years. The Company will adopt this guidance for the annual and interim reporting periods beginning July 1, 2023. The Company has not determined the effect of the standard on its condensed consolidated financial statements.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expect that any other recently issued accounting guidance will have a significant effect on our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3: Revenue Recognition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as the entity satisfies a performance obligation.</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Capitation Revenue and Accounts Receivable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capitation revenue relates to contracts with participants in which our performance obligation is to provide healthcare services to the participants. Revenues are recorded during the period our obligations to provide healthcare services are satisfied as noted below within each service type. The Company contracts directly with Medicare and Medicaid on a per member, per month (“PMPM”) basis. We receive 100% of the pooled capitated payment to directly provide or manage the healthcare needs of our participants.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Fees are recorded gross in revenues because the Company is acting as a principal in providing for or overseeing comprehensive care provided to the participants. Neither the Company nor any of its affiliates is a registered insurance company because state law in the states in which it operates does not require such registration for risk-bearing providers.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a participant enrolls in the PACE program and is considered a customer of InnovAge. The Company considers all contracts with participants as a single performance obligation to provide comprehensive medical, health, and social services that integrate acute and long-term care. The Company identified that contracts with customers in the PACE program have similar performance obligations and therefore groups them into one portfolio. This performance obligation is satisfied as the Company provides comprehensive care to its participants.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are based on the estimated PMPM amounts we expect to be entitled to receive from the capitated fees per participant that are paid monthly by Medicaid, Medicare, the VA, and private pay sources. Medicaid and Medicare capitation revenues are based on PMPM capitation rates under the PACE program. VA is included in “Private Pay and other” and is also capitated. Private pay includes direct payments from participants who do not qualify for the full capitated rate and have to pay all or a portion of the capitated rate. Costs to obtain contracts consist of sales commissions for new enrollees and are included in deposits and other. These costs are amortized over a three-year period which corresponds to the average time a participant is enrolled in the PACE program. As of March 31, 2023 and June 30, 2022 contract assets included within deposits and other were $0.7 million and nil, respectively.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disaggregates capitation revenue from the following sources for the nine months ended:</w:t>
      </w:r>
    </w:p>
    <w:tbl>
      <w:tblPr>
        <w:tblW w:w="3691" w:type="dxa"/>
        <w:jc w:val="left"/>
        <w:tblInd w:w="0" w:type="dxa"/>
        <w:tblCellMar>
          <w:top w:w="28" w:type="dxa"/>
          <w:left w:w="28" w:type="dxa"/>
          <w:bottom w:w="28" w:type="dxa"/>
          <w:right w:w="28" w:type="dxa"/>
        </w:tblCellMar>
      </w:tblPr>
      <w:tblGrid>
        <w:gridCol w:w="667"/>
        <w:gridCol w:w="588"/>
        <w:gridCol w:w="590"/>
        <w:gridCol w:w="232"/>
        <w:gridCol w:w="234"/>
        <w:gridCol w:w="271"/>
        <w:gridCol w:w="109"/>
        <w:gridCol w:w="109"/>
        <w:gridCol w:w="109"/>
        <w:gridCol w:w="232"/>
        <w:gridCol w:w="234"/>
        <w:gridCol w:w="316"/>
      </w:tblGrid>
      <w:tr>
        <w:trPr/>
        <w:tc>
          <w:tcPr>
            <w:tcW w:w="667"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pay and other</w:t>
            </w:r>
          </w:p>
        </w:tc>
        <w:tc>
          <w:tcPr>
            <w:tcW w:w="73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Less than 1%</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the transaction price for these contracts is the amount we expect to be entitled to, which is the most likely amount. For certain capitation payments, the Company is subject to retroactive premium risk adjustments based on various factors. The Company estimates the amount of the adjustment and records it monthly on a straight-line basis. These adjustments are not expected to be material.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capitation revenues are recognized based on the estimated PMPM transaction price to transfer the service for a distinct increment of the series (i.e. month). We recognize revenue in the month in which participants are entitled to receive comprehensive care benefits during the contract term. As the period between the time of service and time of payment is typically one year or less, the Company elected the practical expedient under ASC 606-10-32-18 and did not adjust for the effects of a significant financing component.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 corridor provisions compare costs targeted in the Company’s bid to actual prescription drug costs. The Company estimates and records a monthly adjustment to Medicare Part D revenues associated with these risk-sharing corridor provisions. Medicare Part D comprised 12% of capitation revenues for each of the three months ended March 31, 2023 and 2022. Medicare Part D comprised 12% of capitation revenues for each of the nine months ended March 31, 2023 and 2022.</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accounts receivable as of March 31, 2023 and June 30, 2022 is primarily from capitation revenue arrangements. The concentration of net receivables from participants and third-party payers was as follows: </w:t>
      </w:r>
    </w:p>
    <w:tbl>
      <w:tblPr>
        <w:tblW w:w="4033" w:type="dxa"/>
        <w:jc w:val="left"/>
        <w:tblInd w:w="0" w:type="dxa"/>
        <w:tblCellMar>
          <w:top w:w="28" w:type="dxa"/>
          <w:left w:w="28" w:type="dxa"/>
          <w:bottom w:w="28" w:type="dxa"/>
          <w:right w:w="28" w:type="dxa"/>
        </w:tblCellMar>
      </w:tblPr>
      <w:tblGrid>
        <w:gridCol w:w="667"/>
        <w:gridCol w:w="588"/>
        <w:gridCol w:w="590"/>
        <w:gridCol w:w="243"/>
        <w:gridCol w:w="223"/>
        <w:gridCol w:w="476"/>
        <w:gridCol w:w="109"/>
        <w:gridCol w:w="109"/>
        <w:gridCol w:w="109"/>
        <w:gridCol w:w="232"/>
        <w:gridCol w:w="234"/>
        <w:gridCol w:w="453"/>
      </w:tblGrid>
      <w:tr>
        <w:trPr/>
        <w:tc>
          <w:tcPr>
            <w:tcW w:w="667"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2022</w:t>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4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pay and other</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accounts receivable at net realizable value, which includes an allowance for estimated uncollectible accounts. The allowance for uncollectible accounts reflects the Company’s best estimate of probable losses considering eligibility, historical experience, and existing economic conditions. The balance of the allowance for uncollectible accounts was $3.9 million as of March 31, 2023, compared to $3.4 million as of June 30, 2022. Accounts are written off as bad debts when they are deemed uncollectible based upon individual credit evaluations and specific circumstances underlying the accounts. </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Service Revenue and Accounts Receivable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service revenue is comprised of rents earned related to Senior Housing and other fee for service revenue. Other service revenue was 0.2% and 0.2% of total revenue for the three months ended March 31, 2023 and 2022, respectively.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service revenue was 0.2% and 0.2% of total revenue for the nine months ended March 31, 2023 and 2022, respectively. Accounts receivable related to other service revenue was not significant as of both March 31, 2023 and June 30, 2022.</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 See Note 9, “Commitments and Contingencies.”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4: Cost Method and Equity Method Investments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holds equity method and cost method investments as of: </w:t>
      </w:r>
    </w:p>
    <w:tbl>
      <w:tblPr>
        <w:tblW w:w="4598" w:type="dxa"/>
        <w:jc w:val="left"/>
        <w:tblInd w:w="0" w:type="dxa"/>
        <w:tblCellMar>
          <w:top w:w="28" w:type="dxa"/>
          <w:left w:w="28" w:type="dxa"/>
          <w:bottom w:w="28" w:type="dxa"/>
          <w:right w:w="28" w:type="dxa"/>
        </w:tblCellMar>
      </w:tblPr>
      <w:tblGrid>
        <w:gridCol w:w="851"/>
        <w:gridCol w:w="747"/>
        <w:gridCol w:w="756"/>
        <w:gridCol w:w="211"/>
        <w:gridCol w:w="616"/>
        <w:gridCol w:w="109"/>
        <w:gridCol w:w="109"/>
        <w:gridCol w:w="109"/>
        <w:gridCol w:w="109"/>
        <w:gridCol w:w="211"/>
        <w:gridCol w:w="616"/>
        <w:gridCol w:w="154"/>
      </w:tblGrid>
      <w:tr>
        <w:trPr/>
        <w:tc>
          <w:tcPr>
            <w:tcW w:w="851"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2022</w:t>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method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Nonconsolidated Entities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Cost Method Investments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two investments that are accounted for using the cost method. The investments do not have a readily determinable fair value and the Company has elected to record the investments at cost, less impairment, if any, plus or minus any changes resulting from observable price changes in orderly transactions for the identical or similar investment of the same issuer. During the nine months ended March 31, 2023 and 2022, there were no observable price changes or impairments recorded.</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Jetdoc</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the Company acquired a minority interest equal to 806,481 shares of the outstanding common stock of Jetdoc, Inc. (“Jetdoc”), a telehealth and virtual urgent care app dedicated to effectively connecting users with medical professionals, for cash consideration of $2.0 million. The balance of the Company’s investment in Jetdoc is $2.0 million which represents the maximum exposure to loss.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DispatchHealth</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14, 2019, the Company invested $1.5 million in DispatchHealth Holdings, Inc. ("DispatchHealth"), through the purchase of a portion of its outstanding Series B Preferred Stock. On April 2, 2020, the Company invested an additional $1.1 million through the purchase of a portion of its outstanding Series C Preferred Stock. The balance of the Company’s investment is $2.6 million which represents the maximum exposure to loss.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Equity Method Investments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Pinewood Lodge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operations include a Senior Housing unit that primarily includes the accounts of Continental Community Housing (“CCH”), the general partner of Pinewood Lodge, LLP (“PWD”), which was organized to develop, construct, own, maintain, and operate certain apartment complexes intended for rental to low-income elderly individuals aged 62 or older.</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PWD is a VIE, but the Company is not the primary beneficiary. The Company does not have the power to direct the activities that most significantly impact the economic performance of PWD. Accordingly, the Company does not consolidate PWD. PWD is accounted for using the equity method of accounting. The equity earnings of PWD are insignificant. As of March 31, 2023, the balance of the Company’s investment in PWD was $0.8 million which represents the maximum exposure to loss.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Noncontrolling Interest</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Senior Housing</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operations include a 0.01% partnership interest in InnovAge Senior Housing Thornton, LLC (“SH1”), which was organized to develop, construct, own, maintain, and operate certain apartment complexes intended for rental to low-income elderly individuals aged 62 or older.</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SH1 is a VIE. The Company is the primary beneficiary of SH1 and consolidates SH1. The Company is the primary beneficiary of SH1 as it has the power to direct the activities that are most significant to SH1 and has an obligation to absorb losses or the right to receive benefits from SH1. The most significant activity of SH1 is the operation of the senior housing facility. The Company has provided a subordinated loan to SH1 and has provided a guarantee for a convertible term loan held by SH1.</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Redeemable Noncontrolling Interest</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InnovAge Sacramento</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18, 2019, in connection with the formation of InnovAge Sacramento, the joint venture with Adventist Health System/West (“Adventist”) and Eskaton Properties, Incorporated (“Eskaton”), the Company contributed $9.0 million in cash and land valued at $4.2 million for a 59.9% membership interest in the joint venture, InnovAge Sacramento. Further, Adventist contributed $5.8 million in cash and Eskaton contributed $3.0 million in cash for membership interests of 26.4% and 13.7%, respectively. In fiscal year 2021, the Company made an additional contribution of $52,000 and obtained an additional 0.1% membership interest in the joint venture, which resulted in the Company obtaining control and consolidating InnovAge Sacramento as of January 1, 2021.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InnovAge California PACE-Sacramento LLC Limited Liability Company Agreement (the “JV Agreement”) includes numerous provisions whereby, if certain conditions are met, the Joint Venture may be required to purchase, at fair market value, certain members’ interests or certain members may be required to purchase, at fair market value, the interests of certain other members. As of March 31, 2023, none of the conditions specified in the JV Agreement had been met. At the time the Company became a publicly traded company these put rights held by the noncontrolling interests of the joint venture were required to be presented as temporary equity. The redeemable noncontrolling interest of $13.5 million was recorded at carrying value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5: Fair Value Measurements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from selling an asset or paid to transfer a liability (an exit price) in the principal or most advantageous market for the asset or liability in an orderly transaction between market 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 based on the best information available in the circumstances. The sensitivity to changes in inputs and their impact on fair value measurements can be significant.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three levels of inputs that may be used to measure fair value are:</w:t>
      </w:r>
    </w:p>
    <w:p>
      <w:pPr>
        <w:pStyle w:val="TextBody"/>
        <w:spacing w:lineRule="auto" w:line="288" w:before="240" w:after="283"/>
        <w:ind w:left="0" w:right="0" w:hanging="900"/>
        <w:jc w:val="both"/>
        <w:rPr/>
      </w:pPr>
      <w:r>
        <w:rPr>
          <w:rFonts w:ascii="Times New Roman;sans-serif" w:hAnsi="Times New Roman;sans-serif"/>
          <w:b/>
          <w:color w:val="000000"/>
          <w:sz w:val="20"/>
        </w:rPr>
        <w:t>Level 1</w:t>
      </w:r>
      <w:r>
        <w:rPr>
          <w:rFonts w:ascii="Times New Roman;sans-serif" w:hAnsi="Times New Roman;sans-serif"/>
          <w:b w:val="false"/>
          <w:color w:val="000000"/>
          <w:sz w:val="20"/>
        </w:rPr>
        <w:t>Unadjusted quoted prices in active markets for identical assets or liabilities that the entity has the ability to access at the measurement date</w:t>
      </w:r>
    </w:p>
    <w:p>
      <w:pPr>
        <w:pStyle w:val="TextBody"/>
        <w:spacing w:lineRule="auto" w:line="288" w:before="240" w:after="283"/>
        <w:ind w:left="0" w:right="0" w:hanging="900"/>
        <w:jc w:val="both"/>
        <w:rPr/>
      </w:pPr>
      <w:r>
        <w:rPr>
          <w:rFonts w:ascii="Times New Roman;sans-serif" w:hAnsi="Times New Roman;sans-serif"/>
          <w:b/>
          <w:color w:val="000000"/>
          <w:sz w:val="20"/>
        </w:rPr>
        <w:t>Level 2</w:t>
      </w:r>
      <w:r>
        <w:rPr>
          <w:rFonts w:ascii="Times New Roman;sans-serif" w:hAnsi="Times New Roman;sans-serif"/>
          <w:b w:val="false"/>
          <w:color w:val="000000"/>
          <w:sz w:val="20"/>
        </w:rPr>
        <w:t>Quoted prices in markets that are not active or inputs that are observable, either directly or indirectly, for substantially the full term of the assets or liabilities</w:t>
      </w:r>
    </w:p>
    <w:p>
      <w:pPr>
        <w:pStyle w:val="TextBody"/>
        <w:spacing w:lineRule="auto" w:line="288" w:before="240" w:after="283"/>
        <w:ind w:left="0" w:right="0" w:hanging="900"/>
        <w:jc w:val="both"/>
        <w:rPr/>
      </w:pPr>
      <w:r>
        <w:rPr>
          <w:rFonts w:ascii="Times New Roman;sans-serif" w:hAnsi="Times New Roman;sans-serif"/>
          <w:b/>
          <w:color w:val="000000"/>
          <w:sz w:val="20"/>
        </w:rPr>
        <w:t>Level 3</w:t>
      </w:r>
      <w:r>
        <w:rPr>
          <w:rFonts w:ascii="Times New Roman;sans-serif" w:hAnsi="Times New Roman;sans-serif"/>
          <w:b w:val="false"/>
          <w:color w:val="000000"/>
          <w:sz w:val="20"/>
        </w:rPr>
        <w:t>Unobservable inputs to the valuation techniques that are significant to the fair value measurements of the assets or liabilities</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Company’s cash, cash equivalents and marketable securities by significant investment category as of March 31, 2023:</w:t>
      </w:r>
    </w:p>
    <w:tbl>
      <w:tblPr>
        <w:tblW w:w="9731" w:type="dxa"/>
        <w:jc w:val="left"/>
        <w:tblInd w:w="0" w:type="dxa"/>
        <w:tblCellMar>
          <w:top w:w="28" w:type="dxa"/>
          <w:left w:w="28" w:type="dxa"/>
          <w:bottom w:w="28" w:type="dxa"/>
          <w:right w:w="28" w:type="dxa"/>
        </w:tblCellMar>
      </w:tblPr>
      <w:tblGrid>
        <w:gridCol w:w="652"/>
        <w:gridCol w:w="573"/>
        <w:gridCol w:w="575"/>
        <w:gridCol w:w="211"/>
        <w:gridCol w:w="826"/>
        <w:gridCol w:w="109"/>
        <w:gridCol w:w="109"/>
        <w:gridCol w:w="109"/>
        <w:gridCol w:w="109"/>
        <w:gridCol w:w="237"/>
        <w:gridCol w:w="525"/>
        <w:gridCol w:w="124"/>
        <w:gridCol w:w="109"/>
        <w:gridCol w:w="109"/>
        <w:gridCol w:w="109"/>
        <w:gridCol w:w="257"/>
        <w:gridCol w:w="495"/>
        <w:gridCol w:w="134"/>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652"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1" w:type="dxa"/>
            <w:gridSpan w:val="3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Cash and </w:t>
              <w:br/>
              <w:t>Cash</w:t>
              <w:br/>
              <w:t>Equivalents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w:t>
              <w:br/>
              <w:t>term</w:t>
              <w:br/>
              <w:t>Investments</w:t>
            </w:r>
          </w:p>
        </w:tc>
      </w:tr>
      <w:tr>
        <w:trPr/>
        <w:tc>
          <w:tcPr>
            <w:tcW w:w="1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Recurring Measurements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a result, at each fiscal period end the Company reports this put right at the greater of (i) carrying value of the redeemable noncontrolling interest or (ii) fair value of the redeemable noncontrolling interest. Because this asset does not have observable inputs, level 3 inputs are used to measure fair value. The fair value of the redeemable noncontrolling interest is determined utilizing a discounted cash flow model. As of March 31, 2023, the Company’s redeemable noncontrolling interest was recorded at carrying value of $13.5 million.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in and out of Level 3 during the nine months ended March 31, 2023 or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6: Goodwill and Intangible Assets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cost over the fair value of net assets acquired. Goodwill amounted to $124.2 million at each of March 31, 2023 and June 30, 2022. Goodwill is not amortized.</w:t>
      </w:r>
    </w:p>
    <w:p>
      <w:pPr>
        <w:pStyle w:val="TextBody"/>
        <w:spacing w:lineRule="auto" w:line="288" w:before="240" w:after="283"/>
        <w:ind w:left="0" w:right="0" w:firstLine="360"/>
        <w:jc w:val="both"/>
        <w:rPr/>
      </w:pPr>
      <w:r>
        <w:rPr>
          <w:rFonts w:ascii="Times New Roman;sans-serif" w:hAnsi="Times New Roman;sans-serif"/>
          <w:b w:val="false"/>
          <w:color w:val="000000"/>
          <w:sz w:val="20"/>
        </w:rPr>
        <w:t>Pursuant to ASC 350, “</w:t>
      </w:r>
      <w:r>
        <w:rPr>
          <w:rFonts w:ascii="Times New Roman;sans-serif" w:hAnsi="Times New Roman;sans-serif"/>
          <w:b w:val="false"/>
          <w:i/>
          <w:color w:val="000000"/>
          <w:sz w:val="20"/>
        </w:rPr>
        <w:t>Intangibles – Goodwill and Other</w:t>
      </w:r>
      <w:r>
        <w:rPr>
          <w:rFonts w:ascii="Times New Roman;sans-serif" w:hAnsi="Times New Roman;sans-serif"/>
          <w:b w:val="false"/>
          <w:color w:val="000000"/>
          <w:sz w:val="20"/>
        </w:rPr>
        <w:t>,” we review the recoverability of goodwill annually as of April 1 or whenever significant events or changes occur which might impair the recovery of recorded amounts. For purposes of the annual goodwill impairment assessment, the Company has identified three reporting units. There were no indicators of impairment identified and no goodwill impairments recorded during the nine months ended March 31, 2023 and 2022.</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as of:</w:t>
      </w:r>
    </w:p>
    <w:tbl>
      <w:tblPr>
        <w:tblW w:w="5033" w:type="dxa"/>
        <w:jc w:val="left"/>
        <w:tblInd w:w="0" w:type="dxa"/>
        <w:tblCellMar>
          <w:top w:w="28" w:type="dxa"/>
          <w:left w:w="28" w:type="dxa"/>
          <w:bottom w:w="28" w:type="dxa"/>
          <w:right w:w="28" w:type="dxa"/>
        </w:tblCellMar>
      </w:tblPr>
      <w:tblGrid>
        <w:gridCol w:w="1009"/>
        <w:gridCol w:w="887"/>
        <w:gridCol w:w="893"/>
        <w:gridCol w:w="211"/>
        <w:gridCol w:w="616"/>
        <w:gridCol w:w="109"/>
        <w:gridCol w:w="109"/>
        <w:gridCol w:w="109"/>
        <w:gridCol w:w="109"/>
        <w:gridCol w:w="211"/>
        <w:gridCol w:w="616"/>
        <w:gridCol w:w="154"/>
      </w:tblGrid>
      <w:tr>
        <w:trPr/>
        <w:tc>
          <w:tcPr>
            <w:tcW w:w="1009"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2022</w:t>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Definite-lived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consist primarily of customer relationships acquired through business acquisitions. The Company recorded amortization expense of $0.2 million and $0.2 million for the three months ended March 31, 2023 and 2022, respectively. The Company recorded amortization expense of $0.5 million and $0.5 million for the nine months ended March 31, 2023 and 2022, respectively. </w:t>
      </w:r>
    </w:p>
    <w:p>
      <w:pPr>
        <w:pStyle w:val="TextBody"/>
        <w:spacing w:lineRule="auto" w:line="288" w:before="240" w:after="283"/>
        <w:ind w:left="0" w:right="0" w:firstLine="360"/>
        <w:jc w:val="both"/>
        <w:rPr/>
      </w:pPr>
      <w:r>
        <w:rPr>
          <w:rFonts w:ascii="Times New Roman;sans-serif" w:hAnsi="Times New Roman;sans-serif"/>
          <w:b w:val="false"/>
          <w:color w:val="000000"/>
          <w:sz w:val="20"/>
          <w:highlight w:val="white"/>
        </w:rPr>
        <w:t xml:space="preserve">We review the recoverability of other intangible assets in conjunction with long-lived assets whenever events or changes in circumstances indicate the carrying amount of such assets may not be recoverable. There were no intangible asset impairments recorded during the nine months ended </w:t>
      </w:r>
      <w:r>
        <w:rPr>
          <w:rFonts w:ascii="Times New Roman;sans-serif" w:hAnsi="Times New Roman;sans-serif"/>
          <w:b w:val="false"/>
          <w:color w:val="000000"/>
          <w:sz w:val="20"/>
        </w:rPr>
        <w:t>March 31, 2023</w:t>
      </w:r>
      <w:r>
        <w:rPr>
          <w:color w:val="000000"/>
          <w:highlight w:val="white"/>
        </w:rPr>
        <w:t xml:space="preserve"> </w:t>
      </w:r>
      <w:r>
        <w:rPr>
          <w:rFonts w:ascii="Times New Roman;sans-serif" w:hAnsi="Times New Roman;sans-serif"/>
          <w:b w:val="false"/>
          <w:color w:val="000000"/>
          <w:sz w:val="20"/>
          <w:highlight w:val="white"/>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20"/>
          <w:highlight w:val="white"/>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7: Leases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Leasing Arrangements as Lessee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certain property and equipment under various third-party operating and finance lease agreements. The Company determines if an arrangement is or contains a lease at the lease inception date by evaluating whether the arrangement conveys the right to use an identified asset and whether the Company obtains substantially all of the economic benefits from and has the ability to direct the use of the asset. The leases are noncancelable and expire on various terms from 2023 through 2032. We determine if an arrangement is a lease upon commencement of the contract. If an arrangement is determined to be a long-term lease (greater than 12 months), we recognize an ROU asset and lease liability based on the present value of the future minimum lease payments over the lease term at the commencement date. As most of our leases do not provide an implicit rate, we use our incremental borrowing rate based on the information available at commencement date in determining the present value of future payments. Our lease terms may also include options to extend or terminate the lease when it is reasonably certain that we will exercise those options. Lease expense for minimum lease payments is recognized on a straight-line basis over the lease term.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apply the short-term lease exception for contracts that have a lease term of twelve months or less and do not include an option to purchase the underlying asset. Therefore, we do not recognize a ROU asset or lease liability for such contracts. We recognize short-term lease payments as expense on a straight-line basis over the lease term. Variable lease payments that do not depend on an index or rate are recognized as expense. Certain leases include escalations based on inflation indexes and fair market value adjustments. Operating lease liabilities are calculated using the prevailing index or rate at lease commencement for such leases.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20, 2023, we consolidated our Germantown center in Pennsylvania with two of our existing centers. Upon consolidation, we terminated our Germantown center lease and recognized lease termination costs of $0.6 million. Lease termination costs are included in other income (expense) on our consolidated statements of operations.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our ROU assets and their classification in our Balance Sheet at March 31, 2023:</w:t>
      </w:r>
    </w:p>
    <w:tbl>
      <w:tblPr>
        <w:tblW w:w="7530" w:type="dxa"/>
        <w:jc w:val="left"/>
        <w:tblInd w:w="0" w:type="dxa"/>
        <w:tblCellMar>
          <w:top w:w="28" w:type="dxa"/>
          <w:left w:w="28" w:type="dxa"/>
          <w:bottom w:w="28" w:type="dxa"/>
          <w:right w:w="28" w:type="dxa"/>
        </w:tblCellMar>
      </w:tblPr>
      <w:tblGrid>
        <w:gridCol w:w="962"/>
        <w:gridCol w:w="845"/>
        <w:gridCol w:w="848"/>
        <w:gridCol w:w="799"/>
        <w:gridCol w:w="799"/>
        <w:gridCol w:w="802"/>
        <w:gridCol w:w="481"/>
        <w:gridCol w:w="1643"/>
        <w:gridCol w:w="351"/>
      </w:tblGrid>
      <w:tr>
        <w:trPr/>
        <w:tc>
          <w:tcPr>
            <w:tcW w:w="962"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643"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 of Lease Balances</w:t>
            </w:r>
          </w:p>
        </w:tc>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 Line Items</w:t>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br/>
              <w:t>2023</w:t>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24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21,906 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16,663 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leased assets</w:t>
            </w:r>
          </w:p>
        </w:tc>
        <w:tc>
          <w:tcPr>
            <w:tcW w:w="24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38,569 </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our lease cost and the classification of such costs in our Statements of Operations for the nine months ended March 31, 2023:</w:t>
      </w:r>
    </w:p>
    <w:tbl>
      <w:tblPr>
        <w:tblW w:w="10205" w:type="dxa"/>
        <w:jc w:val="left"/>
        <w:tblInd w:w="0" w:type="dxa"/>
        <w:tblCellMar>
          <w:top w:w="28" w:type="dxa"/>
          <w:left w:w="28" w:type="dxa"/>
          <w:bottom w:w="28" w:type="dxa"/>
          <w:right w:w="28" w:type="dxa"/>
        </w:tblCellMar>
      </w:tblPr>
      <w:tblGrid>
        <w:gridCol w:w="785"/>
        <w:gridCol w:w="665"/>
        <w:gridCol w:w="667"/>
        <w:gridCol w:w="2049"/>
        <w:gridCol w:w="1987"/>
        <w:gridCol w:w="1993"/>
        <w:gridCol w:w="442"/>
        <w:gridCol w:w="1291"/>
        <w:gridCol w:w="326"/>
      </w:tblGrid>
      <w:tr>
        <w:trPr/>
        <w:tc>
          <w:tcPr>
            <w:tcW w:w="785"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2049" w:type="dxa"/>
            <w:tcBorders/>
            <w:shd w:fill="auto" w:val="clear"/>
            <w:vAlign w:val="center"/>
          </w:tcPr>
          <w:p>
            <w:pPr>
              <w:pStyle w:val="TableContents"/>
              <w:spacing w:before="0" w:after="283"/>
              <w:rPr>
                <w:sz w:val="4"/>
                <w:szCs w:val="4"/>
              </w:rPr>
            </w:pPr>
            <w:r>
              <w:rPr>
                <w:sz w:val="4"/>
                <w:szCs w:val="4"/>
              </w:rPr>
            </w:r>
          </w:p>
        </w:tc>
        <w:tc>
          <w:tcPr>
            <w:tcW w:w="1987" w:type="dxa"/>
            <w:tcBorders/>
            <w:shd w:fill="auto" w:val="clear"/>
            <w:vAlign w:val="center"/>
          </w:tcPr>
          <w:p>
            <w:pPr>
              <w:pStyle w:val="TableContents"/>
              <w:spacing w:before="0" w:after="283"/>
              <w:rPr>
                <w:sz w:val="4"/>
                <w:szCs w:val="4"/>
              </w:rPr>
            </w:pPr>
            <w:r>
              <w:rPr>
                <w:sz w:val="4"/>
                <w:szCs w:val="4"/>
              </w:rPr>
            </w:r>
          </w:p>
        </w:tc>
        <w:tc>
          <w:tcPr>
            <w:tcW w:w="1993"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r>
      <w:tr>
        <w:trPr/>
        <w:tc>
          <w:tcPr>
            <w:tcW w:w="2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 of Lease Cost</w:t>
            </w:r>
          </w:p>
        </w:tc>
        <w:tc>
          <w:tcPr>
            <w:tcW w:w="60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Statements of Operations Line Items </w:t>
            </w:r>
          </w:p>
        </w:tc>
        <w:tc>
          <w:tcPr>
            <w:tcW w:w="20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br/>
              <w:t>2023</w:t>
            </w:r>
          </w:p>
        </w:tc>
      </w:tr>
      <w:tr>
        <w:trPr/>
        <w:tc>
          <w:tcPr>
            <w:tcW w:w="21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21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care excluding depreciation and amortization and Corporate, general and administrative</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expense:</w:t>
            </w:r>
          </w:p>
        </w:tc>
        <w:tc>
          <w:tcPr>
            <w:tcW w:w="60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leased assets</w:t>
            </w:r>
          </w:p>
        </w:tc>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7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7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6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care excluding depreciation and amortization and Corporate, general and administrative</w:t>
            </w:r>
          </w:p>
        </w:tc>
        <w:tc>
          <w:tcPr>
            <w:tcW w:w="17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6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care excluding depreciation and amortization and Corporate, general and administrative</w:t>
            </w:r>
          </w:p>
        </w:tc>
        <w:tc>
          <w:tcPr>
            <w:tcW w:w="17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expense</w:t>
            </w:r>
          </w:p>
        </w:tc>
        <w:tc>
          <w:tcPr>
            <w:tcW w:w="60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the weighted-average lease terms and discount rates for operating and finance leases as of March 31, 2023:</w:t>
      </w:r>
    </w:p>
    <w:tbl>
      <w:tblPr>
        <w:tblW w:w="4499" w:type="dxa"/>
        <w:jc w:val="left"/>
        <w:tblInd w:w="0" w:type="dxa"/>
        <w:tblCellMar>
          <w:top w:w="28" w:type="dxa"/>
          <w:left w:w="28" w:type="dxa"/>
          <w:bottom w:w="28" w:type="dxa"/>
          <w:right w:w="28" w:type="dxa"/>
        </w:tblCellMar>
      </w:tblPr>
      <w:tblGrid>
        <w:gridCol w:w="1292"/>
        <w:gridCol w:w="1135"/>
        <w:gridCol w:w="1143"/>
        <w:gridCol w:w="271"/>
        <w:gridCol w:w="271"/>
        <w:gridCol w:w="387"/>
      </w:tblGrid>
      <w:tr>
        <w:trPr/>
        <w:tc>
          <w:tcPr>
            <w:tcW w:w="1292"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w:t>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years</w:t>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years</w:t>
            </w:r>
          </w:p>
        </w:tc>
      </w:tr>
    </w:tbl>
    <w:tbl>
      <w:tblPr>
        <w:tblW w:w="3929" w:type="dxa"/>
        <w:jc w:val="left"/>
        <w:tblInd w:w="0" w:type="dxa"/>
        <w:tblCellMar>
          <w:top w:w="28" w:type="dxa"/>
          <w:left w:w="28" w:type="dxa"/>
          <w:bottom w:w="28" w:type="dxa"/>
          <w:right w:w="28" w:type="dxa"/>
        </w:tblCellMar>
      </w:tblPr>
      <w:tblGrid>
        <w:gridCol w:w="1037"/>
        <w:gridCol w:w="911"/>
        <w:gridCol w:w="917"/>
        <w:gridCol w:w="255"/>
        <w:gridCol w:w="256"/>
        <w:gridCol w:w="553"/>
      </w:tblGrid>
      <w:tr>
        <w:trPr/>
        <w:tc>
          <w:tcPr>
            <w:tcW w:w="1037"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5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includes the future maturities of lease payments for operating leases and finance leases for periods subsequent to March 31, 2023: </w:t>
      </w:r>
    </w:p>
    <w:tbl>
      <w:tblPr>
        <w:tblW w:w="7271" w:type="dxa"/>
        <w:jc w:val="left"/>
        <w:tblInd w:w="0" w:type="dxa"/>
        <w:tblCellMar>
          <w:top w:w="28" w:type="dxa"/>
          <w:left w:w="28" w:type="dxa"/>
          <w:bottom w:w="28" w:type="dxa"/>
          <w:right w:w="28" w:type="dxa"/>
        </w:tblCellMar>
      </w:tblPr>
      <w:tblGrid>
        <w:gridCol w:w="1250"/>
        <w:gridCol w:w="1098"/>
        <w:gridCol w:w="1101"/>
        <w:gridCol w:w="211"/>
        <w:gridCol w:w="721"/>
        <w:gridCol w:w="109"/>
        <w:gridCol w:w="109"/>
        <w:gridCol w:w="109"/>
        <w:gridCol w:w="109"/>
        <w:gridCol w:w="211"/>
        <w:gridCol w:w="721"/>
        <w:gridCol w:w="109"/>
        <w:gridCol w:w="109"/>
        <w:gridCol w:w="109"/>
        <w:gridCol w:w="109"/>
        <w:gridCol w:w="211"/>
        <w:gridCol w:w="721"/>
        <w:gridCol w:w="154"/>
      </w:tblGrid>
      <w:tr>
        <w:trPr/>
        <w:tc>
          <w:tcPr>
            <w:tcW w:w="1250"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w:t>
              <w:br/>
              <w:t>Lease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w:t>
              <w:br/>
              <w:t>Lease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remaining in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liability accretion / imputed interest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the future maturities of minimum rental payments that are required to be paid under all non-cancelable operating and capital lease obligations as previously disclosed in our 2022 10-K, prior to the adoption of ASC 842:</w:t>
      </w:r>
    </w:p>
    <w:tbl>
      <w:tblPr>
        <w:tblW w:w="5511" w:type="dxa"/>
        <w:jc w:val="left"/>
        <w:tblInd w:w="0" w:type="dxa"/>
        <w:tblCellMar>
          <w:top w:w="28" w:type="dxa"/>
          <w:left w:w="28" w:type="dxa"/>
          <w:bottom w:w="28" w:type="dxa"/>
          <w:right w:w="28" w:type="dxa"/>
        </w:tblCellMar>
      </w:tblPr>
      <w:tblGrid>
        <w:gridCol w:w="1065"/>
        <w:gridCol w:w="936"/>
        <w:gridCol w:w="939"/>
        <w:gridCol w:w="109"/>
        <w:gridCol w:w="109"/>
        <w:gridCol w:w="109"/>
        <w:gridCol w:w="211"/>
        <w:gridCol w:w="616"/>
        <w:gridCol w:w="109"/>
        <w:gridCol w:w="109"/>
        <w:gridCol w:w="109"/>
        <w:gridCol w:w="109"/>
        <w:gridCol w:w="211"/>
        <w:gridCol w:w="616"/>
        <w:gridCol w:w="154"/>
      </w:tblGrid>
      <w:tr>
        <w:trPr/>
        <w:tc>
          <w:tcPr>
            <w:tcW w:w="1065"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w:t>
              <w:br/>
              <w:t>Lease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br/>
              <w:t>Lease</w:t>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remaining in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Total minimal rental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pPr>
      <w:r>
        <w:rPr>
          <w:rFonts w:ascii="Times New Roman;sans-serif" w:hAnsi="Times New Roman;sans-serif"/>
          <w:b/>
          <w:color w:val="000000"/>
          <w:sz w:val="20"/>
        </w:rPr>
        <w:t>Note</w:t>
      </w:r>
      <w:r>
        <w:rPr>
          <w:color w:val="000000"/>
        </w:rPr>
        <w:t xml:space="preserve"> </w:t>
      </w:r>
      <w:r>
        <w:rPr>
          <w:rFonts w:ascii="Times New Roman;sans-serif" w:hAnsi="Times New Roman;sans-serif"/>
          <w:b/>
          <w:color w:val="000000"/>
          <w:sz w:val="20"/>
        </w:rPr>
        <w:t>8. Long-Term Debt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at March 31, 2023 and June 30, 2022:</w:t>
      </w:r>
    </w:p>
    <w:tbl>
      <w:tblPr>
        <w:tblW w:w="5648" w:type="dxa"/>
        <w:jc w:val="left"/>
        <w:tblInd w:w="0" w:type="dxa"/>
        <w:tblCellMar>
          <w:top w:w="28" w:type="dxa"/>
          <w:left w:w="28" w:type="dxa"/>
          <w:bottom w:w="28" w:type="dxa"/>
          <w:right w:w="28" w:type="dxa"/>
        </w:tblCellMar>
      </w:tblPr>
      <w:tblGrid>
        <w:gridCol w:w="1156"/>
        <w:gridCol w:w="1017"/>
        <w:gridCol w:w="1021"/>
        <w:gridCol w:w="211"/>
        <w:gridCol w:w="721"/>
        <w:gridCol w:w="109"/>
        <w:gridCol w:w="109"/>
        <w:gridCol w:w="109"/>
        <w:gridCol w:w="109"/>
        <w:gridCol w:w="211"/>
        <w:gridCol w:w="721"/>
        <w:gridCol w:w="154"/>
      </w:tblGrid>
      <w:tr>
        <w:trPr/>
        <w:tc>
          <w:tcPr>
            <w:tcW w:w="1156"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2022</w:t>
            </w:r>
          </w:p>
        </w:tc>
      </w:tr>
      <w:tr>
        <w:trPr/>
        <w:tc>
          <w:tcPr>
            <w:tcW w:w="3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3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borrowings: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Facility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term loan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maturities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2021 Credit Agreement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2021, the Company entered into a credit agreement (the “2021 Credit Agreement”) that replaced its prior credit agreement. The 2021 Credit Agreement consists of a senior secured term loan (the “Term Loan Facility”) of $75.0 million principal amount and a revolving credit facility (the “Revolving Credit Facility”) of $100.0 million maximum borrowing capacity, each with a maturity date of March 8, 2026. The remaining capacity under the Revolving Credit Facility as of March 31, 2023 was $97.0 million, subject to (i) any issued amounts under our letters of credit, which as of March 31, 2023 was $3.0 million, and (ii) applicable to covenant compliance restrictions and any other conditions precedent to borrowing. Loans under the 2021 Credit Agreement are secured by substantially all of the Company’s assets. Principal on the Term Loan Facility is paid each calendar quarter in an amount equal to 1.25% of the initial term loan on closing date. Proceeds of the Term Loan Facility, together with proceeds from the Company’s initial public offering (“IPO”), were used to repay long term debt amounts then outstanding.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principal amounts under the 2021 Credit Agreement accrue interest at a variable interest rate. As of March 31, 2023, the interest rate on the Term Loan Facility was 6.60%. Under the terms of the 2021 Credit Agreement, the Revolving Credit Facility fee accrues at 0.25% of the average daily unused amount and is paid quarterly. As of March 31, 2023, we had no borrowings outstanding, $3.0 million of letters of credit issued, and $97.0 million of remaining capacity under the Revolving Credit Facility.</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2021 Credit Agreement requires the Company to meet certain operational and reporting requirements, including, but not limited to, a secured net leverage ratio. Additionally, annual capital expenditures and permitted investments, including acquisitions, are limited to amounts specified in the 2021 Credit Agreement. The 2021 Credit Agreement also provides certain restrictions on dividend payments and other equity transactions and requires the Company to make prepayments under specified circumstances. As of March 31, 2023, the Company was in compliance with the covenants of the 2021 Credit Agreement.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deferred financing costs of $1.3 million are amortized over the term of the underlying debt and unamortized amounts have been offset against long-term debt in the condensed consolidated balance sheets. Total amortization of deferred financing costs was $0.1 million and $0.3 million for the three and nine months ended March 31, 2023, respectively. </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Convertible Term Loan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29, 2015, SH1 entered into a convertible term loan. Monthly principal and interest payments of $0.02 million commenced on September 1, 2015. The loan bears interest at an annual rate of 6.68%, with the remaining principal balance due upon maturity at August 20, 2030. The loan is secured by a deed of trust to Public Trustee, assignment of leases and rents, security agreements, and SH1’s fixture filing.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0"/>
        </w:rPr>
      </w:pPr>
      <w:r>
        <w:rPr>
          <w:rFonts w:ascii="Times New Roman;sans-serif" w:hAnsi="Times New Roman;sans-serif"/>
          <w:b/>
          <w:color w:val="000000"/>
          <w:sz w:val="20"/>
        </w:rPr>
        <w:t>Note 9: Commitments and Contingencies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Professional Liability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in the normal course of business, the Company is involved in or subject to legal proceedings related to its business, including those described below. The Company regularly evaluates the status of claims and legal proceedings in which it is involved in order to assess whether a loss is probable or there is a reasonable possibility that a loss may have been incurred, and to determine if accruals are appropriate. The Company expenses legal costs as such costs are incurred.</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14, 2021, and subsequently amended on June 21, 2022, the Company was named as a defendant in a putative class action complaint filed in the District Court for the District of Colorado on behalf of individuals who purchased or acquired shares of the Company’s common stock during a specified period. Through the complaint, plaintiffs are asserting claims against the Company, certain of the Company’s officers and directors, the Company’s former CEO, Apax Partners, L.P., Welsh, Carson, Anderson &amp; Stowe and the underwriters in the Company’s IPO alleging violations of Sections 11, 12(a)(2) and 15 of the Securities Act of 1933 and Sections 10(b) and 20(a) of the Securities Exchange Act of 1934, as amended (the “Exchange Act”), for making allegedly inaccurate and misleading statements and omissions in connection with the Company’s IPO and subsequent earnings calls and public filings, and seeking to impose control person liability against the officer and director defendants, Apax Partners, L.P. and Welsh, Carson, Anderson &amp; Stowe. The complaint seeks compensatory damages, among other things. On September 13, 2022, the Company and the officer and director defendants and Apax Partners, L.P. and Welsh, Carson, Anderson &amp; Stowe filed a motion to dismiss the amended complaint for failure to state a claim upon which relief can be granted. We are currently unable to predict the outcome of this matter.</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received a civil investigative demand from the Attorney General for the State of Colorado under the Colorado Medicaid False Claims Act. The demand requests information and documents regarding Medicaid billing, patient services and referrals in connection with the Company’s PACE program in Colorado. The Company continues to fully cooperate with the Attorney General and produce the requested information and documentation. We are currently unable to predict the outcome of this investigation.</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received a civil investigative demand from the Department of Justice (“DOJ”) under the Federal False Claims Act on similar subject matter. The demand requests information and documents regarding audits, billing, orders tracking, and quality and timeliness of patient services in connection with the Company’s PACE programs in the states where the Company operates (California, Colorado, New Mexico, Pennsylvania, and Virginia). In December 2022, the Company received a supplemental civil investigative demand requesting supplemental information on the same matters. The Company continues to fully cooperate with the DOJ and produce the requested information and documentation. We are currently unable to predict the outcome of this investigation.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20, 2022, the Board of Directors of the Company received a books and records demand pursuant to Section 220 of the Delaware General Corporation Law, from a purported stockholder of the Company, in connection with the stockholder’s investigation of, among other matters, potential breaches of fiduciary duty, mismanagement, self-dealing, corporate waste or other violations of law by the Company’s Board with respect to these matters. We are currently unable to predict the outcome of this matter.</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the Company agreed to settle a wage and hour class action lawsuit in the State of California for a cash payment of $1.2 million. The agreement is subject to court approval.</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results of legal proceedings and claims are inherently unpredictable and uncertain, we are currently unable to predict whether the legal proceedings we are involved in will, either individually or in the aggregate, have a material adverse effect on our business, financial condition, or cash flows. The outcomes of legal proceedings and claims could be material to the Company’s operating results for any particular period, depending in part, upon the operating results of such period. Regardless of the outcome, litigation has the potential to have an adverse impact on us due to any related defense and settlement costs, diversion of management resources, and other factors.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10: Stock-based Compensation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aggregate stock-based compensation expense is set forth below. Stock-based compensation expense is included in corporate, general and administrative expenses on our consolidated statements of operations.</w:t>
      </w:r>
    </w:p>
    <w:tbl>
      <w:tblPr>
        <w:tblW w:w="8765" w:type="dxa"/>
        <w:jc w:val="left"/>
        <w:tblInd w:w="0" w:type="dxa"/>
        <w:tblCellMar>
          <w:top w:w="28" w:type="dxa"/>
          <w:left w:w="28" w:type="dxa"/>
          <w:bottom w:w="28" w:type="dxa"/>
          <w:right w:w="28" w:type="dxa"/>
        </w:tblCellMar>
      </w:tblPr>
      <w:tblGrid>
        <w:gridCol w:w="1248"/>
        <w:gridCol w:w="1097"/>
        <w:gridCol w:w="1104"/>
        <w:gridCol w:w="259"/>
        <w:gridCol w:w="757"/>
        <w:gridCol w:w="134"/>
        <w:gridCol w:w="134"/>
        <w:gridCol w:w="134"/>
        <w:gridCol w:w="134"/>
        <w:gridCol w:w="259"/>
        <w:gridCol w:w="573"/>
        <w:gridCol w:w="134"/>
        <w:gridCol w:w="109"/>
        <w:gridCol w:w="109"/>
        <w:gridCol w:w="109"/>
        <w:gridCol w:w="232"/>
        <w:gridCol w:w="679"/>
        <w:gridCol w:w="120"/>
        <w:gridCol w:w="120"/>
        <w:gridCol w:w="120"/>
        <w:gridCol w:w="120"/>
        <w:gridCol w:w="232"/>
        <w:gridCol w:w="679"/>
        <w:gridCol w:w="169"/>
      </w:tblGrid>
      <w:tr>
        <w:trPr/>
        <w:tc>
          <w:tcPr>
            <w:tcW w:w="1248"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Profits interests units</w:t>
            </w:r>
          </w:p>
        </w:tc>
        <w:tc>
          <w:tcPr>
            <w:tcW w:w="1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2020 Equity Incentive Plan</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Profits Interests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TCO Group Holdings, L.P. (the “LP”), the Company’s largest shareholder and prior to the IPO, the Company’s parent, maintains the 2020 Equity Incentive Plan pursuant to which interests in the LP in the form of Class B Units (profits interests) could be granted to employees, directors, consultants, and advisers. A maximum number of 16,162,177 Class B Units were authorized for grant under the 2020 Equity Incentive Plan. As of March 31, 2023, a total of 13,009,137 profits interests units had been granted under the 2020 Equity Incentive Plan.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used the Monte Carlo option model to determine the fair value of the profits interests units at the time of the grant. There were no grants awarded during the three and nine months ended March 31, 2023.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profits interests activity for the nine months ended March 31, 2023 was as follows:</w:t>
      </w:r>
    </w:p>
    <w:tbl>
      <w:tblPr>
        <w:tblW w:w="6488" w:type="dxa"/>
        <w:jc w:val="left"/>
        <w:tblInd w:w="0" w:type="dxa"/>
        <w:tblCellMar>
          <w:top w:w="28" w:type="dxa"/>
          <w:left w:w="28" w:type="dxa"/>
          <w:bottom w:w="28" w:type="dxa"/>
          <w:right w:w="28" w:type="dxa"/>
        </w:tblCellMar>
      </w:tblPr>
      <w:tblGrid>
        <w:gridCol w:w="1153"/>
        <w:gridCol w:w="1012"/>
        <w:gridCol w:w="1015"/>
        <w:gridCol w:w="109"/>
        <w:gridCol w:w="109"/>
        <w:gridCol w:w="109"/>
        <w:gridCol w:w="314"/>
        <w:gridCol w:w="314"/>
        <w:gridCol w:w="316"/>
        <w:gridCol w:w="109"/>
        <w:gridCol w:w="109"/>
        <w:gridCol w:w="109"/>
        <w:gridCol w:w="411"/>
        <w:gridCol w:w="996"/>
        <w:gridCol w:w="303"/>
      </w:tblGrid>
      <w:tr>
        <w:trPr/>
        <w:tc>
          <w:tcPr>
            <w:tcW w:w="1153"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Time-based unit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br/>
              <w:t>grant date fair value</w:t>
            </w:r>
          </w:p>
        </w:tc>
      </w:tr>
      <w:tr>
        <w:trPr/>
        <w:tc>
          <w:tcPr>
            <w:tcW w:w="31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balance, June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2,158,071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3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3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balance,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1,264,336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3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6488" w:type="dxa"/>
        <w:jc w:val="left"/>
        <w:tblInd w:w="0" w:type="dxa"/>
        <w:tblCellMar>
          <w:top w:w="28" w:type="dxa"/>
          <w:left w:w="28" w:type="dxa"/>
          <w:bottom w:w="28" w:type="dxa"/>
          <w:right w:w="28" w:type="dxa"/>
        </w:tblCellMar>
      </w:tblPr>
      <w:tblGrid>
        <w:gridCol w:w="1152"/>
        <w:gridCol w:w="1012"/>
        <w:gridCol w:w="1016"/>
        <w:gridCol w:w="109"/>
        <w:gridCol w:w="109"/>
        <w:gridCol w:w="109"/>
        <w:gridCol w:w="314"/>
        <w:gridCol w:w="314"/>
        <w:gridCol w:w="316"/>
        <w:gridCol w:w="109"/>
        <w:gridCol w:w="109"/>
        <w:gridCol w:w="109"/>
        <w:gridCol w:w="411"/>
        <w:gridCol w:w="996"/>
        <w:gridCol w:w="303"/>
      </w:tblGrid>
      <w:tr>
        <w:trPr/>
        <w:tc>
          <w:tcPr>
            <w:tcW w:w="1152"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Performance-based unit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br/>
              <w:t>grant date fair value</w:t>
            </w:r>
          </w:p>
        </w:tc>
      </w:tr>
      <w:tr>
        <w:trPr/>
        <w:tc>
          <w:tcPr>
            <w:tcW w:w="31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balance, June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2,217,865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3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3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balance,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2,118,558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3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unrecognized compensation cost related to profits interests units outstanding as of March 31, 2023 was $2.3 million, comprised (i) $1.1 million related to time-based unit awards expected to be recognized over a weighted-average period of 0.9 years and (ii) $1.2 million related to performance-based unit awards, which will be recorded when it is probable that the performance-based criteria will be met.</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2021 Omnibus Incentive Plan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2021, the compensation committee of our Board of Directors approved the InnovAge Holding Corp. 2021 Omnibus Incentive Plan (the “2021 Omnibus Incentive Plan”), pursuant to which various stock-based awards may be granted to employees, directors, consultants, and advisers. The total number of shares of the Company’s common stock authorized under the 2021 Omnibus Incentive Plan is 14,700,000. The Company has issued time-based restricted stock units under this plan to its employees which generally vest (i) on March 4, 2023, the second anniversary of the grant date, or (ii) over a three-year period with one-third vesting on each anniversary of the date of grant. Certain other vesting periods have also been used. The grant date fair value of restricted stock units with time based vesting is based on the closing market price of our common stock on the date of grant. Certain awards under this plan vest upon achieving specific share price performance criteria and are determined to have performance-based vesting conditions. The Company has issued time-based stock options under this plan to its employees which generally vest at various intervals over a three-year period. Certain awards under this plan vest upon achieving specific share price performance criteria and are determined to have performance-based vesting conditions.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time-based vesting restricted stock units activity for the nine months ended March 31, 2023 was as follows: </w:t>
      </w:r>
    </w:p>
    <w:tbl>
      <w:tblPr>
        <w:tblW w:w="6096" w:type="dxa"/>
        <w:jc w:val="left"/>
        <w:tblInd w:w="0" w:type="dxa"/>
        <w:tblCellMar>
          <w:top w:w="28" w:type="dxa"/>
          <w:left w:w="28" w:type="dxa"/>
          <w:bottom w:w="28" w:type="dxa"/>
          <w:right w:w="28" w:type="dxa"/>
        </w:tblCellMar>
      </w:tblPr>
      <w:tblGrid>
        <w:gridCol w:w="1150"/>
        <w:gridCol w:w="1013"/>
        <w:gridCol w:w="1016"/>
        <w:gridCol w:w="109"/>
        <w:gridCol w:w="109"/>
        <w:gridCol w:w="109"/>
        <w:gridCol w:w="314"/>
        <w:gridCol w:w="314"/>
        <w:gridCol w:w="316"/>
        <w:gridCol w:w="109"/>
        <w:gridCol w:w="109"/>
        <w:gridCol w:w="109"/>
        <w:gridCol w:w="317"/>
        <w:gridCol w:w="769"/>
        <w:gridCol w:w="233"/>
      </w:tblGrid>
      <w:tr>
        <w:trPr/>
        <w:tc>
          <w:tcPr>
            <w:tcW w:w="1150"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Restricted stock units - time based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grant-date fair</w:t>
              <w:br/>
              <w:t>value per share</w:t>
            </w:r>
          </w:p>
        </w:tc>
      </w:tr>
      <w:tr>
        <w:trPr/>
        <w:tc>
          <w:tcPr>
            <w:tcW w:w="31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balance, June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1,048,298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balance,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1,216,006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unrecognized compensation cost related to time based restricted stock units outstanding as of March 31, 2023 was $6.2 million and is expected to be recognized over a weighted-average period of 2.1 years.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performance based vesting restricted stock units activity for the nine months ended March 31, 2023 was as follows: </w:t>
      </w:r>
    </w:p>
    <w:tbl>
      <w:tblPr>
        <w:tblW w:w="6322" w:type="dxa"/>
        <w:jc w:val="left"/>
        <w:tblInd w:w="0" w:type="dxa"/>
        <w:tblCellMar>
          <w:top w:w="28" w:type="dxa"/>
          <w:left w:w="28" w:type="dxa"/>
          <w:bottom w:w="28" w:type="dxa"/>
          <w:right w:w="28" w:type="dxa"/>
        </w:tblCellMar>
      </w:tblPr>
      <w:tblGrid>
        <w:gridCol w:w="1233"/>
        <w:gridCol w:w="1083"/>
        <w:gridCol w:w="1089"/>
        <w:gridCol w:w="109"/>
        <w:gridCol w:w="109"/>
        <w:gridCol w:w="109"/>
        <w:gridCol w:w="314"/>
        <w:gridCol w:w="314"/>
        <w:gridCol w:w="316"/>
        <w:gridCol w:w="109"/>
        <w:gridCol w:w="109"/>
        <w:gridCol w:w="109"/>
        <w:gridCol w:w="317"/>
        <w:gridCol w:w="769"/>
        <w:gridCol w:w="233"/>
      </w:tblGrid>
      <w:tr>
        <w:trPr/>
        <w:tc>
          <w:tcPr>
            <w:tcW w:w="1233"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Restricted stock units - performance based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grant-date fair</w:t>
              <w:br/>
              <w:t>value per share</w:t>
            </w:r>
          </w:p>
        </w:tc>
      </w:tr>
      <w:tr>
        <w:trPr/>
        <w:tc>
          <w:tcPr>
            <w:tcW w:w="3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balance, June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balance,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unrecognized compensation cost related to performance based vesting restricted stock units outstanding as of March 31, 2023 was $0.9 million and is expected to be recognized over a weighted-average period of 2.6 years.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Nonqualified Stock Options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time-based vesting stock option activity for the nine months ended March 31, 2023 was as follows:</w:t>
      </w:r>
    </w:p>
    <w:tbl>
      <w:tblPr>
        <w:tblW w:w="6097" w:type="dxa"/>
        <w:jc w:val="left"/>
        <w:tblInd w:w="0" w:type="dxa"/>
        <w:tblCellMar>
          <w:top w:w="28" w:type="dxa"/>
          <w:left w:w="28" w:type="dxa"/>
          <w:bottom w:w="28" w:type="dxa"/>
          <w:right w:w="28" w:type="dxa"/>
        </w:tblCellMar>
      </w:tblPr>
      <w:tblGrid>
        <w:gridCol w:w="1150"/>
        <w:gridCol w:w="1013"/>
        <w:gridCol w:w="1017"/>
        <w:gridCol w:w="109"/>
        <w:gridCol w:w="109"/>
        <w:gridCol w:w="109"/>
        <w:gridCol w:w="314"/>
        <w:gridCol w:w="314"/>
        <w:gridCol w:w="316"/>
        <w:gridCol w:w="109"/>
        <w:gridCol w:w="109"/>
        <w:gridCol w:w="109"/>
        <w:gridCol w:w="317"/>
        <w:gridCol w:w="769"/>
        <w:gridCol w:w="233"/>
      </w:tblGrid>
      <w:tr>
        <w:trPr/>
        <w:tc>
          <w:tcPr>
            <w:tcW w:w="1150"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 options - time based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grant-date fair</w:t>
              <w:br/>
              <w:t>value per share</w:t>
            </w:r>
          </w:p>
        </w:tc>
      </w:tr>
      <w:tr>
        <w:trPr/>
        <w:tc>
          <w:tcPr>
            <w:tcW w:w="31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balance, June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162,162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balance,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balance,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unrecognized compensation cost related to time-based vesting stock options outstanding as of March 31, 2023 was $0.4 million and is expected to be recognized over a weighted-average period of 1.9 years.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time-based stock options granted during the nine months ended March 31, 2023, was based upon the Black-Scholes option pricing model using the assumptions in the following table:</w:t>
      </w:r>
    </w:p>
    <w:tbl>
      <w:tblPr>
        <w:tblW w:w="5928" w:type="dxa"/>
        <w:jc w:val="left"/>
        <w:tblInd w:w="0" w:type="dxa"/>
        <w:tblCellMar>
          <w:top w:w="28" w:type="dxa"/>
          <w:left w:w="28" w:type="dxa"/>
          <w:bottom w:w="28" w:type="dxa"/>
          <w:right w:w="28" w:type="dxa"/>
        </w:tblCellMar>
      </w:tblPr>
      <w:tblGrid>
        <w:gridCol w:w="1772"/>
        <w:gridCol w:w="1556"/>
        <w:gridCol w:w="1562"/>
        <w:gridCol w:w="211"/>
        <w:gridCol w:w="511"/>
        <w:gridCol w:w="316"/>
      </w:tblGrid>
      <w:tr>
        <w:trPr/>
        <w:tc>
          <w:tcPr>
            <w:tcW w:w="1772"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expected life (years) - time vesting units</w:t>
            </w:r>
          </w:p>
        </w:tc>
        <w:tc>
          <w:tcPr>
            <w:tcW w:w="103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fair values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underlying stock</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performance-based vesting stock option activity for the nine months ended March 31, 2023 was as follows: </w:t>
      </w:r>
    </w:p>
    <w:tbl>
      <w:tblPr>
        <w:tblW w:w="6097" w:type="dxa"/>
        <w:jc w:val="left"/>
        <w:tblInd w:w="0" w:type="dxa"/>
        <w:tblCellMar>
          <w:top w:w="28" w:type="dxa"/>
          <w:left w:w="28" w:type="dxa"/>
          <w:bottom w:w="28" w:type="dxa"/>
          <w:right w:w="28" w:type="dxa"/>
        </w:tblCellMar>
      </w:tblPr>
      <w:tblGrid>
        <w:gridCol w:w="1152"/>
        <w:gridCol w:w="1011"/>
        <w:gridCol w:w="1017"/>
        <w:gridCol w:w="109"/>
        <w:gridCol w:w="109"/>
        <w:gridCol w:w="109"/>
        <w:gridCol w:w="314"/>
        <w:gridCol w:w="314"/>
        <w:gridCol w:w="316"/>
        <w:gridCol w:w="109"/>
        <w:gridCol w:w="109"/>
        <w:gridCol w:w="109"/>
        <w:gridCol w:w="317"/>
        <w:gridCol w:w="769"/>
        <w:gridCol w:w="233"/>
      </w:tblGrid>
      <w:tr>
        <w:trPr/>
        <w:tc>
          <w:tcPr>
            <w:tcW w:w="1152"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 options - performance based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grant-date fair</w:t>
              <w:br/>
              <w:t>value per share</w:t>
            </w:r>
          </w:p>
        </w:tc>
      </w:tr>
      <w:tr>
        <w:trPr/>
        <w:tc>
          <w:tcPr>
            <w:tcW w:w="31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balance, June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776,299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balance,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776,299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unrecognized compensation cost related to performance-based vesting stock options outstanding as of March 31, 2023 was $1.6 million and is expected to be recognized over a weighted-average period of 2.7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0"/>
        </w:rPr>
      </w:pPr>
      <w:r>
        <w:rPr>
          <w:rFonts w:ascii="Times New Roman;sans-serif" w:hAnsi="Times New Roman;sans-serif"/>
          <w:b/>
          <w:color w:val="000000"/>
          <w:sz w:val="20"/>
        </w:rPr>
        <w:t xml:space="preserve">Note 11: Income Taxes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an income tax benefit of $1.4 million and an income tax benefit of $4.1 million for the three months ended March 31, 2023 and 2022, respectively. The Company recorded an income tax benefit of $7.7 million and an income tax provision of $0.1 million for the nine months ended March 31, 2023 and 2022, respectively. This represents an effective tax rate of 17.2% and 56.6% for the three months ended March 31, 2023 and 2022, respectively. This represents an effective tax rate of 19.7% and 1.4% for the nine months ended March 31, 2023 and 2022, respectively.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rate for the nine months ended March 31, 2023 was different from the federal statutory rate primarily due to the Company’s book loss offset partially by disallowed officers’ compensation under Internal Revenue Code (“IRC”) Section 162(m), disallowed stock options related to the profit interest units, exclusion of losses from entities not subject to tax, and lobbying expenses which occurred during the three month period.</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assesses the valuation allowance recorded against deferred tax assets at each reporting date. The determination of whether a valuation allowance for deferred tax assets is appropriate requires the evaluation of positive and negative evidence that can be objectively verified. Consideration must be given to all sources of taxable income available to realize deferred tax assets, including, as applicable, the future reversal of existing temporary differences, future taxable income forecasts exclusive of the reversal of temporary differences and carryforwards, taxable income in carryback years and tax planning strategies. In estimating income taxes, the Company assesses the relative merits and risks of the appropriate income tax treatment of transactions taking into account statutory, judicial, and regulatory guidance. As of the nine-month period ended March 31, 2023, the Company has determined that it is not “more likely than not” that the deferred tax assets associated with certain state net operating losses will be realized and as such continues to maintain a valuation allowance against these state deferred tax assets. The Company has also determined it is not "more likely than not" that the deferred tax assets associated with certain federal net operating losses will be realized and as such has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included a valuation allowance against these federal deferred tax assets. The Company has provided $4.7 million at March 31, 2023 and $4.1 million at June 30, 2022, as a valuation allowance against its deferred tax assets for federal and state net operating losses where there is not sufficient positive evidence to substantiate that these deferred tax assets will be realized at a more-likely-than-not level of assurance.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0"/>
        </w:rPr>
      </w:pPr>
      <w:r>
        <w:rPr>
          <w:rFonts w:ascii="Times New Roman;sans-serif" w:hAnsi="Times New Roman;sans-serif"/>
          <w:b/>
          <w:color w:val="000000"/>
          <w:sz w:val="20"/>
        </w:rPr>
        <w:t xml:space="preserve">Note 12: Earnings per Share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 (“EPS”) is computed using the weighted-average number of common shares outstanding during the period. Diluted earnings per share is computed using the weighted-average number of common shares outstanding during the period, plus the dilutive effect of outstanding options, using the treasury stock method and the average market price of the Company’s common stock during the applicable period. When a loss from continuing operations exists, all dilutive securities and potentially dilutive securities are anti-dilutive and are therefore excluded from the computation of diluted earnings per share. When net income from continuing operations exists, performance-based units, are omitted from the calculation of diluted EPS until it is determined that the performance criteria has been met at the end of the reporting period. For the three and nine months ended March 31, 2023, 659,761 and 37,901 potentially diluted securities, respectively, were excluded from the weighted-average shares used to calculate the diluted net loss per common share as they would have an anti-dilutive effect. There were no potentially anti-dilutive shares for the three and nine months ended March 31, 2022.</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common share:</w:t>
      </w:r>
    </w:p>
    <w:tbl>
      <w:tblPr>
        <w:tblW w:w="10205" w:type="dxa"/>
        <w:jc w:val="left"/>
        <w:tblInd w:w="0" w:type="dxa"/>
        <w:tblCellMar>
          <w:top w:w="28" w:type="dxa"/>
          <w:left w:w="28" w:type="dxa"/>
          <w:bottom w:w="28" w:type="dxa"/>
          <w:right w:w="28" w:type="dxa"/>
        </w:tblCellMar>
      </w:tblPr>
      <w:tblGrid>
        <w:gridCol w:w="1675"/>
        <w:gridCol w:w="1464"/>
        <w:gridCol w:w="1473"/>
        <w:gridCol w:w="253"/>
        <w:gridCol w:w="757"/>
        <w:gridCol w:w="131"/>
        <w:gridCol w:w="109"/>
        <w:gridCol w:w="109"/>
        <w:gridCol w:w="109"/>
        <w:gridCol w:w="253"/>
        <w:gridCol w:w="757"/>
        <w:gridCol w:w="131"/>
        <w:gridCol w:w="109"/>
        <w:gridCol w:w="109"/>
        <w:gridCol w:w="109"/>
        <w:gridCol w:w="227"/>
        <w:gridCol w:w="795"/>
        <w:gridCol w:w="119"/>
        <w:gridCol w:w="109"/>
        <w:gridCol w:w="109"/>
        <w:gridCol w:w="109"/>
        <w:gridCol w:w="255"/>
        <w:gridCol w:w="744"/>
        <w:gridCol w:w="190"/>
      </w:tblGrid>
      <w:tr>
        <w:trPr/>
        <w:tc>
          <w:tcPr>
            <w:tcW w:w="1675" w:type="dxa"/>
            <w:tcBorders/>
            <w:shd w:fill="auto" w:val="clear"/>
            <w:vAlign w:val="center"/>
          </w:tcPr>
          <w:p>
            <w:pPr>
              <w:pStyle w:val="TableContents"/>
              <w:spacing w:before="0" w:after="283"/>
              <w:rPr>
                <w:sz w:val="4"/>
                <w:szCs w:val="4"/>
              </w:rPr>
            </w:pPr>
            <w:r>
              <w:rPr>
                <w:sz w:val="4"/>
                <w:szCs w:val="4"/>
              </w:rPr>
            </w:r>
          </w:p>
        </w:tc>
        <w:tc>
          <w:tcPr>
            <w:tcW w:w="1464" w:type="dxa"/>
            <w:tcBorders/>
            <w:shd w:fill="auto" w:val="clear"/>
            <w:vAlign w:val="center"/>
          </w:tcPr>
          <w:p>
            <w:pPr>
              <w:pStyle w:val="TableContents"/>
              <w:spacing w:before="0" w:after="283"/>
              <w:rPr>
                <w:sz w:val="4"/>
                <w:szCs w:val="4"/>
              </w:rPr>
            </w:pPr>
            <w:r>
              <w:rPr>
                <w:sz w:val="4"/>
                <w:szCs w:val="4"/>
              </w:rPr>
            </w:r>
          </w:p>
        </w:tc>
        <w:tc>
          <w:tcPr>
            <w:tcW w:w="147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46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46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values</w:t>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InnovAge Holding Corp.</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w:t>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135,601,327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135,516,608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135,581,971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135,516,544</w:t>
            </w:r>
          </w:p>
        </w:tc>
      </w:tr>
      <w:tr>
        <w:trPr/>
        <w:tc>
          <w:tcPr>
            <w:tcW w:w="46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EPS (basic)</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(0.05)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(0.02)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0.05</w:t>
            </w: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shares</w:t>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w:t>
            </w:r>
          </w:p>
        </w:tc>
      </w:tr>
      <w:tr>
        <w:trPr/>
        <w:tc>
          <w:tcPr>
            <w:tcW w:w="46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135,601,327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135,516,608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135,581,971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135,530,793</w:t>
            </w:r>
          </w:p>
        </w:tc>
      </w:tr>
      <w:tr>
        <w:trPr/>
        <w:tc>
          <w:tcPr>
            <w:tcW w:w="46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EPS (diluted)</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(0.05)</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(0.02)</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(0.22)</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0.05</w:t>
            </w: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13: Segment Reporting</w:t>
      </w:r>
    </w:p>
    <w:p>
      <w:pPr>
        <w:pStyle w:val="TextBody"/>
        <w:spacing w:lineRule="auto" w:line="288" w:before="240" w:after="283"/>
        <w:ind w:left="0" w:right="0" w:firstLine="360"/>
        <w:jc w:val="both"/>
        <w:rPr/>
      </w:pPr>
      <w:r>
        <w:rPr>
          <w:rFonts w:ascii="Times New Roman;sans-serif" w:hAnsi="Times New Roman;sans-serif"/>
          <w:b w:val="false"/>
          <w:color w:val="000000"/>
          <w:sz w:val="20"/>
        </w:rPr>
        <w:t>The Company applies ASC Topic 280,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which establishes requirements to report selected segment information quarterly and to report annually entity-wide disclosures about operations, major customers and the geographies in which the entity holds material assets and reports revenue. An operating segment is defined as a component that engages in business activities whose operating results are reviewed by the Company’s chief executive officer, who is the chief operating decision maker (“CODM”), and for which discrete financial information is available. The Company has determined that it has five operating segments, three of which are related to the Company’s PACE offering. The PACE-related operating segments are based on three geographic divisions, which are West, Central, and East. Due to the similar economic characteristics, nature of services, and customers, we have aggregated our West, Central, and East operating segments into one reportable segment for PACE. The Company’s remaining two operating segments relate to Homecare and Senior Housing, which are immaterial operating segments, and are shown below as "Other" along with certain corporate unallocated expenses.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performance and allocates capital resources to each segment based on an operating model that is designed to maximize the provision of services provided and profitability. The Company does not review assets by segment and therefore assets by segment are not disclosed below. For the periods presented, all of the Company’s long-lived assets were located in the United States and all revenue was earned in the United States.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uses Center-level Contribution Margin as the measure for assessing performance of its segments. Center-level Contribution Margin is defined as total revenues less external provider costs and cost of care (excluding depreciation and amortization), which includes all medical and pharmacy costs. The Company allocates corporate level expenses to its segments with a majority of the allocation going to the PACE segment.</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operating results regularly provided to the CODM by reportable segment for the three months ended March 31, 2023 and 2022:</w:t>
      </w:r>
    </w:p>
    <w:tbl>
      <w:tblPr>
        <w:tblW w:w="10205" w:type="dxa"/>
        <w:jc w:val="left"/>
        <w:tblInd w:w="0" w:type="dxa"/>
        <w:tblCellMar>
          <w:top w:w="28" w:type="dxa"/>
          <w:left w:w="28" w:type="dxa"/>
          <w:bottom w:w="28" w:type="dxa"/>
          <w:right w:w="28" w:type="dxa"/>
        </w:tblCellMar>
      </w:tblPr>
      <w:tblGrid>
        <w:gridCol w:w="998"/>
        <w:gridCol w:w="709"/>
        <w:gridCol w:w="678"/>
        <w:gridCol w:w="211"/>
        <w:gridCol w:w="826"/>
        <w:gridCol w:w="109"/>
        <w:gridCol w:w="109"/>
        <w:gridCol w:w="109"/>
        <w:gridCol w:w="109"/>
        <w:gridCol w:w="225"/>
        <w:gridCol w:w="434"/>
        <w:gridCol w:w="116"/>
        <w:gridCol w:w="109"/>
        <w:gridCol w:w="109"/>
        <w:gridCol w:w="109"/>
        <w:gridCol w:w="211"/>
        <w:gridCol w:w="826"/>
        <w:gridCol w:w="109"/>
        <w:gridCol w:w="109"/>
        <w:gridCol w:w="109"/>
        <w:gridCol w:w="109"/>
        <w:gridCol w:w="211"/>
        <w:gridCol w:w="826"/>
        <w:gridCol w:w="109"/>
        <w:gridCol w:w="109"/>
        <w:gridCol w:w="109"/>
        <w:gridCol w:w="109"/>
        <w:gridCol w:w="225"/>
        <w:gridCol w:w="434"/>
        <w:gridCol w:w="116"/>
        <w:gridCol w:w="109"/>
        <w:gridCol w:w="109"/>
        <w:gridCol w:w="109"/>
        <w:gridCol w:w="211"/>
        <w:gridCol w:w="826"/>
        <w:gridCol w:w="160"/>
      </w:tblGrid>
      <w:tr>
        <w:trPr/>
        <w:tc>
          <w:tcPr>
            <w:tcW w:w="998"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All other</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All other</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176,988 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177,359 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provider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103,254 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care,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Center-Level Contribution Margin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Overhead costs</w:t>
            </w:r>
            <w:r>
              <w:rPr>
                <w:rFonts w:ascii="Times New Roman;sans-serif" w:hAnsi="Times New Roman;sans-serif"/>
                <w:b w:val="false"/>
                <w:color w:val="000000"/>
                <w:sz w:val="13"/>
              </w:rPr>
              <w:t>(2)</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(7,274)</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operating results regularly provided to the CODM by reportable segment for the nine months ended March 31, 2023 and 2022:</w:t>
      </w:r>
    </w:p>
    <w:tbl>
      <w:tblPr>
        <w:tblW w:w="10205" w:type="dxa"/>
        <w:jc w:val="left"/>
        <w:tblInd w:w="0" w:type="dxa"/>
        <w:tblCellMar>
          <w:top w:w="28" w:type="dxa"/>
          <w:left w:w="28" w:type="dxa"/>
          <w:bottom w:w="28" w:type="dxa"/>
          <w:right w:w="28" w:type="dxa"/>
        </w:tblCellMar>
      </w:tblPr>
      <w:tblGrid>
        <w:gridCol w:w="937"/>
        <w:gridCol w:w="682"/>
        <w:gridCol w:w="673"/>
        <w:gridCol w:w="211"/>
        <w:gridCol w:w="826"/>
        <w:gridCol w:w="109"/>
        <w:gridCol w:w="109"/>
        <w:gridCol w:w="109"/>
        <w:gridCol w:w="109"/>
        <w:gridCol w:w="211"/>
        <w:gridCol w:w="502"/>
        <w:gridCol w:w="109"/>
        <w:gridCol w:w="109"/>
        <w:gridCol w:w="109"/>
        <w:gridCol w:w="109"/>
        <w:gridCol w:w="211"/>
        <w:gridCol w:w="826"/>
        <w:gridCol w:w="109"/>
        <w:gridCol w:w="109"/>
        <w:gridCol w:w="109"/>
        <w:gridCol w:w="109"/>
        <w:gridCol w:w="211"/>
        <w:gridCol w:w="826"/>
        <w:gridCol w:w="109"/>
        <w:gridCol w:w="109"/>
        <w:gridCol w:w="109"/>
        <w:gridCol w:w="109"/>
        <w:gridCol w:w="211"/>
        <w:gridCol w:w="502"/>
        <w:gridCol w:w="109"/>
        <w:gridCol w:w="109"/>
        <w:gridCol w:w="109"/>
        <w:gridCol w:w="109"/>
        <w:gridCol w:w="211"/>
        <w:gridCol w:w="826"/>
        <w:gridCol w:w="159"/>
      </w:tblGrid>
      <w:tr>
        <w:trPr/>
        <w:tc>
          <w:tcPr>
            <w:tcW w:w="937"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2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All other</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All other</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22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525,780 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provider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284,299 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care,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129,740 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Center-Level Contribution Margin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111,741 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Overhead costs</w:t>
            </w:r>
            <w:r>
              <w:rPr>
                <w:rFonts w:ascii="Times New Roman;sans-serif" w:hAnsi="Times New Roman;sans-serif"/>
                <w:b w:val="false"/>
                <w:color w:val="000000"/>
                <w:sz w:val="13"/>
              </w:rPr>
              <w:t>(2)</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93,365 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(1)Center-level Contribution Margin from segments below the quantitative thresholds are attributable to two operating segments of the Company. Those segments consist of Homecare and Senior Housing. Neither of those segments has ever met any of the quantitative thresholds for determining reportable segments.</w:t>
      </w:r>
    </w:p>
    <w:p>
      <w:pPr>
        <w:pStyle w:val="TextBody"/>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(2)Overhead consists of the Sales and marketing and Corporate, general and administrative financial statement line items.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14: Related Party Transactions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PWD Amended and Restated Agreement of Limited Partnership, the general partner, who is a subsidiary of the Company (the “General Partner”), funded operating deficits and shortfalls of PWD in the form of a loan. At each of March 31, 2023 and June 30, 2022, $0.7 million was recorded in Deposits and other. Additionally, the General Partner is paid an administration fee of $35,000 per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15: Subsequent Events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Effective May 1, 2023, the California Department of Health Care Services (“DHCS”) released the Company’s center in Sacramento, California from enrollment sanction. The action by DHCS follows the previously announced release of sanction by the Centers for Medicare and Medicaid Services in November of 2022. The release of both sanctions permits the Company to resume normal enrollment at the Company’s center in Sacramento, California. CMS and DHCS will require the Company to conduct post-sanction corrective action and monitoring activities to address any issues identified during the validation audits.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of our financial condition and results of operations should be read in conjunction with our condensed consolidated financial statements and the related notes included elsewhere in this Quarterly Report on Form 10-Q. The discussion contains forward-looking statements that are based on the beliefs of management, as well as assumptions made by, and information currently available to, our management. Readers are cautioned not to place undue reliance on any forward-looking statements, as forward-looking statements are not guarantees of future performance and the Company’s actual results may differ significantly due to numerous known and unknown risks and uncertainties, including those discussed below and in the section entitled “Cautionary Note on Forward-Looking Statements.” Those known risks and uncertainties include, but are not limited to, the risk factors identified in the section titled “Risk Factors” in this Quarterly Report on Form 10-Q and in our Annual Report on Form 10-K for the fiscal year ended June 30, 2022 (“2022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InnovAge Holding Corp. (“InnovAge”) became a public company in March 2021. As of March 31, 2023, the Company served approximately 6,310 PACE participants, and operated 17 PACE centers across Colorado, California, New Mexico, Pennsylvania, and Virginia. During the third quarter ended March 31, 2023, the Company consolidated its Germantown LIFE center with its Allegheny and Henry Avenue LIFE centers in Pennsylvania.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Trends and Uncertainties Affecting the Company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year 2022, the U.S. and global economies experienced adverse macroeconomic effects in part resulting from the ongoing effects of the COVID-19 pandemic, as discussed in more detail below. These effects included inflation and increased wages due to labor shortages. In fiscal year 2022, in response to high levels of inflation, we began to implement various mitigation strategies to reduce costs of operation, including consolidating services and price negotiations with providers and vendors. While inflationary pressures eased slightly during the three and nine months ended March 31, 2023, inflation has continued during fiscal 2023 and is expected to continue through the remainder of the fiscal year. As a result, the Company has continued the mitigation strategies discussed during the nine months ended March 31, 2023. The effects of inflation, after accounting for these mitigation strategies, were immaterial to our financial results for the three and nine months ended March 31, 2023. Although we expect to continue mitigation efforts, there can be no assurance that our strategies will be sufficient.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increased wage pressure, exacerbated by the labor shortage, increased the cost of providing care and our overall operating expenses during the nine months ended March 31, 2023. The combination of increased wage pressure and labor shortage amongst healthcare personnel, and specifically, trained personnel, has impacted and may continue to impact our expenses and ability to adhere to the complex government laws and regulations that apply to our business.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operating expenses increased $31.8 million, or 6.1%, for the nine months ended March 31, 2023 compared to 2022 due to, in part, the increased cost of care and related cost per participant as a result of increased salaries, wages and benefits associated with increased headcount and higher wage rates, third party audit and compliance support, and increased fleet and contract transportation due to an increase in average daily attendnace, external appointments, and higher fuel costs. We expect to experience elevated operating expenses for the remainder of fiscal 2023. We continue to evaluate increased costs and methods to mitigate or offset such costs.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U.S. regional and global banks faced liquidity issues. Even though regulatory agencies intervened to stabilize the banking system, there is uncertainty in the markets regarding its continued stability, and regulatory agencies may not intervene in future crises. If the banks and financial institutions at which we, or our payors, hold our cash enter receivership or become insolvent, our liquidity may be threatened. Our cash and cash equivalents balance as of March 31, 2023 consisted of cash held in depository accounts, short-term treasuries, and money-market funds at global money-center banks invested in high-quality, short-term investments. While we do hold some regional bank exposure, such cash allocations are immaterial.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Impact of Macroeconomic Conditions and COVID-19</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pandemic altered the behavior of businesses and people, the effects of which, to some extent, continue on federal, state and local economies. On January 30, 2023 the President announced an intention to allow the national emergency and public health emergency declarations related to the COVID-19 pandemic to expire on May 11, 2023. The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declarations have been in place since early 2020, and in addition to various Congress enacted legislation allowed the federal government flexibility to waive or modify certain requirements in a range of areas, including Medicare and Medicaid. We continue to evaluate how the expiration of these emergency declarations may affect our business outlook.</w:t>
      </w:r>
    </w:p>
    <w:p>
      <w:pPr>
        <w:pStyle w:val="TextBody"/>
        <w:spacing w:before="0" w:after="0"/>
        <w:ind w:left="0" w:right="0" w:firstLine="360"/>
        <w:jc w:val="both"/>
        <w:rPr/>
      </w:pPr>
      <w:r>
        <w:rPr/>
      </w:r>
    </w:p>
    <w:p>
      <w:pPr>
        <w:pStyle w:val="TextBody"/>
        <w:spacing w:lineRule="auto" w:line="276" w:before="0" w:after="0"/>
        <w:ind w:left="0" w:right="0" w:firstLine="360"/>
        <w:jc w:val="both"/>
        <w:rPr/>
      </w:pPr>
      <w:r>
        <w:rPr>
          <w:rFonts w:ascii="Times New Roman;sans-serif" w:hAnsi="Times New Roman;sans-serif"/>
          <w:b w:val="false"/>
          <w:i/>
          <w:color w:val="000000"/>
          <w:sz w:val="20"/>
        </w:rPr>
        <w:t xml:space="preserve">Census and capitation revenue. </w:t>
      </w:r>
      <w:r>
        <w:rPr>
          <w:rFonts w:ascii="Times New Roman;sans-serif" w:hAnsi="Times New Roman;sans-serif"/>
          <w:b w:val="false"/>
          <w:color w:val="000000"/>
          <w:sz w:val="20"/>
        </w:rPr>
        <w:t>At this time, we do not believe material census attrition will occur as a result of the expiration of the public health emergency declarations related to COVID-19 and the resumption of Medicaid redetermination.</w:t>
      </w:r>
      <w:r>
        <w:rPr>
          <w:color w:val="000000"/>
        </w:rPr>
        <w:t xml:space="preserve"> </w:t>
      </w:r>
      <w:r>
        <w:rPr>
          <w:rFonts w:ascii="Times New Roman;sans-serif" w:hAnsi="Times New Roman;sans-serif"/>
          <w:b w:val="false"/>
          <w:color w:val="000000"/>
          <w:sz w:val="20"/>
        </w:rPr>
        <w:t>The frailty level of PACE participants coupled with the complexity of Medicaid services needed, result in a comprehensive financial qualifications review compared to the more traditional Medicaid-only population.</w:t>
      </w:r>
      <w:r>
        <w:rPr>
          <w:color w:val="000000"/>
        </w:rPr>
        <w:t xml:space="preserve"> </w:t>
      </w:r>
      <w:r>
        <w:rPr>
          <w:rFonts w:ascii="Times New Roman;sans-serif" w:hAnsi="Times New Roman;sans-serif"/>
          <w:b w:val="false"/>
          <w:color w:val="000000"/>
          <w:sz w:val="20"/>
        </w:rPr>
        <w:t>Additionally, throughout the public health emergency, the Company has continued to complete annual Medicaid redeterminations with a dedicated team to support these efforts.</w:t>
      </w:r>
      <w:r>
        <w:rPr>
          <w:color w:val="000000"/>
        </w:rPr>
        <w:t xml:space="preserve"> </w:t>
      </w:r>
      <w:r>
        <w:rPr>
          <w:rFonts w:ascii="Times New Roman;sans-serif" w:hAnsi="Times New Roman;sans-serif"/>
          <w:b w:val="false"/>
          <w:color w:val="000000"/>
          <w:sz w:val="20"/>
        </w:rPr>
        <w:t>Our process enables the Company to provide a high degree of service to participants to monitor eligibility, assist with the redetermination process, address potential issues with eligibility in real time, and track future renewal dates.</w:t>
      </w:r>
    </w:p>
    <w:p>
      <w:pPr>
        <w:pStyle w:val="TextBody"/>
        <w:spacing w:lineRule="auto" w:line="288" w:before="240" w:after="283"/>
        <w:ind w:left="0" w:right="0" w:firstLine="360"/>
        <w:jc w:val="both"/>
        <w:rPr/>
      </w:pPr>
      <w:r>
        <w:rPr>
          <w:rFonts w:ascii="Times New Roman;sans-serif" w:hAnsi="Times New Roman;sans-serif"/>
          <w:b w:val="false"/>
          <w:i/>
          <w:color w:val="000000"/>
          <w:sz w:val="20"/>
        </w:rPr>
        <w:t>Expenses</w:t>
      </w:r>
      <w:r>
        <w:rPr>
          <w:rFonts w:ascii="Times New Roman;sans-serif" w:hAnsi="Times New Roman;sans-serif"/>
          <w:b w:val="false"/>
          <w:color w:val="000000"/>
          <w:sz w:val="20"/>
        </w:rPr>
        <w:t xml:space="preserve">. The virus has and continues to impact older adults, especially those with chronic illnesses, which describes our participants. The United States experienced supply chain issues with respect to personal protective equipment (“PPE”) and other medical supplies during the height of the pandemic. Global logistics network challenges resulted in higher prices for medical supplies we require. While supply chain disruptions have adversely affected, and may continue to adversely affect, our business and outlook, supply chain disruptions have improved to almost pre-pandemic level during the course of the first nine months of fiscal 2023. As a result, prices for most medical supplies have normalized. </w:t>
      </w:r>
    </w:p>
    <w:p>
      <w:pPr>
        <w:pStyle w:val="TextBody"/>
        <w:spacing w:lineRule="auto" w:line="288" w:before="240" w:after="283"/>
        <w:ind w:left="0" w:right="0" w:firstLine="360"/>
        <w:jc w:val="both"/>
        <w:rPr/>
      </w:pPr>
      <w:r>
        <w:rPr>
          <w:rFonts w:ascii="Times New Roman;sans-serif" w:hAnsi="Times New Roman;sans-serif"/>
          <w:b w:val="false"/>
          <w:i/>
          <w:color w:val="000000"/>
          <w:sz w:val="20"/>
        </w:rPr>
        <w:t>Labor market</w:t>
      </w:r>
      <w:r>
        <w:rPr>
          <w:rFonts w:ascii="Times New Roman;sans-serif" w:hAnsi="Times New Roman;sans-serif"/>
          <w:b w:val="false"/>
          <w:color w:val="000000"/>
          <w:sz w:val="20"/>
        </w:rPr>
        <w:t xml:space="preserve">. The COVID-19 pandemic has and continues to exacerbate difficulties to hire additional healthcare professionals, causing certain of our centers to be understaffed or staffed with personnel that requires training. In fiscal year 2022, we experienced workforce and labor shortages, within all of our centers. This labor pressure has eased slightly during the nine months ended March 31, 2023. While the labor pressure and related costs have eased slightly, the Company continues to be affected by the increased competition in the labor market and market adjustments to increase retention and improve our ability to hire. These adjustments contributed, in part, to an increase in cost of care for the nine months ended March 31, 2023, further impacted by additional staffing related to compliance and remediation efforts. This increase in conjunction with higher headcount has contributed to increased cost of care for the nine months ended March 31, 2023 compared to the nine months ended March 31, 2022 as discussed in “Results of Operations” below. We continue to assess key roles and benchmarks to market while monitoring trends in the labor market.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on the various risks posed by macroeconomic events and the ongoing COVID-19 pandemic, please see the section entitled “Risk Factors” included in Part I, Item 1A of our 2022 10-K. </w:t>
      </w:r>
    </w:p>
    <w:p>
      <w:pPr>
        <w:pStyle w:val="TextBody"/>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Key Factors Affecting Our Performance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historical financial performance has been, and we expect our financial performance in the future to be, driven by the following factors:</w:t>
      </w:r>
    </w:p>
    <w:p>
      <w:pPr>
        <w:pStyle w:val="TextBody"/>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Our ability to effectively implement remediation efforts in our centers as a result of our recent audits. </w:t>
      </w:r>
      <w:r>
        <w:rPr>
          <w:rFonts w:ascii="Times New Roman;sans-serif" w:hAnsi="Times New Roman;sans-serif"/>
          <w:b w:val="false"/>
          <w:color w:val="000000"/>
          <w:sz w:val="20"/>
        </w:rPr>
        <w:t>The Company’s priority is to remediate the deficiencies raised in audit processes and to implement post-sanction corrective actions, where required. As part of its actions to do so, the Company has worked with the appropriate authorities to make the necessary changes within the Company to increase care coordination and care documentation among our centers, including working to fill critical personnel gaps at our centers, standardizing the process of our Interdisciplinary Care Teams (“IDTs”), strengthening our home care network and reliability, improving timelines of scheduling and coordinating care with providers outside our centers, among others. See “Audit Processes and Remediation Efforts” below.</w:t>
      </w:r>
    </w:p>
    <w:p>
      <w:pPr>
        <w:pStyle w:val="TextBody"/>
        <w:spacing w:lineRule="auto" w:line="288" w:before="240" w:after="283"/>
        <w:ind w:left="0" w:right="0" w:hanging="360"/>
        <w:jc w:val="both"/>
        <w:rPr/>
      </w:pPr>
      <w:r>
        <w:rPr>
          <w:color w:val="000000"/>
        </w:rPr>
        <w:t>•</w:t>
      </w:r>
      <w:r>
        <w:rPr>
          <w:rFonts w:ascii="Times New Roman;sans-serif" w:hAnsi="Times New Roman;sans-serif"/>
          <w:b w:val="false"/>
          <w:i/>
          <w:color w:val="000000"/>
          <w:sz w:val="20"/>
        </w:rPr>
        <w:t>Our participants.</w:t>
      </w:r>
      <w:r>
        <w:rPr>
          <w:color w:val="000000"/>
        </w:rPr>
        <w:t xml:space="preserve"> </w:t>
      </w:r>
      <w:r>
        <w:rPr>
          <w:rFonts w:ascii="Times New Roman;sans-serif" w:hAnsi="Times New Roman;sans-serif"/>
          <w:b w:val="false"/>
          <w:color w:val="000000"/>
          <w:sz w:val="20"/>
        </w:rPr>
        <w:t xml:space="preserve">We focus on providing all-inclusive care to frail, high-cost, dual-eligible seniors. We directly contract with government payors, such as Medicare and Medicaid, through PACE and receive a capitated risk-adjusted payment to manage the totality of a participant’s medical care across all settings. InnovAge manages participants that are, on average, more complex and medically fragile than other Medicare-eligible patients, including those in Medicare Advantage (“MA”) programs. As a result, we receive larger payments for our participants compared to MA participants. This is driven by two factors: (i) we manage a higher acuity population, with an average risk adjustment factor (“RAF”) score of 2.53 based on InnovAge data as of March 31, 2023; and (ii) we manage Medicaid spend in addition to Medicare. Our participants are managed on a capitated, or at-risk basis, where InnovAge is financially responsible for all of participant medical costs. Our comprehensive care model and globally capitated payments are designed to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jc w:val="both"/>
        <w:rPr/>
      </w:pPr>
      <w:r>
        <w:rPr>
          <w:rFonts w:ascii="Times New Roman;sans-serif" w:hAnsi="Times New Roman;sans-serif"/>
          <w:b w:val="false"/>
          <w:color w:val="000000"/>
          <w:sz w:val="20"/>
        </w:rPr>
        <w:t>cover participants from enrollment until the end of life, including coverage for participants requiring hospice and palliative care. For dual-eligible participants, we receive per member, per month (“PMPM”) payments directly from Medicare and Medicaid, which provides recurring revenue streams and significant visibility into our revenue. The Medicare portion of our capitated payment is risk-based on the underlying medical conditions and frailty of each participant.</w:t>
      </w:r>
      <w:r>
        <w:rPr>
          <w:color w:val="000000"/>
        </w:rPr>
        <w:t xml:space="preserve"> </w:t>
      </w:r>
    </w:p>
    <w:p>
      <w:pPr>
        <w:pStyle w:val="TextBody"/>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Our ability to grow enrollment and capacity within existing centers. </w:t>
      </w:r>
      <w:r>
        <w:rPr>
          <w:rFonts w:ascii="Times New Roman;sans-serif" w:hAnsi="Times New Roman;sans-serif"/>
          <w:b w:val="false"/>
          <w:color w:val="000000"/>
          <w:sz w:val="20"/>
        </w:rPr>
        <w:t xml:space="preserve">We believe all seniors should have access to the type of all-inclusive care offered by the PACE model. Several factors can affect our ability to grow enrollment and capacity within existing centers, including sanctions issued by regulators. </w:t>
      </w:r>
    </w:p>
    <w:p>
      <w:pPr>
        <w:pStyle w:val="TextBody"/>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Our ability to maintain high participant satisfaction and retention. </w:t>
      </w:r>
      <w:r>
        <w:rPr>
          <w:rFonts w:ascii="Times New Roman;sans-serif" w:hAnsi="Times New Roman;sans-serif"/>
          <w:b w:val="false"/>
          <w:color w:val="000000"/>
          <w:sz w:val="20"/>
        </w:rPr>
        <w:t>We achieved a 74% participant satisfaction rating as of January 1, 2023 and average participant tenure was 3.2 years as of March 31, 2023, measured as tenure from enrollment to disenrollment, among our centers that have been operated by us for at least five years. Furthermore, we experience low levels of voluntary disenrollment, averaging 5.7% annually over the last three fiscal years. Approximately 75% of our historical disenrollments have been involuntary, due primarily to participant death or otherwise due to participants moving out of our service areas.</w:t>
      </w:r>
    </w:p>
    <w:p>
      <w:pPr>
        <w:pStyle w:val="TextBody"/>
        <w:spacing w:lineRule="auto" w:line="288" w:before="240" w:after="283"/>
        <w:ind w:left="0" w:right="0" w:hanging="360"/>
        <w:jc w:val="both"/>
        <w:rPr/>
      </w:pPr>
      <w:r>
        <w:rPr>
          <w:color w:val="000000"/>
        </w:rPr>
        <w:t>•</w:t>
      </w:r>
      <w:r>
        <w:rPr>
          <w:rFonts w:ascii="Times New Roman;sans-serif" w:hAnsi="Times New Roman;sans-serif"/>
          <w:b w:val="false"/>
          <w:i/>
          <w:color w:val="000000"/>
          <w:sz w:val="20"/>
        </w:rPr>
        <w:t>Effectively managing the cost of care for our participants</w:t>
      </w:r>
      <w:r>
        <w:rPr>
          <w:rFonts w:ascii="Times New Roman;sans-serif" w:hAnsi="Times New Roman;sans-serif"/>
          <w:b w:val="false"/>
          <w:color w:val="000000"/>
          <w:sz w:val="20"/>
        </w:rPr>
        <w:t>. We receive capitated payments to manage the totality of a participant’s medical care across all settings. Because our participants are among the most frail and medically complex individuals in the U.S. healthcare system, our external provider costs and cost of care, excluding depreciation and amortization, represented approximately 86% of our revenue in the nine months ended March 31, 2023. While we are liable for potentially large medical claims, our care model focuses on delivering high-quality medical care in cost efficient, community-based settings as a means of avoiding costly inpatient and outpatient services. However, our participants retain the freedom to seek care at sites of their choice, including hospitals and emergency rooms; we do not restrict participant access to care.</w:t>
      </w:r>
    </w:p>
    <w:p>
      <w:pPr>
        <w:pStyle w:val="TextBody"/>
        <w:spacing w:lineRule="auto" w:line="288" w:before="240" w:after="283"/>
        <w:ind w:left="0" w:right="0" w:hanging="360"/>
        <w:jc w:val="both"/>
        <w:rPr/>
      </w:pPr>
      <w:r>
        <w:rPr>
          <w:color w:val="000000"/>
        </w:rPr>
        <w:t>•</w:t>
      </w:r>
      <w:r>
        <w:rPr>
          <w:rFonts w:ascii="Times New Roman;sans-serif" w:hAnsi="Times New Roman;sans-serif"/>
          <w:b w:val="false"/>
          <w:i/>
          <w:color w:val="000000"/>
          <w:sz w:val="20"/>
        </w:rPr>
        <w:t>Center-level Contribution Margin</w:t>
      </w:r>
      <w:r>
        <w:rPr>
          <w:rFonts w:ascii="Times New Roman;sans-serif" w:hAnsi="Times New Roman;sans-serif"/>
          <w:b w:val="false"/>
          <w:color w:val="000000"/>
          <w:sz w:val="20"/>
        </w:rPr>
        <w:t xml:space="preserve">. As we serve more participants in existing centers, we leverage our fixed cost base at those centers and the value of a center to our business increases over time. The enrollment sanctions in Sacramento, California and Colorado limited our ability to grow our participant census and impact Center-level Contribution Margin in fiscal 2022 and the first half of fiscal 2023. </w:t>
      </w:r>
    </w:p>
    <w:p>
      <w:pPr>
        <w:pStyle w:val="TextBody"/>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Our ability to expand via acquisition or de novo centers within existing and new markets. </w:t>
      </w:r>
      <w:r>
        <w:rPr>
          <w:rFonts w:ascii="Times New Roman;sans-serif" w:hAnsi="Times New Roman;sans-serif"/>
          <w:b w:val="false"/>
          <w:color w:val="000000"/>
          <w:sz w:val="20"/>
        </w:rPr>
        <w:t xml:space="preserve">Several factors can affect our ability to open de novo centers, including sanctions issued by regulators, opening costs and availability of qualified and trained personnel. On January 7, 2022, the Department of Health Care Services ("DHCS") of the State of California notified us that it was suspending the State’s previously provided assurances that it would enter into a PACE program agreement with the Company ("State Attestations") with respect to de novo centers in the State of California until such time as the corrective action plans (“CAPs”) and the remediation and validation processes for our Sacramento center have been successfully completed and the enrollment sanctions are lifted. In addition, on February 9, 2022, we received notice from the Cabinet for Health and Family Services of the State of Kentucky informing us that they no longer intend to enter into an agreement with us to be a PACE provider in the State of Kentucky. On February 14, 2022, CMS denied our application to develop the previously announced PACE center in Terre Haute, Indiana, which was projected to open in fiscal year 2024 based on deficiencies detected during CMS’ 2021 audits of our Sacramento and Colorado PACE programs. In Florida, we are moving forward with pursuit of licensure required to open a PACE center in each of Tampa and Orlando, with the support of the Florida Agency for Health Care Services and CMS. </w:t>
      </w:r>
    </w:p>
    <w:p>
      <w:pPr>
        <w:pStyle w:val="TextBody"/>
        <w:spacing w:lineRule="auto" w:line="288" w:before="240" w:after="283"/>
        <w:ind w:left="0" w:right="0" w:hanging="360"/>
        <w:jc w:val="both"/>
        <w:rPr/>
      </w:pPr>
      <w:r>
        <w:rPr>
          <w:color w:val="000000"/>
        </w:rPr>
        <w:t>•</w:t>
      </w:r>
      <w:r>
        <w:rPr>
          <w:rFonts w:ascii="Times New Roman;sans-serif" w:hAnsi="Times New Roman;sans-serif"/>
          <w:b w:val="false"/>
          <w:i/>
          <w:color w:val="000000"/>
          <w:sz w:val="20"/>
        </w:rPr>
        <w:t>Execute tuck-in acquisitions.</w:t>
      </w:r>
      <w:r>
        <w:rPr>
          <w:color w:val="000000"/>
        </w:rPr>
        <w:t xml:space="preserve"> </w:t>
      </w:r>
      <w:r>
        <w:rPr>
          <w:rFonts w:ascii="Times New Roman;sans-serif" w:hAnsi="Times New Roman;sans-serif"/>
          <w:b w:val="false"/>
          <w:color w:val="000000"/>
          <w:sz w:val="20"/>
        </w:rPr>
        <w:t>From fiscal year 2019 through fiscal year 2021, we acquired and integrated three PACE organizations, expanding our InnovAge Platform to one new state and four new markets through those acquisitions. We are disciplined in our approach to acquisitions and have executed multiple types of transactions, including turnarounds and non-profit conversions. Historically, when integrating acquired programs, we worked closely with key constituencies, including local governments, health systems and senior housing providers, to enable continuity of high-quality care for participants. Once restrictions on our ability to open de novo centers are lifted or resolved, we intend to resume execution of tuck-in acquisitions.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i/>
          <w:color w:val="000000"/>
          <w:sz w:val="20"/>
        </w:rPr>
        <w:t>Contracting with government payors</w:t>
      </w:r>
      <w:r>
        <w:rPr>
          <w:rFonts w:ascii="Times New Roman;sans-serif" w:hAnsi="Times New Roman;sans-serif"/>
          <w:b w:val="false"/>
          <w:color w:val="000000"/>
          <w:sz w:val="20"/>
        </w:rPr>
        <w:t xml:space="preserve">. Our economic model relies on our capitated arrangements with government payors, namely Medicare and Medicaid. We view the government not only as a payor but also as a key partner in our efforts to expand into new geographies and access more participants in our existing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markets. Maintaining, supporting and growing these relationships in existing markets as well as new geographies, is critical to our long-term success.</w:t>
      </w:r>
    </w:p>
    <w:p>
      <w:pPr>
        <w:pStyle w:val="TextBody"/>
        <w:spacing w:lineRule="auto" w:line="288" w:before="240" w:after="283"/>
        <w:ind w:left="0" w:right="0" w:hanging="360"/>
        <w:jc w:val="both"/>
        <w:rPr/>
      </w:pPr>
      <w:r>
        <w:rPr>
          <w:color w:val="000000"/>
        </w:rPr>
        <w:t>•</w:t>
      </w:r>
      <w:r>
        <w:rPr>
          <w:rFonts w:ascii="Times New Roman;sans-serif" w:hAnsi="Times New Roman;sans-serif"/>
          <w:b w:val="false"/>
          <w:i/>
          <w:color w:val="000000"/>
          <w:sz w:val="20"/>
        </w:rPr>
        <w:t>Investing to support growth</w:t>
      </w:r>
      <w:r>
        <w:rPr>
          <w:rFonts w:ascii="Times New Roman;sans-serif" w:hAnsi="Times New Roman;sans-serif"/>
          <w:b w:val="false"/>
          <w:color w:val="000000"/>
          <w:sz w:val="20"/>
        </w:rPr>
        <w:t>. We intend to continue investing in our centers, value-based care model, and sales and marketing organization to support long-term growth. We expect our expenses to increase in absolute dollars for the foreseeable future to support our growth and due to additional costs we are incurring and expect to incur as a public company, including expenses related to compliance with the rules and regulations of the SEC and the listing standards of Nasdaq, additional corporate and director and officer insurance, investor relations and increased legal, audit, reporting and consulting fees. We also expect to incur additional expenses for the foreseeable future in connection with current and future audits to our centers, remediation plans and current and potential legal and regulatory proceedings. We plan to invest in future growth judiciously and maintain focus on managing our results of operations. Accordingly, in the short term we expect the activities noted above to increase our expenses as a percentage of revenue, but in the longer term, we anticipate that these investments will positively impact our business and results of operations.</w:t>
      </w:r>
    </w:p>
    <w:p>
      <w:pPr>
        <w:pStyle w:val="TextBody"/>
        <w:spacing w:lineRule="auto" w:line="288" w:before="240" w:after="283"/>
        <w:ind w:left="0" w:right="0" w:hanging="360"/>
        <w:jc w:val="both"/>
        <w:rPr/>
      </w:pPr>
      <w:r>
        <w:rPr>
          <w:color w:val="000000"/>
        </w:rPr>
        <w:t>•</w:t>
      </w:r>
      <w:r>
        <w:rPr>
          <w:rFonts w:ascii="Times New Roman;sans-serif" w:hAnsi="Times New Roman;sans-serif"/>
          <w:b w:val="false"/>
          <w:i/>
          <w:color w:val="000000"/>
          <w:sz w:val="20"/>
        </w:rPr>
        <w:t>Seasonality of our business</w:t>
      </w:r>
      <w:r>
        <w:rPr>
          <w:rFonts w:ascii="Times New Roman;sans-serif" w:hAnsi="Times New Roman;sans-serif"/>
          <w:b w:val="false"/>
          <w:color w:val="000000"/>
          <w:sz w:val="20"/>
        </w:rPr>
        <w:t>. Our operational and financial results, including medical costs and per-participant revenue true-ups, will experience some variability depending upon the time of year in which they are measured. Medical costs vary most significantly as a result of (i) the weather, with certain illnesses, such as the influenza virus, being more prevalent during colder months of the year, which generally increases per-participant costs and (ii) the number of business days in a period, with shorter periods generally having lower medical costs all else equal. Per-participant revenue true-ups represent the difference between our estimate of per-participant capitation revenue to be received and actual revenue received by CMS, which is based on CMS’s determination of a participant’s Risk Adjustment Factor score as measured twice per year and is based on the evolving acuity of a participant. Based on the difference between our estimate and the final determination from CMS, we may receive incremental true up revenue or be required to repay certain amounts. Historically, these true-up payments typically occur between May and August, but the timing of these payments is determined by CMS, and we have neither visibility into nor control over the timing of such payments.</w:t>
      </w:r>
    </w:p>
    <w:p>
      <w:pPr>
        <w:pStyle w:val="TextBody"/>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Audit Processes and Remediation Efforts </w:t>
      </w:r>
    </w:p>
    <w:p>
      <w:pPr>
        <w:pStyle w:val="TextBody"/>
        <w:spacing w:lineRule="auto" w:line="288" w:before="24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are routinely subject to, and will continue to be subject to, various governmental inspections, reviews and audits. Set forth below is a summary of the ongoing audits at our centers and updates on such audit processes. </w:t>
      </w:r>
    </w:p>
    <w:p>
      <w:pPr>
        <w:pStyle w:val="TextBody"/>
        <w:spacing w:lineRule="auto" w:line="288" w:before="240" w:after="283"/>
        <w:ind w:left="0" w:right="0" w:firstLine="360"/>
        <w:jc w:val="both"/>
        <w:rPr/>
      </w:pPr>
      <w:r>
        <w:rPr>
          <w:rFonts w:ascii="Times New Roman;sans-serif" w:hAnsi="Times New Roman;sans-serif"/>
          <w:b w:val="false"/>
          <w:i/>
          <w:color w:val="000000"/>
          <w:sz w:val="20"/>
          <w:highlight w:val="white"/>
        </w:rPr>
        <w:t>Colorado.</w:t>
      </w:r>
      <w:r>
        <w:rPr>
          <w:color w:val="000000"/>
          <w:highlight w:val="white"/>
        </w:rPr>
        <w:t xml:space="preserve"> </w:t>
      </w:r>
      <w:r>
        <w:rPr>
          <w:rFonts w:ascii="Times New Roman;sans-serif" w:hAnsi="Times New Roman;sans-serif"/>
          <w:b w:val="false"/>
          <w:color w:val="000000"/>
          <w:sz w:val="20"/>
          <w:highlight w:val="white"/>
        </w:rPr>
        <w:t xml:space="preserve">On January 23, 2023, both CMS and Colorado Department of Health Care Policy &amp; Financing (“HCPF”) released enrollment sanctions for all Colorado centers and normal enrollment since resumed. CMS and HCPF require that we conduct post-sanction corrective action and monitoring activities to address any issues identified during the validation audits. </w:t>
      </w:r>
    </w:p>
    <w:p>
      <w:pPr>
        <w:pStyle w:val="TextBody"/>
        <w:spacing w:lineRule="auto" w:line="288" w:before="240" w:after="283"/>
        <w:ind w:left="0" w:right="0" w:firstLine="360"/>
        <w:jc w:val="both"/>
        <w:rPr/>
      </w:pPr>
      <w:r>
        <w:rPr>
          <w:rFonts w:ascii="Times New Roman;sans-serif" w:hAnsi="Times New Roman;sans-serif"/>
          <w:b w:val="false"/>
          <w:i/>
          <w:color w:val="000000"/>
          <w:sz w:val="20"/>
          <w:highlight w:val="white"/>
        </w:rPr>
        <w:t xml:space="preserve">California. </w:t>
      </w:r>
      <w:r>
        <w:rPr>
          <w:rFonts w:ascii="Times New Roman;sans-serif" w:hAnsi="Times New Roman;sans-serif"/>
          <w:b w:val="false"/>
          <w:color w:val="000000"/>
          <w:sz w:val="20"/>
          <w:highlight w:val="white"/>
        </w:rPr>
        <w:t>Effective November 21, 2022, CMS released the enrollment sanction for Medicare-eligible participants, and effective May 1, 2023, the DHCS released the state sanction. CMS and DHCS are requiring the Company to conduct post-sanction corrective action and monitoring activities to address any issues identified during the validation audits. The release of both CMS and DHCS sanctions permits the Company to resume normal enrollment of eligible seniors into its PACE program at its Sacramento, California center.</w:t>
      </w:r>
    </w:p>
    <w:p>
      <w:pPr>
        <w:pStyle w:val="TextBody"/>
        <w:spacing w:lineRule="auto" w:line="288" w:before="24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January 2022, DHCS notified us that it was suspending the State Attestations with respect to de novo centers in the State of California until such time as its enrollment sanctions are lifted. </w:t>
      </w:r>
    </w:p>
    <w:p>
      <w:pPr>
        <w:pStyle w:val="TextBody"/>
        <w:spacing w:lineRule="auto" w:line="288" w:before="240" w:after="283"/>
        <w:ind w:left="0" w:right="0" w:firstLine="360"/>
        <w:jc w:val="both"/>
        <w:rPr/>
      </w:pPr>
      <w:r>
        <w:rPr>
          <w:rFonts w:ascii="Times New Roman;sans-serif" w:hAnsi="Times New Roman;sans-serif"/>
          <w:b w:val="false"/>
          <w:i/>
          <w:color w:val="000000"/>
          <w:sz w:val="20"/>
          <w:highlight w:val="white"/>
        </w:rPr>
        <w:t xml:space="preserve">New Mexico. </w:t>
      </w:r>
      <w:r>
        <w:rPr>
          <w:rFonts w:ascii="Times New Roman;sans-serif" w:hAnsi="Times New Roman;sans-serif"/>
          <w:b w:val="false"/>
          <w:color w:val="000000"/>
          <w:sz w:val="20"/>
          <w:highlight w:val="white"/>
        </w:rPr>
        <w:t>On April 14, 2023, CMS closed the audit that it had begun in November 2021.</w:t>
      </w:r>
    </w:p>
    <w:p>
      <w:pPr>
        <w:pStyle w:val="TextBody"/>
        <w:spacing w:lineRule="auto" w:line="288" w:before="240" w:after="283"/>
        <w:ind w:left="0" w:right="0" w:firstLine="360"/>
        <w:jc w:val="both"/>
        <w:rPr/>
      </w:pPr>
      <w:r>
        <w:rPr>
          <w:rFonts w:ascii="Times New Roman;sans-serif" w:hAnsi="Times New Roman;sans-serif"/>
          <w:b w:val="false"/>
          <w:i/>
          <w:color w:val="000000"/>
          <w:sz w:val="20"/>
          <w:highlight w:val="white"/>
        </w:rPr>
        <w:t>Kentucky, Indiana and Florida</w:t>
      </w:r>
      <w:r>
        <w:rPr>
          <w:rFonts w:ascii="Times New Roman;sans-serif" w:hAnsi="Times New Roman;sans-serif"/>
          <w:b w:val="false"/>
          <w:color w:val="000000"/>
          <w:sz w:val="20"/>
          <w:highlight w:val="white"/>
        </w:rPr>
        <w:t>. The States of Kentucky and Indiana have taken actions to suspend our ability to open de novo centers in those states. In Florida, we are moving forward with pursuit of licensure required to open a PACE center in each of Tampa and Orlando, with the support of the Florida Agency for Health Care Services and CMS.</w:t>
      </w:r>
    </w:p>
    <w:p>
      <w:pPr>
        <w:pStyle w:val="TextBody"/>
        <w:spacing w:lineRule="auto" w:line="288" w:before="24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Company’s priority is to return to growth as a company, both for the short- and long-term. We continue to work with the appropriate authorities to make the necessary changes within the Company to increase care coordination and care documentation among our centers.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Components of Results of Operations</w:t>
      </w:r>
    </w:p>
    <w:p>
      <w:pPr>
        <w:pStyle w:val="TextBody"/>
        <w:spacing w:lineRule="auto" w:line="288" w:before="24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Revenue</w:t>
      </w:r>
    </w:p>
    <w:p>
      <w:pPr>
        <w:pStyle w:val="TextBody"/>
        <w:spacing w:lineRule="auto" w:line="288" w:before="240" w:after="283"/>
        <w:ind w:left="0" w:right="0" w:firstLine="360"/>
        <w:jc w:val="both"/>
        <w:rPr/>
      </w:pPr>
      <w:r>
        <w:rPr>
          <w:rFonts w:ascii="Times New Roman;sans-serif" w:hAnsi="Times New Roman;sans-serif"/>
          <w:b w:val="false"/>
          <w:i/>
          <w:color w:val="000000"/>
          <w:sz w:val="20"/>
          <w:highlight w:val="white"/>
        </w:rPr>
        <w:t>Capitation Revenue</w:t>
      </w:r>
      <w:r>
        <w:rPr>
          <w:rFonts w:ascii="Times New Roman;sans-serif" w:hAnsi="Times New Roman;sans-serif"/>
          <w:b w:val="false"/>
          <w:color w:val="000000"/>
          <w:sz w:val="20"/>
          <w:highlight w:val="white"/>
        </w:rPr>
        <w:t xml:space="preserve">. In order to provide comprehensive services to manage the totality of a participant’s medical care across all settings, we receive fixed or capitated fees per participant that are paid monthly by Medicare, Medicaid, Veterans Affairs (“VA”) and private pay sources. </w:t>
      </w:r>
    </w:p>
    <w:p>
      <w:pPr>
        <w:pStyle w:val="TextBody"/>
        <w:spacing w:lineRule="auto" w:line="288" w:before="240" w:after="283"/>
        <w:ind w:left="0" w:right="0" w:firstLine="360"/>
        <w:jc w:val="both"/>
        <w:rPr/>
      </w:pPr>
      <w:r>
        <w:rPr>
          <w:rFonts w:ascii="Times New Roman;sans-serif" w:hAnsi="Times New Roman;sans-serif"/>
          <w:b w:val="false"/>
          <w:color w:val="000000"/>
          <w:sz w:val="20"/>
          <w:highlight w:val="white"/>
        </w:rPr>
        <w:t xml:space="preserve">Medicaid and Medicare capitation revenues are based on PMPM capitation rates under the PACE program. The PACE state contracts between us and the respective state Medicaid administering agency are amended annually each June 30 in all states other than California and Pennsylvania, which contract on a calendar-year basis. New amendments have been executed for the periods (i) January 1, 2021 through December 31, 2025 for California and (ii) July 1, 2022 through June 30, 2023 for all other states, except Pennsylvania, for which we are currently operating in good standing under the 2020 amended agreement while the agency finalizes its current amendment. For a discussion of our revenue recognition policies, please see </w:t>
      </w:r>
      <w:r>
        <w:rPr>
          <w:rFonts w:ascii="Times New Roman;sans-serif" w:hAnsi="Times New Roman;sans-serif"/>
          <w:b w:val="false"/>
          <w:i/>
          <w:color w:val="000000"/>
          <w:sz w:val="20"/>
          <w:highlight w:val="white"/>
        </w:rPr>
        <w:t>Critical Accounting Estimates</w:t>
      </w:r>
      <w:r>
        <w:rPr>
          <w:color w:val="000000"/>
          <w:highlight w:val="white"/>
        </w:rPr>
        <w:t xml:space="preserve"> </w:t>
      </w:r>
      <w:r>
        <w:rPr>
          <w:rFonts w:ascii="Times New Roman;sans-serif" w:hAnsi="Times New Roman;sans-serif"/>
          <w:b w:val="false"/>
          <w:color w:val="000000"/>
          <w:sz w:val="20"/>
          <w:highlight w:val="white"/>
        </w:rPr>
        <w:t>below and Note 2 “Summary of Significant Accounting Policies” to our consolidated financial statements included in our 2022 10-K.</w:t>
      </w:r>
    </w:p>
    <w:p>
      <w:pPr>
        <w:pStyle w:val="TextBody"/>
        <w:spacing w:lineRule="auto" w:line="288" w:before="240" w:after="283"/>
        <w:ind w:left="0" w:right="0" w:firstLine="360"/>
        <w:jc w:val="both"/>
        <w:rPr/>
      </w:pPr>
      <w:r>
        <w:rPr>
          <w:rFonts w:ascii="Times New Roman;sans-serif" w:hAnsi="Times New Roman;sans-serif"/>
          <w:b w:val="false"/>
          <w:i/>
          <w:color w:val="000000"/>
          <w:sz w:val="20"/>
          <w:highlight w:val="white"/>
        </w:rPr>
        <w:t>Other Service Revenue.</w:t>
      </w:r>
      <w:r>
        <w:rPr>
          <w:color w:val="000000"/>
          <w:highlight w:val="white"/>
        </w:rPr>
        <w:t xml:space="preserve"> </w:t>
      </w:r>
      <w:r>
        <w:rPr>
          <w:rFonts w:ascii="Times New Roman;sans-serif" w:hAnsi="Times New Roman;sans-serif"/>
          <w:b w:val="false"/>
          <w:color w:val="000000"/>
          <w:sz w:val="20"/>
          <w:highlight w:val="white"/>
        </w:rPr>
        <w:t xml:space="preserve">Other service revenue primarily consists of revenues derived from fee-for-service arrangements, state food grants, rent revenues and management fees. Prior to June 30, 2022 we generated fee-for-service revenue from providing home-care services to non-PACE patients in their homes, for which we billed the patient or their insurance plan on a fee-for-service basis. We no longer offer in-home care services. For a discussion of our revenue recognition policies, please see </w:t>
      </w:r>
      <w:r>
        <w:rPr>
          <w:rFonts w:ascii="Times New Roman;sans-serif" w:hAnsi="Times New Roman;sans-serif"/>
          <w:b w:val="false"/>
          <w:i/>
          <w:color w:val="000000"/>
          <w:sz w:val="20"/>
          <w:highlight w:val="white"/>
        </w:rPr>
        <w:t>Critical Accounting Estimates</w:t>
      </w:r>
      <w:r>
        <w:rPr>
          <w:color w:val="000000"/>
          <w:highlight w:val="white"/>
        </w:rPr>
        <w:t xml:space="preserve"> </w:t>
      </w:r>
      <w:r>
        <w:rPr>
          <w:rFonts w:ascii="Times New Roman;sans-serif" w:hAnsi="Times New Roman;sans-serif"/>
          <w:b w:val="false"/>
          <w:color w:val="000000"/>
          <w:sz w:val="20"/>
          <w:highlight w:val="white"/>
        </w:rPr>
        <w:t>below and Note 2, “Summary of Significant Accounting Policies” to our consolidated financial statements included in our 2022 10-K.</w:t>
      </w:r>
    </w:p>
    <w:p>
      <w:pPr>
        <w:pStyle w:val="TextBody"/>
        <w:spacing w:lineRule="auto" w:line="288" w:before="24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Operating Expenses</w:t>
      </w:r>
    </w:p>
    <w:p>
      <w:pPr>
        <w:pStyle w:val="TextBody"/>
        <w:spacing w:lineRule="auto" w:line="288" w:before="240" w:after="283"/>
        <w:ind w:left="0" w:right="0" w:firstLine="360"/>
        <w:jc w:val="both"/>
        <w:rPr/>
      </w:pPr>
      <w:r>
        <w:rPr>
          <w:rFonts w:ascii="Times New Roman;sans-serif" w:hAnsi="Times New Roman;sans-serif"/>
          <w:b w:val="false"/>
          <w:i/>
          <w:color w:val="000000"/>
          <w:sz w:val="20"/>
          <w:highlight w:val="white"/>
        </w:rPr>
        <w:t>External Provider Costs.</w:t>
      </w:r>
      <w:r>
        <w:rPr>
          <w:color w:val="000000"/>
          <w:highlight w:val="white"/>
        </w:rPr>
        <w:t xml:space="preserve"> </w:t>
      </w:r>
      <w:r>
        <w:rPr>
          <w:rFonts w:ascii="Times New Roman;sans-serif" w:hAnsi="Times New Roman;sans-serif"/>
          <w:b w:val="false"/>
          <w:color w:val="000000"/>
          <w:sz w:val="20"/>
          <w:highlight w:val="white"/>
        </w:rPr>
        <w:t>External provider costs consist primarily of the costs for medical care provided by non-InnovAge providers. We separate external provider costs into four categories: inpatient (e.g., hospital), housing (e.g., assisted living and skilled nursing facility), outpatient and pharmacy. In aggregate, external provider costs represent the largest portion of our expenses.</w:t>
      </w:r>
    </w:p>
    <w:p>
      <w:pPr>
        <w:pStyle w:val="TextBody"/>
        <w:spacing w:lineRule="auto" w:line="288" w:before="240" w:after="283"/>
        <w:ind w:left="0" w:right="0" w:firstLine="360"/>
        <w:jc w:val="both"/>
        <w:rPr/>
      </w:pPr>
      <w:r>
        <w:rPr>
          <w:rFonts w:ascii="Times New Roman;sans-serif" w:hAnsi="Times New Roman;sans-serif"/>
          <w:b w:val="false"/>
          <w:i/>
          <w:color w:val="000000"/>
          <w:sz w:val="20"/>
          <w:highlight w:val="white"/>
        </w:rPr>
        <w:t>Cost of Care, Excluding Depreciation and Amortization.</w:t>
      </w:r>
      <w:r>
        <w:rPr>
          <w:color w:val="000000"/>
          <w:highlight w:val="white"/>
        </w:rPr>
        <w:t xml:space="preserve"> </w:t>
      </w:r>
      <w:r>
        <w:rPr>
          <w:rFonts w:ascii="Times New Roman;sans-serif" w:hAnsi="Times New Roman;sans-serif"/>
          <w:b w:val="false"/>
          <w:color w:val="000000"/>
          <w:sz w:val="20"/>
          <w:highlight w:val="white"/>
        </w:rPr>
        <w:t>Cost of care, excluding depreciation and amortization, includes the costs we incur to operate our care delivery model. This includes costs related to salaries, wages and benefits for IDT and other center-level staff, participant transportation, medical supplies, occupancy, insurance and other operating costs. IDT employees include medical doctors, registered nurses, social workers, physical, occupational, and speech therapists, nursing assistants, and transportation workers. Other center-level employees include clinic managers, dieticians, activity assistants and certified nursing assistants. Cost of care excludes any expenses associated with sales and marketing activities incurred at a local level as well as any allocation of our corporate, general and administrative expenses. A portion of our cost of care, including our employee-related costs, is directly related to the number of participants cared for in a center. The remainder of our cost of care is fixed relative to the number of participants we serve, such as occupancy and insurance expenses. As a result, as revenue increases due to census growth, cost of care, excluding depreciation and amortization, moderately decreases as a percentage of revenue. As we open new centers, we expect cost of care, excluding depreciation and amortization, to increase in absolute dollars due to higher census and facility related costs.</w:t>
      </w:r>
    </w:p>
    <w:p>
      <w:pPr>
        <w:pStyle w:val="TextBody"/>
        <w:spacing w:lineRule="auto" w:line="288" w:before="240" w:after="283"/>
        <w:ind w:left="0" w:right="0" w:firstLine="360"/>
        <w:jc w:val="both"/>
        <w:rPr/>
      </w:pPr>
      <w:r>
        <w:rPr>
          <w:rFonts w:ascii="Times New Roman;sans-serif" w:hAnsi="Times New Roman;sans-serif"/>
          <w:b w:val="false"/>
          <w:i/>
          <w:color w:val="000000"/>
          <w:sz w:val="20"/>
          <w:highlight w:val="white"/>
        </w:rPr>
        <w:t>Sales and Marketing.</w:t>
      </w:r>
      <w:r>
        <w:rPr>
          <w:color w:val="000000"/>
          <w:highlight w:val="white"/>
        </w:rPr>
        <w:t xml:space="preserve"> </w:t>
      </w:r>
      <w:r>
        <w:rPr>
          <w:rFonts w:ascii="Times New Roman;sans-serif" w:hAnsi="Times New Roman;sans-serif"/>
          <w:b w:val="false"/>
          <w:color w:val="000000"/>
          <w:sz w:val="20"/>
          <w:highlight w:val="white"/>
        </w:rPr>
        <w:t>Sales and marketing expenses consist of employee-related expenses, including salaries, commissions, and employee benefits costs, for all employees engaged in marketing, sales, community outreach and sales support. These employee-related expenses capture all costs for both our field-based and corporate sales and marketing teams. Sales and marketing expenses also include local and centralized advertising costs, as well as the infrastructure required to support our marketing efforts. We expect these costs to increase in absolute dollars over time as we grow our participant census. We evaluate our sales and marketing expenses relative to our participant growth and will invest more heavily in sales and marketing from time-to-time to the extent we believe such investment can accelerate our growth without negatively affecting profitability.</w:t>
      </w:r>
    </w:p>
    <w:p>
      <w:pPr>
        <w:pStyle w:val="TextBody"/>
        <w:spacing w:lineRule="auto" w:line="288" w:before="240" w:after="283"/>
        <w:ind w:left="0" w:right="0" w:firstLine="360"/>
        <w:jc w:val="both"/>
        <w:rPr/>
      </w:pPr>
      <w:r>
        <w:rPr>
          <w:rFonts w:ascii="Times New Roman;sans-serif" w:hAnsi="Times New Roman;sans-serif"/>
          <w:b w:val="false"/>
          <w:i/>
          <w:color w:val="000000"/>
          <w:sz w:val="20"/>
          <w:highlight w:val="white"/>
        </w:rPr>
        <w:t>Corporate, General and Administrative.</w:t>
      </w:r>
      <w:r>
        <w:rPr>
          <w:color w:val="000000"/>
          <w:highlight w:val="white"/>
        </w:rPr>
        <w:t xml:space="preserve"> </w:t>
      </w:r>
      <w:r>
        <w:rPr>
          <w:rFonts w:ascii="Times New Roman;sans-serif" w:hAnsi="Times New Roman;sans-serif"/>
          <w:b w:val="false"/>
          <w:color w:val="000000"/>
          <w:sz w:val="20"/>
          <w:highlight w:val="white"/>
        </w:rPr>
        <w:t xml:space="preserve">Corporate, general and administrative expenses include employee-related expenses, including salaries and related costs. In addition, general and administrative expenses include all corporate technology and occupancy costs associated with our corporate office. We expect our general and administrative expenses to increase in absolute dollars due to the additional legal, accounting, insurance, investor relations and other costs that we incur as a public company, as well as other costs associated with continuing to grow our business. However, we anticipate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general and administrative expenses to decrease as a percentage of revenue over the long term, although such expenses may fluctuate as a percentage of revenue from period to period due to the timing and amount of these expenses.</w:t>
      </w:r>
    </w:p>
    <w:p>
      <w:pPr>
        <w:pStyle w:val="TextBody"/>
        <w:spacing w:lineRule="auto" w:line="288" w:before="240" w:after="283"/>
        <w:ind w:left="0" w:right="0" w:firstLine="360"/>
        <w:jc w:val="both"/>
        <w:rPr/>
      </w:pPr>
      <w:r>
        <w:rPr>
          <w:rFonts w:ascii="Times New Roman;sans-serif" w:hAnsi="Times New Roman;sans-serif"/>
          <w:b w:val="false"/>
          <w:i/>
          <w:color w:val="000000"/>
          <w:sz w:val="20"/>
          <w:highlight w:val="white"/>
        </w:rPr>
        <w:t xml:space="preserve">Depreciation and Amortization. </w:t>
      </w:r>
      <w:r>
        <w:rPr>
          <w:rFonts w:ascii="Times New Roman;sans-serif" w:hAnsi="Times New Roman;sans-serif"/>
          <w:b w:val="false"/>
          <w:color w:val="000000"/>
          <w:sz w:val="20"/>
          <w:highlight w:val="white"/>
        </w:rPr>
        <w:t>Depreciation and amortization expenses are primarily attributable to our buildings and leasehold improvements and our equipment and vehicles. Depreciation and amortization are recorded using the straight-line method over the shorter of estimated useful life or lease terms, to the extent the assets are being leased.</w:t>
      </w:r>
    </w:p>
    <w:p>
      <w:pPr>
        <w:pStyle w:val="TextBody"/>
        <w:spacing w:lineRule="auto" w:line="288" w:before="240" w:after="283"/>
        <w:ind w:left="0" w:right="0" w:firstLine="360"/>
        <w:jc w:val="both"/>
        <w:rPr/>
      </w:pPr>
      <w:r>
        <w:rPr>
          <w:rFonts w:ascii="Times New Roman;sans-serif" w:hAnsi="Times New Roman;sans-serif"/>
          <w:b w:val="false"/>
          <w:color w:val="000000"/>
          <w:sz w:val="20"/>
          <w:highlight w:val="white"/>
        </w:rPr>
        <w:t xml:space="preserve">For more information relating to the components of our results of operations, see </w:t>
      </w:r>
      <w:r>
        <w:rPr>
          <w:rFonts w:ascii="Times New Roman;sans-serif" w:hAnsi="Times New Roman;sans-serif"/>
          <w:b w:val="false"/>
          <w:i/>
          <w:color w:val="000000"/>
          <w:sz w:val="20"/>
          <w:highlight w:val="white"/>
        </w:rPr>
        <w:t xml:space="preserve">Results of Operations </w:t>
      </w:r>
      <w:r>
        <w:rPr>
          <w:rFonts w:ascii="Times New Roman;sans-serif" w:hAnsi="Times New Roman;sans-serif"/>
          <w:b w:val="false"/>
          <w:color w:val="000000"/>
          <w:sz w:val="20"/>
          <w:highlight w:val="white"/>
        </w:rPr>
        <w:t>below and Note 2 “Summary of Significant Accounting Policies” to our consolidated financial statements included in our 2022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consolidated results of operations for the periods presented:</w:t>
      </w:r>
    </w:p>
    <w:tbl>
      <w:tblPr>
        <w:tblW w:w="9990" w:type="dxa"/>
        <w:jc w:val="left"/>
        <w:tblInd w:w="0" w:type="dxa"/>
        <w:tblCellMar>
          <w:top w:w="28" w:type="dxa"/>
          <w:left w:w="28" w:type="dxa"/>
          <w:bottom w:w="28" w:type="dxa"/>
          <w:right w:w="28" w:type="dxa"/>
        </w:tblCellMar>
      </w:tblPr>
      <w:tblGrid>
        <w:gridCol w:w="1700"/>
        <w:gridCol w:w="1493"/>
        <w:gridCol w:w="1502"/>
        <w:gridCol w:w="211"/>
        <w:gridCol w:w="82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700" w:type="dxa"/>
            <w:tcBorders/>
            <w:shd w:fill="auto" w:val="clear"/>
            <w:vAlign w:val="center"/>
          </w:tcPr>
          <w:p>
            <w:pPr>
              <w:pStyle w:val="TableContents"/>
              <w:spacing w:before="0" w:after="283"/>
              <w:rPr>
                <w:sz w:val="4"/>
                <w:szCs w:val="4"/>
              </w:rPr>
            </w:pPr>
            <w:r>
              <w:rPr>
                <w:sz w:val="4"/>
                <w:szCs w:val="4"/>
              </w:rPr>
            </w:r>
          </w:p>
        </w:tc>
        <w:tc>
          <w:tcPr>
            <w:tcW w:w="1493" w:type="dxa"/>
            <w:tcBorders/>
            <w:shd w:fill="auto" w:val="clear"/>
            <w:vAlign w:val="center"/>
          </w:tcPr>
          <w:p>
            <w:pPr>
              <w:pStyle w:val="TableContents"/>
              <w:spacing w:before="0" w:after="283"/>
              <w:rPr>
                <w:sz w:val="4"/>
                <w:szCs w:val="4"/>
              </w:rPr>
            </w:pPr>
            <w:r>
              <w:rPr>
                <w:sz w:val="4"/>
                <w:szCs w:val="4"/>
              </w:rPr>
            </w:r>
          </w:p>
        </w:tc>
        <w:tc>
          <w:tcPr>
            <w:tcW w:w="15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469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Capitation revenue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524,507 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service revenue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525,780 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External provider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279,550 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284,299 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care,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517,839 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14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Provision (Benefit) for 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InnovAge Holding Corp.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Revenues</w:t>
      </w:r>
    </w:p>
    <w:tbl>
      <w:tblPr>
        <w:tblW w:w="10205" w:type="dxa"/>
        <w:jc w:val="left"/>
        <w:tblInd w:w="0" w:type="dxa"/>
        <w:tblCellMar>
          <w:top w:w="28" w:type="dxa"/>
          <w:left w:w="28" w:type="dxa"/>
          <w:bottom w:w="28" w:type="dxa"/>
          <w:right w:w="28" w:type="dxa"/>
        </w:tblCellMar>
      </w:tblPr>
      <w:tblGrid>
        <w:gridCol w:w="319"/>
        <w:gridCol w:w="268"/>
        <w:gridCol w:w="269"/>
        <w:gridCol w:w="251"/>
        <w:gridCol w:w="345"/>
        <w:gridCol w:w="346"/>
        <w:gridCol w:w="111"/>
        <w:gridCol w:w="111"/>
        <w:gridCol w:w="111"/>
        <w:gridCol w:w="251"/>
        <w:gridCol w:w="345"/>
        <w:gridCol w:w="346"/>
        <w:gridCol w:w="109"/>
        <w:gridCol w:w="109"/>
        <w:gridCol w:w="109"/>
        <w:gridCol w:w="196"/>
        <w:gridCol w:w="572"/>
        <w:gridCol w:w="109"/>
        <w:gridCol w:w="109"/>
        <w:gridCol w:w="109"/>
        <w:gridCol w:w="109"/>
        <w:gridCol w:w="195"/>
        <w:gridCol w:w="196"/>
        <w:gridCol w:w="256"/>
        <w:gridCol w:w="109"/>
        <w:gridCol w:w="109"/>
        <w:gridCol w:w="109"/>
        <w:gridCol w:w="250"/>
        <w:gridCol w:w="345"/>
        <w:gridCol w:w="346"/>
        <w:gridCol w:w="111"/>
        <w:gridCol w:w="111"/>
        <w:gridCol w:w="111"/>
        <w:gridCol w:w="250"/>
        <w:gridCol w:w="345"/>
        <w:gridCol w:w="346"/>
        <w:gridCol w:w="109"/>
        <w:gridCol w:w="109"/>
        <w:gridCol w:w="109"/>
        <w:gridCol w:w="196"/>
        <w:gridCol w:w="662"/>
        <w:gridCol w:w="109"/>
        <w:gridCol w:w="109"/>
        <w:gridCol w:w="109"/>
        <w:gridCol w:w="109"/>
        <w:gridCol w:w="239"/>
        <w:gridCol w:w="242"/>
        <w:gridCol w:w="310"/>
      </w:tblGrid>
      <w:tr>
        <w:trPr/>
        <w:tc>
          <w:tcPr>
            <w:tcW w:w="31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7"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1"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5"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Capitation revenue</w:t>
            </w:r>
          </w:p>
        </w:tc>
        <w:tc>
          <w:tcPr>
            <w:tcW w:w="25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172,196</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25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510,268</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524,507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1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service revenue</w:t>
            </w:r>
          </w:p>
        </w:tc>
        <w:tc>
          <w:tcPr>
            <w:tcW w:w="942"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25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w:t>
            </w:r>
          </w:p>
        </w:tc>
        <w:tc>
          <w:tcPr>
            <w:tcW w:w="31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172,539</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177,359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25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511,213</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525,780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1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240" w:after="283"/>
        <w:ind w:left="0" w:right="0" w:firstLine="360"/>
        <w:jc w:val="both"/>
        <w:rPr/>
      </w:pPr>
      <w:r>
        <w:rPr>
          <w:rFonts w:ascii="Times New Roman;sans-serif" w:hAnsi="Times New Roman;sans-serif"/>
          <w:b w:val="false"/>
          <w:i/>
          <w:color w:val="000000"/>
          <w:sz w:val="20"/>
        </w:rPr>
        <w:t xml:space="preserve">Capitation revenue. </w:t>
      </w:r>
      <w:r>
        <w:rPr>
          <w:rFonts w:ascii="Times New Roman;sans-serif" w:hAnsi="Times New Roman;sans-serif"/>
          <w:b w:val="false"/>
          <w:color w:val="000000"/>
          <w:sz w:val="20"/>
        </w:rPr>
        <w:t xml:space="preserve">Capitation revenue was $172.2 million for the three months ended March 31, 2023 a decrease of $4.8 million, or 2.7%, compared to $177.0 million for the three months ended March 31, 2022. This decrease was driven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 a 7.6% decrease in member months partially offset by a 5.3% increase in capitation rates. The decrease in member months is primarily due to disenrollments and our inability to enroll new participants at our Sacramento, California center as a result of sanctions, minimally offset by the ramp up of enrollments at our Colorado centers as we resumed the enrollment process. The increase in capitation rates was primarily driven by an annual increase in both Medicaid capitation rates as determined by the States and Medicare capitation rates as a result of increased risk score and county rates partially offset by the reinstatement of sequestration.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Capitation revenue was $510.3 million for the nine months ended March 31, 2023, a decrease of $14.2 million, or 2.7%, compared to $524.5 million for the nine months ended March 31, 2022. This decrease was driven by a 7.1% decrease in member months partially offset by a 4.7% increase in capitation rates, primarily due to the factors discussed above.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tbl>
      <w:tblPr>
        <w:tblW w:w="10394" w:type="dxa"/>
        <w:jc w:val="left"/>
        <w:tblInd w:w="0" w:type="dxa"/>
        <w:tblCellMar>
          <w:top w:w="28" w:type="dxa"/>
          <w:left w:w="28" w:type="dxa"/>
          <w:bottom w:w="28" w:type="dxa"/>
          <w:right w:w="28" w:type="dxa"/>
        </w:tblCellMar>
      </w:tblPr>
      <w:tblGrid>
        <w:gridCol w:w="584"/>
        <w:gridCol w:w="263"/>
        <w:gridCol w:w="264"/>
        <w:gridCol w:w="248"/>
        <w:gridCol w:w="344"/>
        <w:gridCol w:w="347"/>
        <w:gridCol w:w="109"/>
        <w:gridCol w:w="109"/>
        <w:gridCol w:w="109"/>
        <w:gridCol w:w="248"/>
        <w:gridCol w:w="345"/>
        <w:gridCol w:w="346"/>
        <w:gridCol w:w="109"/>
        <w:gridCol w:w="109"/>
        <w:gridCol w:w="109"/>
        <w:gridCol w:w="196"/>
        <w:gridCol w:w="330"/>
        <w:gridCol w:w="331"/>
        <w:gridCol w:w="109"/>
        <w:gridCol w:w="109"/>
        <w:gridCol w:w="109"/>
        <w:gridCol w:w="240"/>
        <w:gridCol w:w="241"/>
        <w:gridCol w:w="261"/>
        <w:gridCol w:w="109"/>
        <w:gridCol w:w="109"/>
        <w:gridCol w:w="109"/>
        <w:gridCol w:w="248"/>
        <w:gridCol w:w="345"/>
        <w:gridCol w:w="346"/>
        <w:gridCol w:w="109"/>
        <w:gridCol w:w="109"/>
        <w:gridCol w:w="109"/>
        <w:gridCol w:w="248"/>
        <w:gridCol w:w="345"/>
        <w:gridCol w:w="346"/>
        <w:gridCol w:w="109"/>
        <w:gridCol w:w="109"/>
        <w:gridCol w:w="109"/>
        <w:gridCol w:w="232"/>
        <w:gridCol w:w="339"/>
        <w:gridCol w:w="286"/>
        <w:gridCol w:w="109"/>
        <w:gridCol w:w="109"/>
        <w:gridCol w:w="109"/>
        <w:gridCol w:w="240"/>
        <w:gridCol w:w="241"/>
        <w:gridCol w:w="301"/>
      </w:tblGrid>
      <w:tr>
        <w:trPr/>
        <w:tc>
          <w:tcPr>
            <w:tcW w:w="58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6"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857"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111"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External provider costs</w:t>
            </w:r>
          </w:p>
        </w:tc>
        <w:tc>
          <w:tcPr>
            <w:tcW w:w="248"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279,550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284,299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Cost of care (excluding depreciation and amortization) </w:t>
            </w:r>
          </w:p>
        </w:tc>
        <w:tc>
          <w:tcPr>
            <w:tcW w:w="939"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w:t>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Sales and marketing </w:t>
            </w:r>
          </w:p>
        </w:tc>
        <w:tc>
          <w:tcPr>
            <w:tcW w:w="939"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26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(5,616)</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30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Corporate, general, and administrative </w:t>
            </w:r>
          </w:p>
        </w:tc>
        <w:tc>
          <w:tcPr>
            <w:tcW w:w="939"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Depreciation and amortization </w:t>
            </w:r>
          </w:p>
        </w:tc>
        <w:tc>
          <w:tcPr>
            <w:tcW w:w="939"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operating expenses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549,666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517,839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pPr>
      <w:r>
        <w:rPr>
          <w:rFonts w:ascii="Times New Roman;sans-serif" w:hAnsi="Times New Roman;sans-serif"/>
          <w:b w:val="false"/>
          <w:i/>
          <w:color w:val="000000"/>
          <w:sz w:val="20"/>
        </w:rPr>
        <w:t xml:space="preserve">External provider costs. </w:t>
      </w:r>
      <w:r>
        <w:rPr>
          <w:rFonts w:ascii="Times New Roman;sans-serif" w:hAnsi="Times New Roman;sans-serif"/>
          <w:b w:val="false"/>
          <w:color w:val="000000"/>
          <w:sz w:val="20"/>
        </w:rPr>
        <w:t>External provider costs were $89.8 million for the three months ended March 31, 2023, a decrease of $13.4 million, or 13.0%, compared to $103.3 million for the three months ended March 31, 2022. The decrease was primarily driven by a decrease of $7.9 million, or 7.6%, in member months coupled with a decrease of $5.6 million, or 5.9%, in cost per participant. The decrease in cost per participant was primarily driven by a $3.6 million decrease associated with lower inpatient cost per admit as a result of the Omicron spike in the prior year and a $1.3 million net decrease associated with lower short stay skilled nursing facility utilization partially offset by an increase in assisted living and permanent nursing facility utilization and unit cost.</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External provider costs were $279.5 million for the nine months ended March 31, 2023, a decrease of $4.7 million, or 1.7%, compared to $284.3 million for the nine months ended March 31, 2022. The decrease is primarily driven by a decrease of $20.2 million, or 7.1%, in member months partially offset by an increase of $15.4 million, or 5.8%, in cost per participant. The increase in cost per participant is primarily driven by a $13.3 million increase associated with increased assisted living and nursing facility utilization and unit cost partially offset by a $3.0 million reduction in inpatient cost per admit associated with fewer COVID admissions.</w:t>
      </w:r>
    </w:p>
    <w:p>
      <w:pPr>
        <w:pStyle w:val="TextBody"/>
        <w:spacing w:lineRule="auto" w:line="288" w:before="240" w:after="283"/>
        <w:ind w:left="0" w:right="0" w:firstLine="360"/>
        <w:jc w:val="both"/>
        <w:rPr/>
      </w:pPr>
      <w:r>
        <w:rPr>
          <w:rFonts w:ascii="Times New Roman;sans-serif" w:hAnsi="Times New Roman;sans-serif"/>
          <w:b w:val="false"/>
          <w:i/>
          <w:color w:val="000000"/>
          <w:sz w:val="20"/>
        </w:rPr>
        <w:t xml:space="preserve">Cost of care (excluding depreciation and amortization). </w:t>
      </w:r>
      <w:r>
        <w:rPr>
          <w:rFonts w:ascii="Times New Roman;sans-serif" w:hAnsi="Times New Roman;sans-serif"/>
          <w:b w:val="false"/>
          <w:color w:val="000000"/>
          <w:sz w:val="20"/>
        </w:rPr>
        <w:t>Cost of care (excluding depreciation and amortization) expense was $53.9 million for the three months ended March 31, 2023, an increase of $7.8 million, or 17.0%, compared to $46.1 million for the three months ended March 31, 2022, primarily due to an increase of $11.4 million, or 26.7%, in cost per participant partially offset by a decrease of $3.5 million, or 7.6%, in member months. The increase was primarily driven by (i) a $6.2 million increase in salaries, wages and benefits associated with increased headcount and higher wage rates due to the ongoing competitive labor market, (ii) $0.8 million in third party audit and compliance support, (iii) $0.7 million in increased building maintenance and security, and (iv) $0.4 million in increased fleet expense a result of higher average daily attendance and an increase in external appointments.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care (excluding depreciation and amortization) expense was $158.9 million for the nine months ended March 31, 2023, an increase of $29.1 million, or 22.5%, compared to $129.7 million for the nine months ended March 31, 2022, primarily due to an increase of $38.4 million, or 31.8%, in cost per participant partially offset by a decrease of $9.2 million, or 7.1%, in member months. The increase was primarily driven by (i) a $19.4 million increase in salaries, wages and benefits associated with increased headcount and higher wage rates due to the ongoing competitive labor market, (ii) $3.5 million in third party audit and compliance support, (iii) $3.0 million in increased fleet expense and contract transportation as a result of higher average daily attendance, increase in external appointments, and higher fuel costs, (iv)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 million in increased building maintenance and security and (v) $0.7 million in de novo costs due primarily to rent expense.</w:t>
      </w:r>
    </w:p>
    <w:p>
      <w:pPr>
        <w:pStyle w:val="TextBody"/>
        <w:spacing w:lineRule="auto" w:line="288" w:before="240" w:after="283"/>
        <w:ind w:left="0" w:right="0" w:firstLine="360"/>
        <w:jc w:val="both"/>
        <w:rPr/>
      </w:pP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Sales and marketing expenses were $5.3 million for the three months ended March 31, 2023, a decrease of $0.8 million, or 13.5%, compared to $6.1 million for the three months ended March 31, 2022, primarily due to a $0.6 million reduction in costs associated with fewer sales headcount as a result of sanctions in our Colorado and Sacramento centers partially offset by $0.4 million in one-time costs related to organizational realignment recorded during the three months ended March 31, 2022.</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were $13.5 million for the nine months ended March 31, 2023, a decrease of $5.6 million, or 29.4%, compared to $19.1 million for the nine months ended March 31, 2022, primarily due to (i) a $2.8 million reduction in marketing spend and $2.0 million reduction in costs associated with fewer headcount within the sales department, both as a result of sanctions in our Colorado and Sacramento centers and (ii) a $0.9 million reduction in sales commissions expense due to the deferral of commissions.</w:t>
      </w:r>
    </w:p>
    <w:p>
      <w:pPr>
        <w:pStyle w:val="TextBody"/>
        <w:spacing w:lineRule="auto" w:line="288" w:before="240" w:after="283"/>
        <w:ind w:left="0" w:right="0" w:firstLine="360"/>
        <w:jc w:val="both"/>
        <w:rPr/>
      </w:pPr>
      <w:r>
        <w:rPr>
          <w:rFonts w:ascii="Times New Roman;sans-serif" w:hAnsi="Times New Roman;sans-serif"/>
          <w:b w:val="false"/>
          <w:i/>
          <w:color w:val="000000"/>
          <w:sz w:val="20"/>
        </w:rPr>
        <w:t xml:space="preserve">Corporate, general and administrative. </w:t>
      </w:r>
      <w:r>
        <w:rPr>
          <w:rFonts w:ascii="Times New Roman;sans-serif" w:hAnsi="Times New Roman;sans-serif"/>
          <w:b w:val="false"/>
          <w:color w:val="000000"/>
          <w:sz w:val="20"/>
        </w:rPr>
        <w:t>Corporate, general and administrative expenses were $27.6 million for the three months ended March 31, 2023, an increase of $3.0 million, or 12.0%, compared to $24.7 million for the three months ended March 31, 2022. The increase was primarily due to (i) a $2.7 million increase in employee compensation and benefits as the result of an increase in headcount to support compliance and bolster organizational capabilities, (ii) $2.7 million in third party legal costs, and (iii) a $2.1 million increase in software license and maintenance expense. These increases in cost are partially offset by (i) a $1.9 million reduction in bad debt expense and (ii) a $1.0 million reduction in consulting expense associated with improving organizational capabilities.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Corporate, general and administrative expenses were $86.6 million for the nine months ended March 31, 2023, an increase of $12.4 million, or 16.7%, compared to $74.2 million for the nine months ended March 31, 2022. The increase was primarily due to (i) a $7.8 million increase in employee compensation and benefits as the result of an increase in headcount to support compliance and bolster organizational capabilities, (ii) $6.4 million in third party costs associated with implementing our core provider initiatives, assessing our risk-bearing payor capabilities, and strengthening organizational capabilities including the transition to a new electronic medical record ("EMR"), (iii) $3.5 million in increased legal spend, and (iv) $3.2 million increase in software license and maintenance expense. These increases in cost were partially offset by (i) a $2.5 million reduction in bad debt expense and (ii) $4.1 million in executive severance and recruiting recognized during the nine months ended March 31, 2022.</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Other Income (Expense)</w:t>
      </w:r>
    </w:p>
    <w:tbl>
      <w:tblPr>
        <w:tblW w:w="10205" w:type="dxa"/>
        <w:jc w:val="left"/>
        <w:tblInd w:w="0" w:type="dxa"/>
        <w:tblCellMar>
          <w:top w:w="28" w:type="dxa"/>
          <w:left w:w="28" w:type="dxa"/>
          <w:bottom w:w="28" w:type="dxa"/>
          <w:right w:w="28" w:type="dxa"/>
        </w:tblCellMar>
      </w:tblPr>
      <w:tblGrid>
        <w:gridCol w:w="523"/>
        <w:gridCol w:w="460"/>
        <w:gridCol w:w="461"/>
        <w:gridCol w:w="225"/>
        <w:gridCol w:w="549"/>
        <w:gridCol w:w="125"/>
        <w:gridCol w:w="125"/>
        <w:gridCol w:w="125"/>
        <w:gridCol w:w="125"/>
        <w:gridCol w:w="225"/>
        <w:gridCol w:w="549"/>
        <w:gridCol w:w="125"/>
        <w:gridCol w:w="109"/>
        <w:gridCol w:w="109"/>
        <w:gridCol w:w="109"/>
        <w:gridCol w:w="196"/>
        <w:gridCol w:w="188"/>
        <w:gridCol w:w="188"/>
        <w:gridCol w:w="109"/>
        <w:gridCol w:w="109"/>
        <w:gridCol w:w="109"/>
        <w:gridCol w:w="247"/>
        <w:gridCol w:w="229"/>
        <w:gridCol w:w="223"/>
        <w:gridCol w:w="109"/>
        <w:gridCol w:w="109"/>
        <w:gridCol w:w="109"/>
        <w:gridCol w:w="201"/>
        <w:gridCol w:w="628"/>
        <w:gridCol w:w="112"/>
        <w:gridCol w:w="112"/>
        <w:gridCol w:w="112"/>
        <w:gridCol w:w="112"/>
        <w:gridCol w:w="201"/>
        <w:gridCol w:w="628"/>
        <w:gridCol w:w="112"/>
        <w:gridCol w:w="109"/>
        <w:gridCol w:w="109"/>
        <w:gridCol w:w="109"/>
        <w:gridCol w:w="196"/>
        <w:gridCol w:w="255"/>
        <w:gridCol w:w="256"/>
        <w:gridCol w:w="109"/>
        <w:gridCol w:w="109"/>
        <w:gridCol w:w="109"/>
        <w:gridCol w:w="231"/>
        <w:gridCol w:w="219"/>
        <w:gridCol w:w="307"/>
      </w:tblGrid>
      <w:tr>
        <w:trPr/>
        <w:tc>
          <w:tcPr>
            <w:tcW w:w="523"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r>
      <w:tr>
        <w:trPr/>
        <w:tc>
          <w:tcPr>
            <w:tcW w:w="1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3"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8"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1"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4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225"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w:t>
            </w:r>
          </w:p>
        </w:tc>
      </w:tr>
      <w:tr>
        <w:trPr/>
        <w:tc>
          <w:tcPr>
            <w:tcW w:w="14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899"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(206.1)%</w:t>
            </w:r>
          </w:p>
        </w:tc>
      </w:tr>
      <w:tr>
        <w:trPr/>
        <w:tc>
          <w:tcPr>
            <w:tcW w:w="14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(2,288)</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pPr>
      <w:r>
        <w:rPr>
          <w:rFonts w:ascii="Times New Roman;sans-serif" w:hAnsi="Times New Roman;sans-serif"/>
          <w:b w:val="false"/>
          <w:i/>
          <w:color w:val="000000"/>
          <w:sz w:val="20"/>
        </w:rPr>
        <w:t xml:space="preserve">Interest expense, net. </w:t>
      </w:r>
      <w:r>
        <w:rPr>
          <w:rFonts w:ascii="Times New Roman;sans-serif" w:hAnsi="Times New Roman;sans-serif"/>
          <w:b w:val="false"/>
          <w:color w:val="000000"/>
          <w:sz w:val="20"/>
        </w:rPr>
        <w:t>Interest expense, net, consists primarily of interest payments on our outstanding borrowings, net of interest income earned on our cash and cash equivalents and restricted cash. Interest expense, net was $0.4 million for the three months ended March 31, 2023, a decrease of $0.3 million, or 42.8%, compared to $0.7 million for the three months ended March 31, 2022. The decrease was primarily due to interest income of $1.0 million from money market funds offsetting interest expense of $1.4 million for the three months ended March 31, 2023. Interest income during the three months ended March 31, 2022 was negligible.</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was $1.2 million for the nine months ended March 31, 2023, a decrease of $0.7 million, or 36.2%, compared to $1.9 million for the nine months ended March 31, 2022. The decrease was primarily due to interest income of $2.3 million from money market funds offsetting interest expense of $3.5 million during the nine months ended March 31, 2023. Interest income during the nine months ended March 31, 2022 was negligible. For additional information regarding our outstanding indebtedness, see Note 8, “Long-Term Debt” to our condensed consolidated financial statements.</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ind w:left="0" w:right="0" w:firstLine="360"/>
        <w:jc w:val="both"/>
        <w:rPr/>
      </w:pPr>
      <w:r>
        <w:rPr>
          <w:rFonts w:ascii="Times New Roman;sans-serif" w:hAnsi="Times New Roman;sans-serif"/>
          <w:b w:val="false"/>
          <w:i/>
          <w:color w:val="000000"/>
          <w:sz w:val="20"/>
        </w:rPr>
        <w:t xml:space="preserve">Other income (expense). </w:t>
      </w:r>
      <w:r>
        <w:rPr>
          <w:rFonts w:ascii="Times New Roman;sans-serif" w:hAnsi="Times New Roman;sans-serif"/>
          <w:b w:val="false"/>
          <w:color w:val="000000"/>
          <w:sz w:val="20"/>
        </w:rPr>
        <w:t>Other income (expense) consists primarily of the net proceeds received from the sale of or disposal of property and equipment and unrealized gains and losses related to short-term investments. Other income (expense) for the three months ended March 31, 2023 decreased $0.2 million, or 193.3%, when compared to the three months ended March 31, 2022. The decrease is primarily due to a loss of $0.6 million related to the termination of the Germantown, Pennsylvania center lease upon consolidation of the center with other centers, offset by the recognition of $0.4 million in unrealized gains related to short-term investments. Other income (expense) was income of $0.4 million for the nine months ended March 31, 2023, an increase of $0.8 million, or 206.0%, compared to a loss of $0.4 million for the nine months ended March 31, 2022. The increase is due to the recognition of unrealized gains on short-term investments of $0.8 million offset by a loss of $0.6 million due to the termination of the Germantown center lease during the nine months ended March 31, 2023 in addition to the recognition of a loss on disposal of assets of $0.4 million during the nine months ended March 31, 2022 related to the write off of certain assets in conjunction with a move to a new facility at our Roanoke, Virginia center.</w:t>
      </w:r>
    </w:p>
    <w:p>
      <w:pPr>
        <w:pStyle w:val="TextBody"/>
        <w:spacing w:lineRule="auto" w:line="288" w:before="240" w:after="283"/>
        <w:jc w:val="both"/>
        <w:rPr/>
      </w:pPr>
      <w:r>
        <w:rPr>
          <w:rFonts w:ascii="Times New Roman;sans-serif" w:hAnsi="Times New Roman;sans-serif"/>
          <w:b/>
          <w:i/>
          <w:color w:val="000000"/>
          <w:sz w:val="20"/>
        </w:rPr>
        <w:t>Provision for Income Taxes</w:t>
      </w:r>
      <w:r>
        <w:rPr>
          <w:color w:val="000000"/>
        </w:rPr>
        <w:t xml:space="preserve">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SH1 and Sacramento have elected to be taxed as partnerships, and no provision for income taxes for SH1 or Sacramento is included in these condensed consolidated financial statements.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for income taxes.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and 2022, we reported benefit for income taxes of $1.4 million and $4.1 million, respectively. During the nine months ended March 31, 2023 and 2022, we reported benefit for income taxes of $7.7 million and a provision for income taxes of $0.1 million, respectively. The decrease of $7.8 million is primarily due (i) our pretax book loss recognized during the nine months ended March 31, 2023, as compared to pretax book income recognized during the nine months ended March 31, 2022 and (ii) certain permanent differences between the financial and tax accounting treatment of (a) the Section 162(m) limitation on compensation of five highest paid officers, (b) income from entities not subject to tax, and (c) disallowed stock options related to profit unit interests. </w:t>
      </w:r>
    </w:p>
    <w:p>
      <w:pPr>
        <w:pStyle w:val="TextBody"/>
        <w:spacing w:lineRule="auto" w:line="288" w:before="240" w:after="283"/>
        <w:jc w:val="both"/>
        <w:rPr/>
      </w:pPr>
      <w:r>
        <w:rPr>
          <w:rFonts w:ascii="Times New Roman;sans-serif" w:hAnsi="Times New Roman;sans-serif"/>
          <w:b/>
          <w:i/>
          <w:color w:val="000000"/>
          <w:sz w:val="20"/>
        </w:rPr>
        <w:t>Net Loss Attributable to Noncontrolling Interests.</w:t>
      </w:r>
      <w:r>
        <w:rPr>
          <w:color w:val="000000"/>
        </w:rPr>
        <w:t xml:space="preserve">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InnovAge Senior Housing Thornton, LLC (“SH1”) is a Variable Interest Entity (“VIE”). The Company is the primary beneficiary of SH1 and consolidates SH1. The Company is the primary beneficiary of SH1 because it has the power to direct the activities that are most significant to SH1 and has an obligation to absorb losses or the right to receive benefits from SH1. The most significant activity of SH1 is the operation of the housing facility. The Company has provided a subordinated loan to SH1 and has provided a guarantee for the convertible term loan held by SH1. The SH1 interest is reflected within equity as noncontrolling interests. Our share of earnings are recorded in the consolidated statements of operations and the share of the other noncontrolling interest holders’ earnings are recorded as net loss attributable to noncontrolling interests.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share of earnings are recorded in the consolidated statements of operations and the share of the other noncontrolling interest holders’ earnings are recorded as net loss attributable to noncontrolling interests.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Net Income (Loss)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March 31, 2023 and 2022, we reported net income (loss) of ($31.6 million) and $5.6 million, respectively, consisting of (i) income (loss) from operations of ($38.5 million) and $7.9 million, respectively, (ii) other expense of $0.9 million and $2.3 million, respectively, and (iii) a benefit for income taxes of $7.7 million and provision of $0.1 million, respectively, each as described above.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Key Business Metrics and Non-GAAP Measures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metrics provide additional perspective and insights when analyzing our core operating performance from period to period and evaluating trends in historical operating results. These key business metrics and non-GAAP measures should not be considered superior to, or a substitute for, and should be read in conjunction with, the GAAP financial information presented herein. These measures may not be comparable to similarly-titled performance indicators used by other companies.</w:t>
      </w:r>
    </w:p>
    <w:tbl>
      <w:tblPr>
        <w:tblW w:w="7293" w:type="dxa"/>
        <w:jc w:val="left"/>
        <w:tblInd w:w="0" w:type="dxa"/>
        <w:tblCellMar>
          <w:top w:w="28" w:type="dxa"/>
          <w:left w:w="28" w:type="dxa"/>
          <w:bottom w:w="28" w:type="dxa"/>
          <w:right w:w="28" w:type="dxa"/>
        </w:tblCellMar>
      </w:tblPr>
      <w:tblGrid>
        <w:gridCol w:w="1567"/>
        <w:gridCol w:w="1380"/>
        <w:gridCol w:w="1388"/>
        <w:gridCol w:w="211"/>
        <w:gridCol w:w="796"/>
        <w:gridCol w:w="271"/>
        <w:gridCol w:w="109"/>
        <w:gridCol w:w="109"/>
        <w:gridCol w:w="109"/>
        <w:gridCol w:w="211"/>
        <w:gridCol w:w="826"/>
        <w:gridCol w:w="316"/>
      </w:tblGrid>
      <w:tr>
        <w:trPr/>
        <w:tc>
          <w:tcPr>
            <w:tcW w:w="1567"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13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Business Metrics:</w:t>
            </w:r>
          </w:p>
        </w:tc>
        <w:tc>
          <w:tcPr>
            <w:tcW w:w="12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Centers</w:t>
            </w:r>
            <w:r>
              <w:rPr>
                <w:rFonts w:ascii="Times New Roman;sans-serif" w:hAnsi="Times New Roman;sans-serif"/>
                <w:b w:val="false"/>
                <w:color w:val="000000"/>
                <w:sz w:val="13"/>
              </w:rPr>
              <w:t>(a)</w:t>
            </w:r>
          </w:p>
        </w:tc>
        <w:tc>
          <w:tcPr>
            <w:tcW w:w="127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43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Census</w:t>
            </w:r>
            <w:r>
              <w:rPr>
                <w:rFonts w:ascii="Times New Roman;sans-serif" w:hAnsi="Times New Roman;sans-serif"/>
                <w:b w:val="false"/>
                <w:color w:val="000000"/>
                <w:sz w:val="13"/>
              </w:rPr>
              <w:t>(b)</w:t>
            </w:r>
          </w:p>
        </w:tc>
        <w:tc>
          <w:tcPr>
            <w:tcW w:w="127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w:t>
            </w:r>
          </w:p>
        </w:tc>
      </w:tr>
      <w:tr>
        <w:trPr/>
        <w:tc>
          <w:tcPr>
            <w:tcW w:w="43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Total Member Months</w:t>
            </w:r>
            <w:r>
              <w:rPr>
                <w:rFonts w:ascii="Times New Roman;sans-serif" w:hAnsi="Times New Roman;sans-serif"/>
                <w:b w:val="false"/>
                <w:color w:val="000000"/>
                <w:sz w:val="13"/>
              </w:rPr>
              <w:t>(b)</w:t>
            </w:r>
          </w:p>
        </w:tc>
        <w:tc>
          <w:tcPr>
            <w:tcW w:w="127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62,730</w:t>
            </w:r>
          </w:p>
        </w:tc>
      </w:tr>
      <w:tr>
        <w:trPr/>
        <w:tc>
          <w:tcPr>
            <w:tcW w:w="4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Center-level Contribution Margin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111,741 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Center-level Contribution Margin as a % of revenue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Measures:</w:t>
            </w:r>
          </w:p>
        </w:tc>
        <w:tc>
          <w:tcPr>
            <w:tcW w:w="12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(31,557)</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5,572 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margin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Measures:</w:t>
            </w:r>
          </w:p>
        </w:tc>
        <w:tc>
          <w:tcPr>
            <w:tcW w:w="12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34,895 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Adjusted EBITDA Margin</w:t>
            </w:r>
            <w:r>
              <w:rPr>
                <w:rFonts w:ascii="Times New Roman;sans-serif" w:hAnsi="Times New Roman;sans-serif"/>
                <w:b w:val="false"/>
                <w:color w:val="000000"/>
                <w:sz w:val="13"/>
              </w:rPr>
              <w:t>(c)</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p>
      <w:pPr>
        <w:pStyle w:val="TextBody"/>
        <w:spacing w:lineRule="auto" w:line="288" w:before="6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(a)During the third quarter ended March 31, 2023, the Company consolidated its Germantown LIFE center with its Allegheny and Henry Avenue LIFE centers in Pennsylvania.</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(b)Amounts are approximate.</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(c)Adjusted EBITDA and Adjusted EBITDA margin are non-GAAP measures. For a definition and reconciliation of these non-GAAP measures to the most closely comparable GAAP measures for the period indicated, see below under “Adjusted EBITDA and Adjusted EBITDA Margin.”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Centers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our centers as those centers open for business and attending to participants at the end of a particular period.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Census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census is comprised of our capitated participants for whom we are financially responsible for their total healthcare costs.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Total Member Months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Total Member Months as the total number of participants multiplied by the number of months within a year in which each participant was enrolled in our program. We believe this is a useful metric as it more precisely tracks the number of participants we serve throughout the year.</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Center-level Contribution Margin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Center-level Contribution Margin as total revenues less external provider costs and cost of care, excluding depreciation and amortization, which includes all medical and pharmacy costs. For purposes of evaluating Center-level Contribution Margin on a center-by-center basis, we do not allocate our sales and marketing expense or corporate, general and administrative expenses across our centers. Center-level Contribution Margin was $72.8 million and $111.7 million for the nine months ended March 31, 2023 and 2022, respectively.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Adjusted EBITDA and Adjusted EBITDA Margin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Adjusted EBITDA as net income (loss) adjusted for interest expense, depreciation and amortization, and provision (benefit) for income tax as well as addbacks for non-recurring expenses or exceptional items, including charges relating to management equity compensation, class action litigation, M&amp;A and de novo center development, business optimization, EMR implementation, and facility expansion, relocation and closure. Adjusted EBITDA margin is Adjusted EBITDA expressed as a percentage of our total revenue less any exceptional, one time revenue items. For the nine months ended March 31, 2023 and 2022, net loss was $31.6 million and net income was $5.6 million, respectively, representing a year-over-year decrease of 666.3%. Adjusted EBITDA was ($2.0 million) and $34.9 million, for the nine months ended March 31, 2023 and 2022, respectively, representing a year-over-year decrease of 105.7%. For the nine months ended March 31, 2023, net loss margin was 6.2%, as compared to net income margin of 1.1% for the nine months ended March 31, 2022. For the nine months ended March 31, 2023, our Adjusted EBITDA margin was negative 0.4%, as compared to our Adjusted EBITDA margin for the nine months ended March 31, 2022 of 6.6%. The decrease in Adjusted EBITDA and Adjusted EBITDA margin is primarily from (i) increased center-level headcount and wage rates associated with a competitive labor market, (ii) increased housing utilization and rates as mandated by the states, and (iii) higher corporate, general, and administrative expenses, primarily attributable to increased headcount to support compliance and to bolster our organizational capabilities.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and Adjusted EBITDA margin are supplemental measures of operating performance monitored by management that are not defined under GAAP and that do not represent, and should not be considered as, an alternative to net income (loss) and net income (loss) margin, respectively, as determined by GAAP. We believe that Adjusted EBITDA and Adjusted EBITDA margin are appropriate measures of operating performance because the metrics eliminate the impact of revenue and expenses that do not relate to our ongoing business performance and noncash expenses, allowing us 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non-GAAP financial measures have limitations as analytical tools and should not be considered in isolation from, or as a substitute for, the analysis of other GAAP financial measures, including net income (loss) and net income (loss) margin.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The use of the term Adjusted EBITDA varies from others in our industry.</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Adjusted EBITDA to net income, the most directly comparable GAAP measure, for each of the periods is as follows:</w:t>
      </w:r>
    </w:p>
    <w:tbl>
      <w:tblPr>
        <w:tblW w:w="8804" w:type="dxa"/>
        <w:jc w:val="left"/>
        <w:tblInd w:w="0" w:type="dxa"/>
        <w:tblCellMar>
          <w:top w:w="28" w:type="dxa"/>
          <w:left w:w="28" w:type="dxa"/>
          <w:bottom w:w="28" w:type="dxa"/>
          <w:right w:w="28" w:type="dxa"/>
        </w:tblCellMar>
      </w:tblPr>
      <w:tblGrid>
        <w:gridCol w:w="1244"/>
        <w:gridCol w:w="1091"/>
        <w:gridCol w:w="1099"/>
        <w:gridCol w:w="226"/>
        <w:gridCol w:w="741"/>
        <w:gridCol w:w="116"/>
        <w:gridCol w:w="116"/>
        <w:gridCol w:w="116"/>
        <w:gridCol w:w="116"/>
        <w:gridCol w:w="226"/>
        <w:gridCol w:w="741"/>
        <w:gridCol w:w="116"/>
        <w:gridCol w:w="109"/>
        <w:gridCol w:w="109"/>
        <w:gridCol w:w="109"/>
        <w:gridCol w:w="211"/>
        <w:gridCol w:w="796"/>
        <w:gridCol w:w="109"/>
        <w:gridCol w:w="109"/>
        <w:gridCol w:w="109"/>
        <w:gridCol w:w="109"/>
        <w:gridCol w:w="211"/>
        <w:gridCol w:w="721"/>
        <w:gridCol w:w="154"/>
      </w:tblGrid>
      <w:tr>
        <w:trPr/>
        <w:tc>
          <w:tcPr>
            <w:tcW w:w="1244"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Executive severance and recruitment</w:t>
            </w:r>
            <w:r>
              <w:rPr>
                <w:rFonts w:ascii="Times New Roman;sans-serif" w:hAnsi="Times New Roman;sans-serif"/>
                <w:b w:val="false"/>
                <w:color w:val="000000"/>
                <w:sz w:val="13"/>
              </w:rPr>
              <w:t>(a)</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Litigation costs and settlement</w:t>
            </w:r>
            <w:r>
              <w:rPr>
                <w:rFonts w:ascii="Times New Roman;sans-serif" w:hAnsi="Times New Roman;sans-serif"/>
                <w:b w:val="false"/>
                <w:color w:val="000000"/>
                <w:sz w:val="13"/>
              </w:rPr>
              <w:t>(b)</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M&amp;A and de novo center development</w:t>
            </w:r>
            <w:r>
              <w:rPr>
                <w:rFonts w:ascii="Times New Roman;sans-serif" w:hAnsi="Times New Roman;sans-serif"/>
                <w:b w:val="false"/>
                <w:color w:val="000000"/>
                <w:sz w:val="13"/>
              </w:rPr>
              <w:t>(c)</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Business optimization</w:t>
            </w:r>
            <w:r>
              <w:rPr>
                <w:rFonts w:ascii="Times New Roman;sans-serif" w:hAnsi="Times New Roman;sans-serif"/>
                <w:b w:val="false"/>
                <w:color w:val="000000"/>
                <w:sz w:val="13"/>
              </w:rPr>
              <w:t>(d)</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EMR implementation</w:t>
            </w:r>
            <w:r>
              <w:rPr>
                <w:rFonts w:ascii="Times New Roman;sans-serif" w:hAnsi="Times New Roman;sans-serif"/>
                <w:b w:val="false"/>
                <w:color w:val="000000"/>
                <w:sz w:val="13"/>
              </w:rPr>
              <w:t>(e)</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p>
      <w:pPr>
        <w:pStyle w:val="TextBody"/>
        <w:spacing w:lineRule="auto" w:line="288" w:before="6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(a)Reflects charges related to executive severance and recruiting.</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(b)Reflects a $1.2 million reserve for a wage and hour class action settlement for the three and nine months ended March 31, 2023 and charges/(credits) related to litigation by stockholders, litigation related to de novo center development, and civil investigative demands. Refer to Note 9, "Commitments and Contingencies" to our condensed consolidated financial statements for more information regarding litigation by stockholders and civil investigative demands. Costs reflected consist of litigation costs considered one-time in nature and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(c)Reflects charges related to M&amp;A transaction and integrations, and de novo center developments.</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(d)Reflects charges related to business optimization initiatives. Such charges related to one-time investments in projects designed to enhance our technology and compliance systems, improve and support the efficiency and effectiveness of our operations, and third party support to address efforts to remediate deficiencies in audits. For the three months ended March 31, 2023 this includes (i) $0.3 million related to consultants and contractors performing audit and other related services at sanctioned centers, (ii) $0.2 million of costs associated with third party consultants as we implement our core provider initiatives, assess our risk-bearing payor capabilities, and strengthen our enterprise capabilities, (iii) $0.6 million in the consolidation of the Germantown, Pennsylvania center, and (iv) $0.3 million related to other non-recurring projects aimed at reducing costs and improving efficiencies. For the nine months ended March 31, 2023 this includes (i) $1.5 million related to consultants and contractors performing audit and other related services at sanctioned centers, (ii) $5.3 million of costs associated with third party consultants as we implement our core provider initiatives, assess our risk-bearing payor capabilities, and strengthen our enterprise capabilities, (iii) $0.6 million in the consolidation of the Germantown center and (iv) $1.0 million related to other non-recurring projects aimed at reducing costs and improving efficiencies.</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(e)Reflects non-recurring expenses relating to the implementation of a new EMR vendor.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40" w:after="283"/>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General</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date, we have financed our operations principally through cash flows from operations and through borrowings under our credit facilities, and from the sale of common stock in our IPO that occurred in March 2021. As of March 31, 2023, we had cash and cash equivalents of $121.7 million. Our cash and cash equivalents primarily consist of highly liquid investments in demand deposit accounts and cash.</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capital resources are generally used to fund (i) debt service requirements, the majority of which relate to the quarterly principal payments of the Term Loan Facility (as defined in Note 8, “Long Term Debt” to the condensed consolidated financial statements) due 2026, (ii) capital and operating lease obligations, which are generally paid on a monthly basis and include maturities through 2025 and 2032, respectively, (iii) the operations of our business, including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special projects such as our transition to a new EMR vendor, with respect to which we expect to incur non-recurring implementation costs over the next three months, and ongoing costs through 2026, and third party support to address remediation efforts, and (iv) income tax payments, which are generally due on a quarterly and annual basis. We also will continue investing in the effective implementation of corrective remediation plans (CAPs) and other corrective initiatives as a result of deficiencies found during audits at some of our centers, and our ability to continually provide necessary and quality services to our participants. We also have used and expect to increase the use of capital resources for capital additions, which include costs relating to the development of de novo centers, including those in Florida. Collectively, these obligations are expected to represent a significant liquidity requirement of our Company on both a short-term (next 12 months) and long-term (beyond 12 months) basis.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obligations consist of repayments of long-term debt and obligations under operating and finance leases. As of March 31, 2023, we had $70.7 million of long-term debt outstanding. As of March 31, 2023, we had future minimum operating lease payments under non-cancellable leases through the year 2032 of $29.1 million. We also had non-cancellable finance lease agreements with third parties through the year 2027 with future minimum payments of $21.6 million. For additional information, see Note 7, “Leases”, Note 8, “Long Term Debt”, and Note 9, “Commitments and Contingencies” in our condensed consolidated financial statements.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and cash equivalents and our cash flows from operations, available funds, and access to financing sources, including our 2021 Credit Agreement and Revolving Credit Facility (each discussed and defined below), will be sufficient to fund our operating and capital needs for the next 12 months and beyond.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our ability to retain and grow the number of PACE participants, subject to our ability to effectively remediate deficiencies identified in audits of our centers and the expansion of sales and marketing activities. We may in the future enter into arrangements to acquire or invest in complementary businesses,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2021 Credit Agreement consists of a senior secured term loan (the “Term Loan Facility”) of $75.0 million principal amount and a revolving credit facility (the “Revolving Credit Facility”) of $100.0 million maximum borrowing capacity. The borrowing capacity under the Revolving Credit Facility is subject (i) any issued amounts under our letters of credit and (ii) applicable covenant compliance restrictions and any other conditions precedent to borrowing. Principal on the Term Loan Facility is paid each calendar quarter in an amount equal to 1.25% of the initial term loan on closing date.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outstanding principal amounts under the 2021 Credit Agreement accrue interest at a variable interest rate. As of March 31, 2023, the interest rate on the Term Loan Facility was 6.60%. Under the terms of the 2021 Credit Agreement, the Revolving Credit Facility fee accrues at 0.25% of the average daily unused amount and is paid quarterly. As of March 31, 2023, we had no borrowings outstanding, $3.0 million of letters of credit issued, and $97.0 million of remaining capacity under the Revolving Credit Facility. As of March 31, 2023, we also had $2.3 million principal amount outstanding under our convertible term loan. Monthly principal and interest payments for the convertible term loan are approximately $0.02 million, and the loan bears interest at an annual rate of 6.68%. The remaining principal balance is due upon maturity, which is August 20, 2030.</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more information about our debt, see Note 8 “Long-Term Debt” to our condensed consolidated financial statements.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intend to retain all available funds and any future earnings to fund the development and growth of our business.</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Condensed Consolidated Statements of Cash Flows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statements of cash flows for the nine months ended March 31, 2023 and 2022 are summarized as follows:</w:t>
      </w:r>
    </w:p>
    <w:tbl>
      <w:tblPr>
        <w:tblW w:w="8606" w:type="dxa"/>
        <w:jc w:val="left"/>
        <w:tblInd w:w="0" w:type="dxa"/>
        <w:tblCellMar>
          <w:top w:w="28" w:type="dxa"/>
          <w:left w:w="28" w:type="dxa"/>
          <w:bottom w:w="28" w:type="dxa"/>
          <w:right w:w="28" w:type="dxa"/>
        </w:tblCellMar>
      </w:tblPr>
      <w:tblGrid>
        <w:gridCol w:w="1679"/>
        <w:gridCol w:w="1473"/>
        <w:gridCol w:w="1482"/>
        <w:gridCol w:w="211"/>
        <w:gridCol w:w="796"/>
        <w:gridCol w:w="109"/>
        <w:gridCol w:w="109"/>
        <w:gridCol w:w="109"/>
        <w:gridCol w:w="109"/>
        <w:gridCol w:w="211"/>
        <w:gridCol w:w="721"/>
        <w:gridCol w:w="109"/>
        <w:gridCol w:w="109"/>
        <w:gridCol w:w="109"/>
        <w:gridCol w:w="109"/>
        <w:gridCol w:w="211"/>
        <w:gridCol w:w="796"/>
        <w:gridCol w:w="154"/>
      </w:tblGrid>
      <w:tr>
        <w:trPr/>
        <w:tc>
          <w:tcPr>
            <w:tcW w:w="1679" w:type="dxa"/>
            <w:tcBorders/>
            <w:shd w:fill="auto" w:val="clear"/>
            <w:vAlign w:val="center"/>
          </w:tcPr>
          <w:p>
            <w:pPr>
              <w:pStyle w:val="TableContents"/>
              <w:spacing w:before="0" w:after="283"/>
              <w:rPr>
                <w:sz w:val="4"/>
                <w:szCs w:val="4"/>
              </w:rPr>
            </w:pPr>
            <w:r>
              <w:rPr>
                <w:sz w:val="4"/>
                <w:szCs w:val="4"/>
              </w:rPr>
            </w:r>
          </w:p>
        </w:tc>
        <w:tc>
          <w:tcPr>
            <w:tcW w:w="1473"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4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(used) by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jc w:val="both"/>
        <w:rPr/>
      </w:pPr>
      <w:r>
        <w:rPr>
          <w:rFonts w:ascii="Times New Roman;sans-serif" w:hAnsi="Times New Roman;sans-serif"/>
          <w:b w:val="false"/>
          <w:i/>
          <w:color w:val="000000"/>
          <w:sz w:val="20"/>
        </w:rPr>
        <w:t xml:space="preserve">Operating Activities. </w:t>
      </w:r>
      <w:r>
        <w:rPr>
          <w:rFonts w:ascii="Times New Roman;sans-serif" w:hAnsi="Times New Roman;sans-serif"/>
          <w:b w:val="false"/>
          <w:color w:val="000000"/>
          <w:sz w:val="20"/>
        </w:rPr>
        <w:t xml:space="preserve">The change in net cash provided (used) by operating activities was primarily due to the net effect of (i) net loss of $31.6 million in the current year period compared to a net income of $5.6 million in the prior year period, as described further above, and (ii) a net decrease in working capital primarily attributable to payments for operating leases and reported and estimated claims. </w:t>
      </w:r>
    </w:p>
    <w:p>
      <w:pPr>
        <w:pStyle w:val="TextBody"/>
        <w:spacing w:lineRule="auto" w:line="288" w:before="240" w:after="283"/>
        <w:ind w:left="0" w:right="0" w:firstLine="360"/>
        <w:jc w:val="both"/>
        <w:rPr/>
      </w:pPr>
      <w:r>
        <w:rPr>
          <w:rFonts w:ascii="Times New Roman;sans-serif" w:hAnsi="Times New Roman;sans-serif"/>
          <w:b w:val="false"/>
          <w:i/>
          <w:color w:val="000000"/>
          <w:sz w:val="20"/>
        </w:rPr>
        <w:t xml:space="preserve">Investing Activities. </w:t>
      </w:r>
      <w:r>
        <w:rPr>
          <w:rFonts w:ascii="Times New Roman;sans-serif" w:hAnsi="Times New Roman;sans-serif"/>
          <w:b w:val="false"/>
          <w:color w:val="000000"/>
          <w:sz w:val="20"/>
        </w:rPr>
        <w:t xml:space="preserve">Investing activities were made up of approximately $19.3 million in purchases of property and equipment and $45.0 million for purchases of short-term investments, consisting primarily of managed income funds invested in investment grade short-term fixed and floating rate debt securities aimed at creating income while maintaining low volatility on principal. </w:t>
      </w:r>
    </w:p>
    <w:p>
      <w:pPr>
        <w:pStyle w:val="TextBody"/>
        <w:spacing w:lineRule="auto" w:line="288" w:before="240" w:after="283"/>
        <w:ind w:left="0" w:right="0" w:firstLine="360"/>
        <w:jc w:val="both"/>
        <w:rPr/>
      </w:pPr>
      <w:r>
        <w:rPr>
          <w:rFonts w:ascii="Times New Roman;sans-serif" w:hAnsi="Times New Roman;sans-serif"/>
          <w:b w:val="false"/>
          <w:i/>
          <w:color w:val="000000"/>
          <w:sz w:val="20"/>
        </w:rPr>
        <w:t xml:space="preserve">Financing activities. </w:t>
      </w:r>
      <w:r>
        <w:rPr>
          <w:rFonts w:ascii="Times New Roman;sans-serif" w:hAnsi="Times New Roman;sans-serif"/>
          <w:b w:val="false"/>
          <w:color w:val="000000"/>
          <w:sz w:val="20"/>
        </w:rPr>
        <w:t>The increase in net cash used in financing activities was primarily due to an increase in principal payments on finance leases.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Emerging Growth Company and Smaller Reporting Company</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qualify as an “emerging growth company” pursuant to the provisions of the Jumpstart Our Business Startups (“JOBS”) Act and a “smaller reporting company” as defined by the Exchange Act. For as long as we are an “emerging growth company” or a “smaller reporting company,” we may take advantage of certain exemptions from various reporting requirements that are applicable to other public companies that are not “emerging growth companies” or “smaller reporting companies,” including, but not limited to, not being required to comply with the auditor attestation requirements of Section 404(b) of the Sarbanes-Oxley Act, only being required to present two years of audited financial statements, plus unaudited condensed consolidated financial statements for applicable interim periods and the related discussion in the section titled “Management’s Discussion and Analysis of Financial Condition and Results of Operations,” reduced disclosure obligations regarding executive compensation in our periodic reports, proxy statements and registration statements, exemptions from the requirements of holding non-binding advisory “say-on-pay” votes on executive compensation and stockholder advisory votes on golden parachute compensation.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and analysis of our financial condition and results of operations are based upon our condensed consolidated financial statements, which have been prepared in accordance with GAAP. The preparation of these financial statements requires management to make estimates and judgments that affect the reported amounts of assets and liabilities and disclosure of contingent assets and liabilities at the date of the condensed consolidated financial statements and the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reported amounts of revenues and expenses during the reporting period. Actual results may differ from these estimates under different assumptions or conditions, impacting our reported results of operations and financial condition.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accounting estimates involve significant judgments and assumptions by management, which have a material impact on the carrying value of assets and liabilities and the recognition of income and expenses. We consider these accounting estimates to be critical accounting estimates. The estimates and assumptions used by management are based on historical experience and other factors, which are believed to be reasonable under the circumstances.</w:t>
      </w:r>
    </w:p>
    <w:p>
      <w:pPr>
        <w:pStyle w:val="TextBody"/>
        <w:spacing w:lineRule="auto" w:line="288" w:before="240" w:after="283"/>
        <w:ind w:left="0" w:right="0" w:firstLine="360"/>
        <w:jc w:val="both"/>
        <w:rPr/>
      </w:pPr>
      <w:r>
        <w:rPr>
          <w:rFonts w:ascii="Times New Roman;sans-serif" w:hAnsi="Times New Roman;sans-serif"/>
          <w:b w:val="false"/>
          <w:color w:val="000000"/>
          <w:sz w:val="20"/>
        </w:rPr>
        <w:t>For a description of our estimates regarding our critical accounting estimates, see “Critical Accounting Estimates” in the 2022 10-K. With the exception of the adoption of ASC 842 – Leases, as more thoroughly described in Note 7 “Leases”, there have been no significant changes in our critical accounting policies, estimates, or methodologies to our condensed consolidated financial statements</w:t>
      </w:r>
      <w:r>
        <w:rPr>
          <w:rFonts w:ascii="Times New Roman;sans-serif" w:hAnsi="Times New Roman;sans-serif"/>
          <w:b/>
          <w:color w:val="212529"/>
          <w:sz w:val="2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total outstanding debt of $68.4 million in principal amount under the Term Loan Facility, $2.3 million under the convertible term loan, and no outstanding debt under the Revolving Credit Facility (each as defined in Note 8, “Long-Term Debt” to our condensed consolidated financial statements). As of June 30, 2022, we had total outstanding debt of $71.3 million in principal amount under the Term Loan Facility and $2.3 million under the Convertible Term Loan. As of March 31, 2023, the interest rate on the Term Loan Facility was 6.60%. We plan to amend our 2021 Credit Agreement loan documents to replace the reference rate with the Secured Overnight Financing Rate ("SOFR") prior to the discontinuance of the London Interbank Offered Rate ("LIBOR").</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of $121.7 million and $184.4 million as of March 31, 2023 and June 30, 2022, respectively, which are deposited with high credit quality financial institutions and are primarily in demand deposit accounts.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and interest payments in respect of our debt are subject to market risk due to changes in interest rates. We do not believe that an increase or decrease in interest rates of 100 basis points would have a material effect on our business, financial condition or results of operations.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short-term investments of $45.8 million and $— million as of March 31, 2023 and June 30, 2022, respectively, which are primarily invested in managed income funds managed by major financial institutions. The funds mainly invest in investment grade, U.S. denominated short-term fixed and floating rate debt securities. Securities are subject to market risk and sensitive to changes in interest rates. While the instruments held by the funds are generally less sensitive to interest rate changes than instruments with longer maturities due to their short-term nature, the funds may face a heightened level of interest rate risk due to changes in monetary policy. During periods when interest rates are low or negative, the funds yields, and total returns may also be low, or the funds may be unable to maintain positive returns. We do not believe that an increase or decrease in interest rates of 100 basis points would have a material effect on these short-term investments.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Inflation risk</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40" w:after="283"/>
        <w:rPr>
          <w:rFonts w:ascii="Times New Roman;sans-serif" w:hAnsi="Times New Roman;sans-serif"/>
          <w:b/>
          <w:color w:val="212529"/>
          <w:sz w:val="20"/>
        </w:rPr>
      </w:pPr>
      <w:r>
        <w:rPr>
          <w:rFonts w:ascii="Times New Roman;sans-serif" w:hAnsi="Times New Roman;sans-serif"/>
          <w:b/>
          <w:color w:val="212529"/>
          <w:sz w:val="20"/>
        </w:rPr>
        <w:t xml:space="preserve">Evaluation of Disclosure Controls and Procedures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and with the participation of our management, including the Chief Executive Officer and Chief Financial Officer, we have evaluated the effectiveness of our disclosure controls and procedures (as defined in Rules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13a-15(e) and 15d-15(e) under the Securities Exchange Act of 1934, as amended) as of the end of the period covered by this Report. Based on that evaluation, the Chief Executive Officer and Chief Financial Officer have concluded that these disclosure controls and procedures were effective as of March 31, 2023.</w:t>
      </w:r>
    </w:p>
    <w:p>
      <w:pPr>
        <w:pStyle w:val="TextBody"/>
        <w:spacing w:lineRule="auto" w:line="288" w:before="240" w:after="283"/>
        <w:jc w:val="both"/>
        <w:rPr>
          <w:rFonts w:ascii="Times New Roman;sans-serif" w:hAnsi="Times New Roman;sans-serif"/>
          <w:b/>
          <w:color w:val="212529"/>
          <w:sz w:val="20"/>
        </w:rPr>
      </w:pPr>
      <w:r>
        <w:rPr>
          <w:rFonts w:ascii="Times New Roman;sans-serif" w:hAnsi="Times New Roman;sans-serif"/>
          <w:b/>
          <w:color w:val="212529"/>
          <w:sz w:val="20"/>
        </w:rPr>
        <w:t xml:space="preserve">Changes to our Internal Controls over Financial Reporting </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changes in internal control over financial reporting during the quarter ended March 31, 2023 that have materially affected, or are reasonably likely to materially affect, our internal control over financial reporting.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24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information regarding our material pending legal proceedings, refer to Note 9 “Commitments and Contingencies” to our Condensed Consolidated Financial Statements located in Item 1 of Part I of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240" w:after="283"/>
        <w:ind w:left="0" w:right="0" w:firstLine="360"/>
        <w:jc w:val="both"/>
        <w:rPr/>
      </w:pPr>
      <w:r>
        <w:rPr>
          <w:rFonts w:ascii="Times New Roman;sans-serif" w:hAnsi="Times New Roman;sans-serif"/>
          <w:b w:val="false"/>
          <w:color w:val="000000"/>
          <w:sz w:val="20"/>
        </w:rPr>
        <w:t xml:space="preserve">There have been no material changes to the risk factors previously disclosed in </w:t>
      </w:r>
      <w:r>
        <w:rPr>
          <w:rFonts w:ascii="Times New Roman;sans-serif" w:hAnsi="Times New Roman;sans-serif"/>
          <w:b w:val="false"/>
          <w:color w:val="212529"/>
          <w:sz w:val="20"/>
        </w:rPr>
        <w:t>our 2022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240" w:after="283"/>
        <w:ind w:left="0" w:right="0" w:firstLine="360"/>
        <w:jc w:val="both"/>
        <w:rPr>
          <w:rFonts w:ascii="Times New Roman;sans-serif" w:hAnsi="Times New Roman;sans-serif"/>
          <w:b w:val="false"/>
          <w:color w:val="212529"/>
          <w:sz w:val="20"/>
        </w:rPr>
      </w:pPr>
      <w:r>
        <w:rPr>
          <w:rFonts w:ascii="Times New Roman;sans-serif" w:hAnsi="Times New Roman;sans-serif"/>
          <w:b w:val="false"/>
          <w:color w:val="212529"/>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all exhibits filed or furnished as part of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CellMar>
          <w:top w:w="28" w:type="dxa"/>
          <w:left w:w="28" w:type="dxa"/>
          <w:bottom w:w="28" w:type="dxa"/>
          <w:right w:w="28" w:type="dxa"/>
        </w:tblCellMar>
      </w:tblPr>
      <w:tblGrid>
        <w:gridCol w:w="268"/>
        <w:gridCol w:w="235"/>
        <w:gridCol w:w="237"/>
        <w:gridCol w:w="109"/>
        <w:gridCol w:w="109"/>
        <w:gridCol w:w="109"/>
        <w:gridCol w:w="2733"/>
        <w:gridCol w:w="2638"/>
        <w:gridCol w:w="3767"/>
      </w:tblGrid>
      <w:tr>
        <w:trPr/>
        <w:tc>
          <w:tcPr>
            <w:tcW w:w="26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3" w:type="dxa"/>
            <w:tcBorders/>
            <w:shd w:fill="auto" w:val="clear"/>
            <w:vAlign w:val="center"/>
          </w:tcPr>
          <w:p>
            <w:pPr>
              <w:pStyle w:val="TableContents"/>
              <w:spacing w:before="0" w:after="283"/>
              <w:rPr>
                <w:sz w:val="4"/>
                <w:szCs w:val="4"/>
              </w:rPr>
            </w:pPr>
            <w:r>
              <w:rPr>
                <w:sz w:val="4"/>
                <w:szCs w:val="4"/>
              </w:rPr>
            </w:r>
          </w:p>
        </w:tc>
        <w:tc>
          <w:tcPr>
            <w:tcW w:w="2638" w:type="dxa"/>
            <w:tcBorders/>
            <w:shd w:fill="auto" w:val="clear"/>
            <w:vAlign w:val="center"/>
          </w:tcPr>
          <w:p>
            <w:pPr>
              <w:pStyle w:val="TableContents"/>
              <w:spacing w:before="0" w:after="283"/>
              <w:rPr>
                <w:sz w:val="4"/>
                <w:szCs w:val="4"/>
              </w:rPr>
            </w:pPr>
            <w:r>
              <w:rPr>
                <w:sz w:val="4"/>
                <w:szCs w:val="4"/>
              </w:rPr>
            </w:r>
          </w:p>
        </w:tc>
        <w:tc>
          <w:tcPr>
            <w:tcW w:w="3767" w:type="dxa"/>
            <w:tcBorders/>
            <w:shd w:fill="auto" w:val="clear"/>
            <w:vAlign w:val="center"/>
          </w:tcPr>
          <w:p>
            <w:pPr>
              <w:pStyle w:val="TableContents"/>
              <w:spacing w:before="0" w:after="283"/>
              <w:rPr>
                <w:sz w:val="4"/>
                <w:szCs w:val="4"/>
              </w:rPr>
            </w:pPr>
            <w:r>
              <w:rPr>
                <w:sz w:val="4"/>
                <w:szCs w:val="4"/>
              </w:rPr>
            </w:r>
          </w:p>
        </w:tc>
      </w:tr>
      <w:tr>
        <w:trPr/>
        <w:tc>
          <w:tcPr>
            <w:tcW w:w="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40"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
              <w:r>
                <w:rPr>
                  <w:rStyle w:val="InternetLink"/>
                  <w:rFonts w:ascii="Times New Roman;sans-serif" w:hAnsi="Times New Roman;sans-serif"/>
                  <w:b w:val="false"/>
                  <w:color w:val="0000FF"/>
                  <w:sz w:val="20"/>
                  <w:u w:val="single"/>
                </w:rPr>
                <w:t>Second Amended and Restated Certificate of Incorporation of InnovAge Holding Corp., filed March 3, 2021 (incorporated by reference to Exhibit 3.1 to the Company’s Current Report on Form 8-K filed with the SEC on March 8, 2021).</w:t>
              </w:r>
            </w:hyperlink>
          </w:p>
        </w:tc>
      </w:tr>
      <w:tr>
        <w:trPr/>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
              <w:r>
                <w:rPr>
                  <w:rStyle w:val="InternetLink"/>
                  <w:rFonts w:ascii="Times New Roman;sans-serif" w:hAnsi="Times New Roman;sans-serif"/>
                  <w:b w:val="false"/>
                  <w:color w:val="0000FF"/>
                  <w:sz w:val="20"/>
                  <w:u w:val="single"/>
                </w:rPr>
                <w:t>Amended and Restated Bylaws of InnovAge Holding Corp., effective March 3, 2021 (incorporated by reference to Exhibit 3.2 to the Company’s Current Report on Form 8-K filed with the SEC on March 8, 2021).</w:t>
              </w:r>
            </w:hyperlink>
          </w:p>
        </w:tc>
      </w:tr>
      <w:tr>
        <w:trPr/>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Employment Agreement, dated February 28, 2023, by and between InnovAge Holding Corp. and Christine Bent (incorporated by reference to Exhibit 10.1 to the Company's Current Report on Form 8-K filed with the SEC on March 1, 2023).</w:t>
              </w:r>
            </w:hyperlink>
          </w:p>
        </w:tc>
      </w:tr>
      <w:tr>
        <w:trPr/>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innv-20230331xe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innv-20230331xe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nnv-20230331xe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nnv-20230331xe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r>
      <w:tr>
        <w:trPr/>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8"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The certifications furnished in Exhibit 32.1 and Exhibit 32.2 hereto are deemed “furnished” with this Quarterly Report on Form 10-Q and will not be deemed “filed” for purposes of Section 18 of the Securities Exchange Act of 1934, as amended, except to the extent that the registrant specifically incorporates it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968dc42382174974a6ff018886b25687_7">
        <w:r>
          <w:rPr>
            <w:rStyle w:val="InternetLink"/>
            <w:rFonts w:ascii="Times New Roman;sans-serif" w:hAnsi="Times New Roman;sans-serif"/>
            <w:b w:val="false"/>
            <w:color w:val="0000EE"/>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duly authorized.</w:t>
      </w:r>
    </w:p>
    <w:tbl>
      <w:tblPr>
        <w:tblW w:w="9617" w:type="dxa"/>
        <w:jc w:val="left"/>
        <w:tblInd w:w="0" w:type="dxa"/>
        <w:tblCellMar>
          <w:top w:w="28" w:type="dxa"/>
          <w:left w:w="28" w:type="dxa"/>
          <w:bottom w:w="28" w:type="dxa"/>
          <w:right w:w="28" w:type="dxa"/>
        </w:tblCellMar>
      </w:tblPr>
      <w:tblGrid>
        <w:gridCol w:w="591"/>
        <w:gridCol w:w="520"/>
        <w:gridCol w:w="523"/>
        <w:gridCol w:w="436"/>
        <w:gridCol w:w="436"/>
        <w:gridCol w:w="436"/>
        <w:gridCol w:w="1949"/>
        <w:gridCol w:w="1949"/>
        <w:gridCol w:w="2777"/>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949" w:type="dxa"/>
            <w:tcBorders/>
            <w:shd w:fill="auto" w:val="clear"/>
            <w:vAlign w:val="center"/>
          </w:tcPr>
          <w:p>
            <w:pPr>
              <w:pStyle w:val="TableContents"/>
              <w:spacing w:before="0" w:after="283"/>
              <w:rPr>
                <w:sz w:val="4"/>
                <w:szCs w:val="4"/>
              </w:rPr>
            </w:pPr>
            <w:r>
              <w:rPr>
                <w:sz w:val="4"/>
                <w:szCs w:val="4"/>
              </w:rPr>
            </w:r>
          </w:p>
        </w:tc>
        <w:tc>
          <w:tcPr>
            <w:tcW w:w="1949" w:type="dxa"/>
            <w:tcBorders/>
            <w:shd w:fill="auto" w:val="clear"/>
            <w:vAlign w:val="center"/>
          </w:tcPr>
          <w:p>
            <w:pPr>
              <w:pStyle w:val="TableContents"/>
              <w:spacing w:before="0" w:after="283"/>
              <w:rPr>
                <w:sz w:val="4"/>
                <w:szCs w:val="4"/>
              </w:rPr>
            </w:pPr>
            <w:r>
              <w:rPr>
                <w:sz w:val="4"/>
                <w:szCs w:val="4"/>
              </w:rPr>
            </w:r>
          </w:p>
        </w:tc>
        <w:tc>
          <w:tcPr>
            <w:tcW w:w="2777"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3" w:type="dxa"/>
            <w:gridSpan w:val="6"/>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INNOVAGE HOLDING CORP.</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1308"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6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Barbara Gutierrez</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675"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Barbara Gutierrez</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6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(Duly Authorized Officer and 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 of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Patrick Blair, certify that:</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InnovAge Holding Corp.;</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318" w:type="dxa"/>
        <w:jc w:val="left"/>
        <w:tblInd w:w="0" w:type="dxa"/>
        <w:tblCellMar>
          <w:top w:w="28" w:type="dxa"/>
          <w:left w:w="28" w:type="dxa"/>
          <w:bottom w:w="28" w:type="dxa"/>
          <w:right w:w="28" w:type="dxa"/>
        </w:tblCellMar>
      </w:tblPr>
      <w:tblGrid>
        <w:gridCol w:w="591"/>
        <w:gridCol w:w="520"/>
        <w:gridCol w:w="523"/>
        <w:gridCol w:w="208"/>
        <w:gridCol w:w="208"/>
        <w:gridCol w:w="213"/>
        <w:gridCol w:w="599"/>
        <w:gridCol w:w="599"/>
        <w:gridCol w:w="857"/>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55"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Blair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55"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Blair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55"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 of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Barbara Gutierrez, certify that:</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InnovAge Holding, Corp.;</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333" w:type="dxa"/>
        <w:jc w:val="left"/>
        <w:tblInd w:w="0" w:type="dxa"/>
        <w:tblCellMar>
          <w:top w:w="28" w:type="dxa"/>
          <w:left w:w="28" w:type="dxa"/>
          <w:bottom w:w="28" w:type="dxa"/>
          <w:right w:w="28" w:type="dxa"/>
        </w:tblCellMar>
      </w:tblPr>
      <w:tblGrid>
        <w:gridCol w:w="591"/>
        <w:gridCol w:w="520"/>
        <w:gridCol w:w="523"/>
        <w:gridCol w:w="208"/>
        <w:gridCol w:w="208"/>
        <w:gridCol w:w="213"/>
        <w:gridCol w:w="607"/>
        <w:gridCol w:w="607"/>
        <w:gridCol w:w="856"/>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Barbara Gutierrez</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Barbara Gutierrez</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Pursuant to Rule 18 U.S.C. Section 1350</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InnovAge Holding Corp. (the “Company”) for the fiscal quarter ended March 31, 2023 as filed with the U.S. Securities and Exchange Commission (the “Report”), I, Patrick Blair, Chief Executive Officer of the Company, hereby certify, pursuant to 18 U.S.C. Section 1350, as adopted pursuant to Section 906 of the Sarbanes-Oxley Act of 2002, that, to my knowledge: </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Section 15(d) of the Securities Exchange Act of 1934, as amended; and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318" w:type="dxa"/>
        <w:jc w:val="left"/>
        <w:tblInd w:w="0" w:type="dxa"/>
        <w:tblCellMar>
          <w:top w:w="28" w:type="dxa"/>
          <w:left w:w="28" w:type="dxa"/>
          <w:bottom w:w="28" w:type="dxa"/>
          <w:right w:w="28" w:type="dxa"/>
        </w:tblCellMar>
      </w:tblPr>
      <w:tblGrid>
        <w:gridCol w:w="591"/>
        <w:gridCol w:w="520"/>
        <w:gridCol w:w="523"/>
        <w:gridCol w:w="208"/>
        <w:gridCol w:w="208"/>
        <w:gridCol w:w="213"/>
        <w:gridCol w:w="599"/>
        <w:gridCol w:w="599"/>
        <w:gridCol w:w="857"/>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55"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Blair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55"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Blair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55"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Pursuant to Rule 18 U.S.C. Section 1350</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InnovAge Holding Corp. (the “Company”) for the fiscal quarter ended March 31, 2023 as filed with the U.S. Securities and Exchange Commission (the “Report”), I, Barbara Gutierrez, Chief Financial Officer of the Company, hereby certify, pursuant to 18 U.S.C. Section 1350, as adopted pursuant to Section 906 of the Sarbanes-Oxley Act of 2002, that, to my knowledge: </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Section 15(d) of the Securities Exchange Act of 1934, as amended; and</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240" w:after="283"/>
        <w:rPr/>
      </w:pPr>
      <w:r>
        <w:rPr/>
      </w:r>
    </w:p>
    <w:tbl>
      <w:tblPr>
        <w:tblW w:w="4333" w:type="dxa"/>
        <w:jc w:val="left"/>
        <w:tblInd w:w="0" w:type="dxa"/>
        <w:tblCellMar>
          <w:top w:w="28" w:type="dxa"/>
          <w:left w:w="28" w:type="dxa"/>
          <w:bottom w:w="28" w:type="dxa"/>
          <w:right w:w="28" w:type="dxa"/>
        </w:tblCellMar>
      </w:tblPr>
      <w:tblGrid>
        <w:gridCol w:w="591"/>
        <w:gridCol w:w="520"/>
        <w:gridCol w:w="523"/>
        <w:gridCol w:w="208"/>
        <w:gridCol w:w="208"/>
        <w:gridCol w:w="213"/>
        <w:gridCol w:w="607"/>
        <w:gridCol w:w="607"/>
        <w:gridCol w:w="856"/>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Barbara Gutierrez</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Barbara Gutierrez</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shd w:fill="auto" w:val="clear"/>
            <w:tcMar>
              <w:top w:w="0" w:type="dxa"/>
              <w:left w:w="0" w:type="dxa"/>
              <w:bottom w:w="0" w:type="dxa"/>
              <w:right w:w="0" w:type="dxa"/>
            </w:tcMar>
            <w:vAlign w:val="center"/>
          </w:tcPr>
          <w:p>
            <w:pPr>
              <w:pStyle w:val="TableContents"/>
              <w:spacing w:lineRule="auto" w:line="285"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spacing w:before="240" w:after="283"/>
        <w:rPr/>
      </w:pPr>
      <w:r>
        <w:rPr/>
      </w:r>
    </w:p>
    <w:p>
      <w:pPr>
        <w:pStyle w:val="TextBody"/>
        <w:spacing w:before="240" w:after="283"/>
        <w:rPr/>
      </w:pPr>
      <w:r>
        <w:rPr/>
      </w:r>
    </w:p>
    <w:p>
      <w:pPr>
        <w:pStyle w:val="TextBody"/>
        <w:spacing w:before="240" w:after="283"/>
        <w:rPr/>
      </w:pPr>
      <w:r>
        <w:rPr/>
      </w:r>
    </w:p>
    <w:p>
      <w:pPr>
        <w:pStyle w:val="TextBody"/>
        <w:spacing w:before="240" w:after="283"/>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34376/000110465921033328/tm2037889d18_ex3-1.htm" TargetMode="External"/><Relationship Id="rId4" Type="http://schemas.openxmlformats.org/officeDocument/2006/relationships/hyperlink" Target="https://www.sec.gov/Archives/edgar/data/1834376/000110465921033328/tm2037889d18_ex3-2.htm" TargetMode="External"/><Relationship Id="rId5" Type="http://schemas.openxmlformats.org/officeDocument/2006/relationships/hyperlink" Target="https://www.sec.gov/Archives/edgar/data/1834376/000110465923027377/tm238090d1_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23908</Words>
  <CharactersWithSpaces>155617</CharactersWithSpaces>
  <Paragraphs>2588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