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ind w:right="-309"/>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2" w:lineRule="exact"/>
        <w:rPr>
          <w:sz w:val="24"/>
          <w:szCs w:val="24"/>
          <w:color w:val="auto"/>
        </w:rPr>
      </w:pPr>
    </w:p>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67945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3" w:lineRule="exact"/>
        <w:rPr>
          <w:sz w:val="24"/>
          <w:szCs w:val="24"/>
          <w:color w:val="auto"/>
        </w:rPr>
      </w:pPr>
    </w:p>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4410" w:right="2200" w:hanging="1914"/>
        <w:spacing w:after="0" w:line="266" w:lineRule="auto"/>
        <w:tabs>
          <w:tab w:leader="none" w:pos="2815"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 w:lineRule="exact"/>
        <w:rPr>
          <w:sz w:val="24"/>
          <w:szCs w:val="24"/>
          <w:color w:val="auto"/>
        </w:rPr>
      </w:pPr>
    </w:p>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2022</w:t>
      </w:r>
    </w:p>
    <w:p>
      <w:pPr>
        <w:spacing w:after="0" w:line="6" w:lineRule="exact"/>
        <w:rPr>
          <w:sz w:val="24"/>
          <w:szCs w:val="24"/>
          <w:color w:val="auto"/>
        </w:rPr>
      </w:pPr>
    </w:p>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4" w:lineRule="exact"/>
        <w:rPr>
          <w:sz w:val="24"/>
          <w:szCs w:val="24"/>
          <w:color w:val="auto"/>
        </w:rPr>
      </w:pPr>
    </w:p>
    <w:p>
      <w:pPr>
        <w:ind w:left="2670" w:hanging="334"/>
        <w:spacing w:after="0"/>
        <w:tabs>
          <w:tab w:leader="none" w:pos="267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w:t>
      </w:r>
    </w:p>
    <w:tbl>
      <w:tblPr>
        <w:tblLayout w:type="fixed"/>
        <w:tblInd w:w="4010" w:type="dxa"/>
        <w:tblCellMar>
          <w:top w:w="0" w:type="dxa"/>
          <w:left w:w="0" w:type="dxa"/>
          <w:bottom w:w="0" w:type="dxa"/>
          <w:right w:w="0" w:type="dxa"/>
        </w:tblCellMar>
      </w:tblPr>
      <w:tr>
        <w:trPr>
          <w:trHeight w:val="150"/>
        </w:trPr>
        <w:tc>
          <w:tcPr>
            <w:tcW w:w="22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EXCHANGE ACT OF 1934</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85"/>
              </w:rPr>
              <w:t>to</w:t>
            </w:r>
          </w:p>
        </w:tc>
        <w:tc>
          <w:tcPr>
            <w:tcW w:w="0" w:type="dxa"/>
            <w:vAlign w:val="bottom"/>
          </w:tcPr>
          <w:p>
            <w:pPr>
              <w:spacing w:after="0"/>
              <w:rPr>
                <w:sz w:val="1"/>
                <w:szCs w:val="1"/>
                <w:color w:val="auto"/>
              </w:rPr>
            </w:pPr>
          </w:p>
        </w:tc>
      </w:tr>
      <w:tr>
        <w:trPr>
          <w:trHeight w:val="190"/>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3754120</wp:posOffset>
            </wp:positionH>
            <wp:positionV relativeFrom="paragraph">
              <wp:posOffset>-19050</wp:posOffset>
            </wp:positionV>
            <wp:extent cx="296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33" w:lineRule="exact"/>
        <w:rPr>
          <w:sz w:val="24"/>
          <w:szCs w:val="24"/>
          <w:color w:val="auto"/>
        </w:rPr>
      </w:pPr>
    </w:p>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Commission File Number: 001-40159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59055</wp:posOffset>
            </wp:positionV>
            <wp:extent cx="171450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tbl>
      <w:tblPr>
        <w:tblLayout w:type="fixed"/>
        <w:tblInd w:w="149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60" w:type="dxa"/>
            <w:vAlign w:val="bottom"/>
            <w:gridSpan w:val="2"/>
          </w:tcPr>
          <w:p>
            <w:pPr>
              <w:jc w:val="center"/>
              <w:ind w:right="1517"/>
              <w:spacing w:after="0"/>
              <w:rPr>
                <w:sz w:val="20"/>
                <w:szCs w:val="20"/>
                <w:color w:val="auto"/>
              </w:rPr>
            </w:pPr>
            <w:r>
              <w:rPr>
                <w:rFonts w:ascii="Times New Roman" w:cs="Times New Roman" w:eastAsia="Times New Roman" w:hAnsi="Times New Roman"/>
                <w:sz w:val="14"/>
                <w:szCs w:val="14"/>
                <w:b w:val="1"/>
                <w:bCs w:val="1"/>
                <w:color w:val="auto"/>
              </w:rPr>
              <w:t>InnovAge Holding Corp.</w:t>
            </w:r>
          </w:p>
        </w:tc>
      </w:tr>
      <w:tr>
        <w:trPr>
          <w:trHeight w:val="190"/>
        </w:trPr>
        <w:tc>
          <w:tcPr>
            <w:tcW w:w="2180" w:type="dxa"/>
            <w:vAlign w:val="bottom"/>
          </w:tcPr>
          <w:p>
            <w:pPr>
              <w:spacing w:after="0"/>
              <w:rPr>
                <w:sz w:val="16"/>
                <w:szCs w:val="16"/>
                <w:color w:val="auto"/>
              </w:rPr>
            </w:pPr>
          </w:p>
        </w:tc>
        <w:tc>
          <w:tcPr>
            <w:tcW w:w="4620" w:type="dxa"/>
            <w:vAlign w:val="bottom"/>
            <w:gridSpan w:val="3"/>
          </w:tcPr>
          <w:p>
            <w:pPr>
              <w:jc w:val="center"/>
              <w:ind w:right="1337"/>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64"/>
        </w:trPr>
        <w:tc>
          <w:tcPr>
            <w:tcW w:w="2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r>
      <w:tr>
        <w:trPr>
          <w:trHeight w:val="324"/>
        </w:trPr>
        <w:tc>
          <w:tcPr>
            <w:tcW w:w="218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62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81-0710819</w:t>
            </w:r>
          </w:p>
        </w:tc>
      </w:tr>
      <w:tr>
        <w:trPr>
          <w:trHeight w:val="135"/>
        </w:trPr>
        <w:tc>
          <w:tcPr>
            <w:tcW w:w="218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900" w:type="dxa"/>
            <w:vAlign w:val="bottom"/>
          </w:tcPr>
          <w:p>
            <w:pPr>
              <w:ind w:left="9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0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w w:val="94"/>
              </w:rPr>
              <w:t>Identification Number)</w:t>
            </w:r>
          </w:p>
        </w:tc>
      </w:tr>
      <w:tr>
        <w:trPr>
          <w:trHeight w:val="198"/>
        </w:trPr>
        <w:tc>
          <w:tcPr>
            <w:tcW w:w="218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6"/>
              </w:rPr>
              <w:t>8950 E. Lowry Boulevard</w:t>
            </w:r>
          </w:p>
        </w:tc>
        <w:tc>
          <w:tcPr>
            <w:tcW w:w="4620" w:type="dxa"/>
            <w:vAlign w:val="bottom"/>
            <w:gridSpan w:val="3"/>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80230</w:t>
            </w:r>
          </w:p>
        </w:tc>
      </w:tr>
      <w:tr>
        <w:trPr>
          <w:trHeight w:val="135"/>
        </w:trPr>
        <w:tc>
          <w:tcPr>
            <w:tcW w:w="2180" w:type="dxa"/>
            <w:vAlign w:val="bottom"/>
          </w:tcPr>
          <w:p>
            <w:pPr>
              <w:jc w:val="center"/>
              <w:ind w:left="2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Denver, CO</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900" w:type="dxa"/>
            <w:vAlign w:val="bottom"/>
          </w:tcPr>
          <w:p>
            <w:pPr>
              <w:ind w:left="1000"/>
              <w:spacing w:after="0" w:line="135" w:lineRule="exact"/>
              <w:rPr>
                <w:sz w:val="20"/>
                <w:szCs w:val="20"/>
                <w:color w:val="auto"/>
              </w:rPr>
            </w:pPr>
            <w:r>
              <w:rPr>
                <w:rFonts w:ascii="Times New Roman" w:cs="Times New Roman" w:eastAsia="Times New Roman" w:hAnsi="Times New Roman"/>
                <w:sz w:val="13"/>
                <w:szCs w:val="13"/>
                <w:b w:val="1"/>
                <w:bCs w:val="1"/>
                <w:color w:val="auto"/>
              </w:rPr>
              <w:t>(Zip Code)</w:t>
            </w:r>
          </w:p>
        </w:tc>
      </w:tr>
      <w:tr>
        <w:trPr>
          <w:trHeight w:val="166"/>
        </w:trPr>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00" w:type="dxa"/>
            <w:vAlign w:val="bottom"/>
          </w:tcPr>
          <w:p>
            <w:pPr>
              <w:spacing w:after="0"/>
              <w:rPr>
                <w:sz w:val="14"/>
                <w:szCs w:val="14"/>
                <w:color w:val="auto"/>
              </w:rPr>
            </w:pPr>
          </w:p>
        </w:tc>
      </w:tr>
    </w:tbl>
    <w:p>
      <w:pPr>
        <w:spacing w:after="0" w:line="45" w:lineRule="exact"/>
        <w:rPr>
          <w:sz w:val="24"/>
          <w:szCs w:val="24"/>
          <w:color w:val="auto"/>
        </w:rPr>
      </w:pPr>
    </w:p>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(844) 803-8745</w:t>
      </w:r>
    </w:p>
    <w:p>
      <w:pPr>
        <w:spacing w:after="0" w:line="6" w:lineRule="exact"/>
        <w:rPr>
          <w:sz w:val="24"/>
          <w:szCs w:val="24"/>
          <w:color w:val="auto"/>
        </w:rPr>
      </w:pPr>
    </w:p>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4"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420" w:type="dxa"/>
            <w:vAlign w:val="bottom"/>
            <w:tcBorders>
              <w:top w:val="single" w:sz="8" w:color="auto"/>
              <w:left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3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50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08"/>
        </w:trPr>
        <w:tc>
          <w:tcPr>
            <w:tcW w:w="3420" w:type="dxa"/>
            <w:vAlign w:val="bottom"/>
            <w:tcBorders>
              <w:left w:val="single" w:sz="8" w:color="auto"/>
              <w:right w:val="single" w:sz="8" w:color="auto"/>
            </w:tcBorders>
          </w:tcPr>
          <w:p>
            <w:pPr>
              <w:ind w:left="400"/>
              <w:spacing w:after="0" w:line="109" w:lineRule="exact"/>
              <w:rPr>
                <w:sz w:val="20"/>
                <w:szCs w:val="20"/>
                <w:color w:val="auto"/>
              </w:rPr>
            </w:pPr>
            <w:r>
              <w:rPr>
                <w:rFonts w:ascii="Times New Roman" w:cs="Times New Roman" w:eastAsia="Times New Roman" w:hAnsi="Times New Roman"/>
                <w:sz w:val="12"/>
                <w:szCs w:val="12"/>
                <w:b w:val="1"/>
                <w:bCs w:val="1"/>
                <w:color w:val="auto"/>
              </w:rPr>
              <w:t>Common Stock, $0.001 par value</w:t>
            </w:r>
          </w:p>
        </w:tc>
        <w:tc>
          <w:tcPr>
            <w:tcW w:w="3320" w:type="dxa"/>
            <w:vAlign w:val="bottom"/>
            <w:tcBorders>
              <w:right w:val="single" w:sz="8" w:color="auto"/>
            </w:tcBorders>
          </w:tcPr>
          <w:p>
            <w:pPr>
              <w:ind w:left="1680"/>
              <w:spacing w:after="0" w:line="109" w:lineRule="exact"/>
              <w:rPr>
                <w:sz w:val="20"/>
                <w:szCs w:val="20"/>
                <w:color w:val="auto"/>
              </w:rPr>
            </w:pPr>
            <w:r>
              <w:rPr>
                <w:rFonts w:ascii="Times New Roman" w:cs="Times New Roman" w:eastAsia="Times New Roman" w:hAnsi="Times New Roman"/>
                <w:sz w:val="12"/>
                <w:szCs w:val="12"/>
                <w:b w:val="1"/>
                <w:bCs w:val="1"/>
                <w:color w:val="auto"/>
              </w:rPr>
              <w:t>INNV</w:t>
            </w:r>
          </w:p>
        </w:tc>
        <w:tc>
          <w:tcPr>
            <w:tcW w:w="3500" w:type="dxa"/>
            <w:vAlign w:val="bottom"/>
            <w:tcBorders>
              <w:right w:val="single" w:sz="8" w:color="auto"/>
            </w:tcBorders>
          </w:tcPr>
          <w:p>
            <w:pPr>
              <w:ind w:left="1080"/>
              <w:spacing w:after="0" w:line="109"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55"/>
        </w:trPr>
        <w:tc>
          <w:tcPr>
            <w:tcW w:w="3420" w:type="dxa"/>
            <w:vAlign w:val="bottom"/>
            <w:tcBorders>
              <w:left w:val="single" w:sz="8" w:color="auto"/>
              <w:bottom w:val="single" w:sz="8" w:color="auto"/>
              <w:right w:val="single" w:sz="8" w:color="auto"/>
            </w:tcBorders>
          </w:tcPr>
          <w:p>
            <w:pPr>
              <w:spacing w:after="0"/>
              <w:rPr>
                <w:sz w:val="13"/>
                <w:szCs w:val="13"/>
                <w:color w:val="auto"/>
              </w:rPr>
            </w:pPr>
          </w:p>
        </w:tc>
        <w:tc>
          <w:tcPr>
            <w:tcW w:w="332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3"/>
                <w:szCs w:val="13"/>
                <w:b w:val="1"/>
                <w:bCs w:val="1"/>
                <w:color w:val="auto"/>
              </w:rPr>
              <w:t>(Nasdaq Global Select Market)</w:t>
            </w:r>
          </w:p>
        </w:tc>
      </w:tr>
    </w:tbl>
    <w:p>
      <w:pPr>
        <w:spacing w:after="0" w:line="56"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Securities Act: </w:t>
      </w:r>
      <w:r>
        <w:rPr>
          <w:rFonts w:ascii="Times New Roman" w:cs="Times New Roman" w:eastAsia="Times New Roman" w:hAnsi="Times New Roman"/>
          <w:sz w:val="14"/>
          <w:szCs w:val="14"/>
          <w:b w:val="1"/>
          <w:bCs w:val="1"/>
          <w:color w:val="auto"/>
        </w:rPr>
        <w:t>None.</w:t>
      </w:r>
    </w:p>
    <w:p>
      <w:pPr>
        <w:spacing w:after="0" w:line="61" w:lineRule="exact"/>
        <w:rPr>
          <w:sz w:val="24"/>
          <w:szCs w:val="24"/>
          <w:color w:val="auto"/>
        </w:rPr>
      </w:pPr>
    </w:p>
    <w:p>
      <w:pPr>
        <w:ind w:left="330" w:right="21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0" w:right="40" w:firstLine="324"/>
        <w:spacing w:after="0" w:line="227"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70" w:hanging="170"/>
        <w:spacing w:after="0" w:line="161" w:lineRule="exact"/>
        <w:tabs>
          <w:tab w:leader="none" w:pos="17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6" w:lineRule="exact"/>
        <w:rPr>
          <w:sz w:val="24"/>
          <w:szCs w:val="24"/>
          <w:color w:val="auto"/>
        </w:rPr>
      </w:pPr>
    </w:p>
    <w:p>
      <w:pPr>
        <w:ind w:left="10" w:right="32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0" w:right="10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330" w:type="dxa"/>
        <w:tblCellMar>
          <w:top w:w="0" w:type="dxa"/>
          <w:left w:w="0" w:type="dxa"/>
          <w:bottom w:w="0" w:type="dxa"/>
          <w:right w:w="0" w:type="dxa"/>
        </w:tblCellMar>
      </w:tblPr>
      <w:tr>
        <w:trPr>
          <w:trHeight w:val="181"/>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2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2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Accelerated filer</w:t>
            </w:r>
          </w:p>
        </w:tc>
        <w:tc>
          <w:tcPr>
            <w:tcW w:w="110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spacing w:after="0"/>
              <w:rPr>
                <w:sz w:val="15"/>
                <w:szCs w:val="15"/>
                <w:color w:val="auto"/>
              </w:rPr>
            </w:pPr>
          </w:p>
        </w:tc>
        <w:tc>
          <w:tcPr>
            <w:tcW w:w="620" w:type="dxa"/>
            <w:vAlign w:val="bottom"/>
            <w:vMerge w:val="restart"/>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2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2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0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10" w:right="4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ind w:left="10" w:right="1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ind w:left="33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ind w:left="10" w:right="140" w:firstLine="324"/>
        <w:spacing w:after="0" w:line="261" w:lineRule="auto"/>
        <w:rPr>
          <w:sz w:val="20"/>
          <w:szCs w:val="20"/>
          <w:color w:val="auto"/>
        </w:rPr>
      </w:pPr>
      <w:r>
        <w:rPr>
          <w:rFonts w:ascii="Times New Roman" w:cs="Times New Roman" w:eastAsia="Times New Roman" w:hAnsi="Times New Roman"/>
          <w:sz w:val="14"/>
          <w:szCs w:val="14"/>
          <w:color w:val="auto"/>
        </w:rPr>
        <w:t>Based on the closing price of the registrant’s common stock as reported on the Nasdaq Global Select Market, the aggregate market value of the registrant’s common stock held by non-affiliates on December 31, 2021 (the last business day of the registrant’s most recently completed second fiscal quarter) was $94.9 million.</w:t>
      </w:r>
    </w:p>
    <w:p>
      <w:pPr>
        <w:spacing w:after="0" w:line="28"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4"/>
          <w:szCs w:val="14"/>
          <w:color w:val="auto"/>
        </w:rPr>
        <w:t>As of September 12, 2022, there were 135,565,699 shares of the registrant’s common stock outstanding.</w:t>
      </w:r>
    </w:p>
    <w:p>
      <w:pPr>
        <w:spacing w:after="0" w:line="67" w:lineRule="exact"/>
        <w:rPr>
          <w:sz w:val="24"/>
          <w:szCs w:val="24"/>
          <w:color w:val="auto"/>
        </w:rPr>
      </w:pPr>
    </w:p>
    <w:p>
      <w:pPr>
        <w:ind w:left="363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left="1370" w:right="80" w:hanging="982"/>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the upcoming Annual Meeting of Shareholders to be filed no later than 120 days after the end of the registrant’s fiscal year ended June 30, 2022, are incorporated by reference in Part III of this Annual Report on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452120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40640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280" w:type="dxa"/>
            <w:vAlign w:val="bottom"/>
            <w:gridSpan w:val="28"/>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18"/>
        </w:trPr>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4"/>
              </w:rPr>
              <w:t>Item 1A.</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I-20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5"/>
              </w:rPr>
              <w:t>Item 1B.</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I-55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I-55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I-56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I-57</w:t>
            </w:r>
          </w:p>
        </w:tc>
      </w:tr>
      <w:tr>
        <w:trPr>
          <w:trHeight w:val="20"/>
        </w:trPr>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39"/>
        </w:trPr>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II-58</w:t>
            </w:r>
          </w:p>
        </w:tc>
      </w:tr>
      <w:tr>
        <w:trPr>
          <w:trHeight w:val="210"/>
        </w:trPr>
        <w:tc>
          <w:tcPr>
            <w:tcW w:w="2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II-58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6640" w:type="dxa"/>
            <w:vAlign w:val="bottom"/>
            <w:gridSpan w:val="18"/>
          </w:tcPr>
          <w:p>
            <w:pPr>
              <w:spacing w:after="0"/>
              <w:rPr>
                <w:sz w:val="17"/>
                <w:szCs w:val="17"/>
                <w:color w:val="auto"/>
              </w:rPr>
            </w:pPr>
          </w:p>
        </w:tc>
        <w:tc>
          <w:tcPr>
            <w:tcW w:w="6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II-58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7.</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II-59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4"/>
              </w:rPr>
              <w:t>Item 7A.</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II-76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8.</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II-77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9.</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II-110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4"/>
              </w:rPr>
              <w:t>Item 9A.</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II-110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5"/>
              </w:rPr>
              <w:t>Item 9B.</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II-111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5"/>
              </w:rPr>
              <w:t>Item 9C.</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II-111</w:t>
            </w:r>
          </w:p>
        </w:tc>
      </w:tr>
      <w:tr>
        <w:trPr>
          <w:trHeight w:val="20"/>
        </w:trPr>
        <w:tc>
          <w:tcPr>
            <w:tcW w:w="14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39"/>
        </w:trPr>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0000EE"/>
                <w:w w:val="88"/>
              </w:rPr>
              <w:t>PART III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III-111</w:t>
            </w:r>
          </w:p>
        </w:tc>
      </w:tr>
      <w:tr>
        <w:trPr>
          <w:trHeight w:val="209"/>
        </w:trPr>
        <w:tc>
          <w:tcPr>
            <w:tcW w:w="2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III-111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9"/>
              </w:rPr>
              <w:t>Item 11.</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III-111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9"/>
              </w:rPr>
              <w:t>Item 12.</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III-111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9"/>
              </w:rPr>
              <w:t>Item 13.</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III-111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9"/>
              </w:rPr>
              <w:t>Item 14.</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III-111</w:t>
            </w:r>
          </w:p>
        </w:tc>
      </w:tr>
      <w:tr>
        <w:trPr>
          <w:trHeight w:val="20"/>
        </w:trPr>
        <w:tc>
          <w:tcPr>
            <w:tcW w:w="14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39"/>
        </w:trPr>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0000EE"/>
                <w:w w:val="89"/>
              </w:rPr>
              <w:t>PART IV</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IV-112</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IV-112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9"/>
              </w:rPr>
              <w:t>Item 16.</w:t>
            </w: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IV-114</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82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spacing w:after="0"/>
              <w:rPr>
                <w:sz w:val="18"/>
                <w:szCs w:val="18"/>
                <w:color w:val="auto"/>
              </w:rPr>
            </w:pPr>
          </w:p>
        </w:tc>
      </w:tr>
      <w:tr>
        <w:trPr>
          <w:trHeight w:val="89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740" w:type="dxa"/>
            <w:vAlign w:val="bottom"/>
            <w:tcBorders>
              <w:top w:val="single" w:sz="8" w:color="0000EE"/>
            </w:tcBorders>
            <w:gridSpan w:val="4"/>
          </w:tcPr>
          <w:p>
            <w:pPr>
              <w:spacing w:after="0"/>
              <w:rPr>
                <w:sz w:val="24"/>
                <w:szCs w:val="24"/>
                <w:color w:val="auto"/>
              </w:rPr>
            </w:pPr>
          </w:p>
        </w:tc>
        <w:tc>
          <w:tcPr>
            <w:tcW w:w="3340" w:type="dxa"/>
            <w:vAlign w:val="bottom"/>
            <w:gridSpan w:val="10"/>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About Forward-Looking Statements</w:t>
      </w:r>
    </w:p>
    <w:p>
      <w:pPr>
        <w:spacing w:after="0" w:line="20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Throughout this Annual Report on Form 10-K for the year ended June 30, 2022 (this “Annual Report”), we make “forward-looking statements” within the meaning of the U.S. Private Securities Litigation Reform Act of 1995, Section 27A of the Securities Act of 1933, as amended (the “Securities Act”) and Section 21E of the Securities Exchange Act of 1934, as amended (the “Exchange Act”). This Annual Report contains forward-looking statements that are subject to risks and uncertainties. All statements other than statements of historical fact included in this Annual Report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55" w:lineRule="exact"/>
        <w:rPr>
          <w:sz w:val="20"/>
          <w:szCs w:val="20"/>
          <w:color w:val="auto"/>
        </w:rPr>
      </w:pPr>
    </w:p>
    <w:p>
      <w:pPr>
        <w:jc w:val="both"/>
        <w:ind w:left="720" w:right="79" w:hanging="319"/>
        <w:spacing w:after="0" w:line="25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periodic inspections, reviews, audits and investigations under the federal and state government programs, including the sanctions currently in place on our centers in Colorado and in our Sacramento center in California and our ability to sufficiently cure any deficiencies identified by the respective federal and state government programs including with respect to the audits of our Albuquerque, New Mexico center and San Bernardino, California center;</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of providing services will exceed our compensation under the Program of All Inclusive Care for the Elderly (“PACE”);</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revenues and operations upon a limited number of government payors;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rules governing the Medicare, Medicaid or PACE programs or applicable licensure requirements;</w:t>
      </w:r>
    </w:p>
    <w:p>
      <w:pPr>
        <w:spacing w:after="0" w:line="216"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submissions to government payors may contain inaccurate or unsupportable information, including regarding risk adjustment scores of participants;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business strategy and our ability to realize expected results;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renegotiation, non-renewal or termination of capitation agreements with government payors;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healthcare spending;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an economic downturn</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pandemic, epidemic or outbreak of an infectious disease, including the ongoing effects of COVID-19;</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sustained inflation on our business;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by our suppliers, sustained material price increases on supplies or limitations on our ability to access new technology or medical products;</w:t>
      </w: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relatively limited operating history as a for-profit company on investors’ ability to evaluate our current business and future prospects;</w:t>
      </w:r>
    </w:p>
    <w:p>
      <w:pPr>
        <w:jc w:val="both"/>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or attract new participants and grow our revenue, especially as a result of the sanctions currently in place on our centers in Colorado and in our Sacramento center in California and actions from other states;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presence in Colorado;</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operations effectively, execute our business plan, maintain effective levels of service and participant satisfaction and adequately address competitive challenges;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presence in new geographic markets, especially as a result of the actions taken by certain states and us in light of our ongoing audit processes;</w:t>
      </w:r>
    </w:p>
    <w:p>
      <w:pPr>
        <w:ind w:left="720" w:right="79" w:hanging="319"/>
        <w:spacing w:after="0" w:line="250" w:lineRule="auto"/>
        <w:tabs>
          <w:tab w:leader="none" w:pos="7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for physicians and other clinical personnel and related increases in our labor costs;</w:t>
      </w:r>
    </w:p>
    <w:p>
      <w:pPr>
        <w:spacing w:after="0" w:line="216"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security breaches, loss of data or other disruptions causing the compromise of sensitive information or preventing us from accessing critical information;</w:t>
      </w: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invest in, implement improvements to and properly maintain the uninterrupted operation and data integrity of our information technology and other business systems;</w:t>
      </w: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 or the risk scores of our participants;</w:t>
      </w:r>
    </w:p>
    <w:p>
      <w:pPr>
        <w:spacing w:after="0" w:line="21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use of “open-source” software;</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termination of our leases, increases in rent or inability to renew or extend leases;</w:t>
      </w: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publicity regarding the managed healthcare industry;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and other factors beyond our control;</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CCPA and other privacy laws and regulations in the healthcare industry;</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 and other enhanced requirements of being a public company;</w:t>
      </w: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reputation and brand recognition;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disruptions in our disaster recovery systems or business continuity planning;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 guidance, resulting in unfavorable accounting charges or effects;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and elsewhere in this Annual Report.</w:t>
      </w:r>
    </w:p>
    <w:p>
      <w:pPr>
        <w:spacing w:after="0" w:line="20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and “Management’s Discussion and Analysis of Financial Condition and Results of Operations” in this Annual Report. You should evaluate all forward-looking statements made in this Annual Report in the context of these risks and uncertainties.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InnovAge is the leading healthcare delivery platform by number of participants focused on providing all-inclusive, capitated care to high-cost, dual-eligible seniors. Our programs are designed to address two of the most pressing challenges facing the U.S. healthcare industry: rising costs and poor outcomes. Our participant-centered care delivery approach is designed to improve the quality of care our participants receive, while keeping them in their homes for as long as safely possible and reducing over-utilization of high-cost care settings such as hospitals and nursing homes. Our participant-centered approach is led by our Interdisciplinary Care Teams (“IDTs”), who design, manage and coordinate each participant’s personalized care plan. We directly manage and are responsible for all healthcare needs and associated costs, including housing costs where applicable, for our participants.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InnovAge Holding Corp. (formerly, TCO Group Holdings, Inc.)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and Total Community Options Foundation, Inc. and Johnson Adult Day Program, Inc., both not-for-profit organizations, separated from Total Community Options, Inc. In connection with our initial public offering (“IPO”), which occurred in March 2021, we changed the name of our company from TCO Group Holdings, Inc. to InnovAge Holding Corp. (“InnovAge”). In the following text, the terms “we”, “our”, “our company” and “us” may refer, as the context requires, to InnovAge or collectively to InnovAge and its subsidiaries.</w:t>
      </w:r>
    </w:p>
    <w:p>
      <w:pPr>
        <w:spacing w:after="0" w:line="14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InnovAge is headquartered in Denver, Colorado. Our mission is to allow seniors in need of care and support to live life on their terms by aging in place, in their own homes and communities, for as long as safely possible. Through PACE, we manage, and in many cases directly provide,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the PACE center and third-party medical appointments; and care management. The Company manages its business as one reportable segment, PACE.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PACE</w:t>
      </w:r>
    </w:p>
    <w:p>
      <w:pPr>
        <w:spacing w:after="0" w:line="20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the Company served approximately 6,650 PACE participants, making it the largest PACE provider in the United States of America (the “U.S.”) based on participants served, and operated 18 PACE centers across Colorado, California, New Mexico, Pennsylvania and Virginia.</w:t>
      </w:r>
    </w:p>
    <w:p>
      <w:pPr>
        <w:spacing w:after="0" w:line="13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 We deliver our participant-centered care through the InnovAge Platform, which is designed to bring high-touch, comprehensive, value-based care.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incentivize us to coordinate and manage all aspects of a participant’s health. Costs under the PACE program are estimated to be 13% lower on average than for a comparable dual-eligible population aged 65 and older under Medicaid, based on an analysis of available data by the National PACE Association in November 2020. Importantly, we believe we can deliver better health outcomes. Our care model reduces unnecessary or avoidable medical spend. Based on an analysis performed using the data most recently available to us from 2018, we estimate that across our mature markets, our participants on average have 16% fewer hospital admissions and 73% fewer low- to medium-severity emergency room visits relative to a comparable Medicare fee-for-service population with similar risk scores for which data is available. In addition, as of June 30, 2022, our participants had a 23% lower 30-day hospital readmission rate compared to a frail, dual-eligible or disabled waiver population. In addition to reducing spend, we also focus on ensuring our participants are satisfied and receive the necessary care. Our participant satisfaction, based on our most recent survey of participants administered by an independent third party as of January 1, 2022, is 81%.</w:t>
      </w:r>
    </w:p>
    <w:p>
      <w:pPr>
        <w:spacing w:after="0" w:line="17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Challenges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Unsustainable and rising healthcare costs. </w:t>
      </w:r>
      <w:r>
        <w:rPr>
          <w:rFonts w:ascii="Times New Roman" w:cs="Times New Roman" w:eastAsia="Times New Roman" w:hAnsi="Times New Roman"/>
          <w:sz w:val="18"/>
          <w:szCs w:val="18"/>
          <w:color w:val="auto"/>
        </w:rPr>
        <w:t>According to data from the Office of the Actuary of CMS,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in the United States grew at approximately 5% per year from 2015 to 2020, and in 2020 represented $4.1 trillion of annual spend, or 19.7% of U.S. GDP. The overall growth rate of healthcare spending is expected to accelerate due to the aging population.</w:t>
      </w:r>
    </w:p>
    <w:p>
      <w:pPr>
        <w:spacing w:after="0" w:line="15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Government healthcare spend is disproportionally concentrated in the dual-eligible population, who typically suffer from multiple chronic conditions and require long-term services and supports. Medicare and Medicaid spend on average three times more per capita on a dual-eligible senior than a Medicare-only senior. Improved care management of dual-eligible seniors is critical to reducing the rapid growth in government healthcare spending in the United States.</w:t>
      </w:r>
    </w:p>
    <w:p>
      <w:pPr>
        <w:spacing w:after="0" w:line="13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Highly fragmented, uncoordinated healthcare system. </w:t>
      </w:r>
      <w:r>
        <w:rPr>
          <w:rFonts w:ascii="Times New Roman" w:cs="Times New Roman" w:eastAsia="Times New Roman" w:hAnsi="Times New Roman"/>
          <w:sz w:val="18"/>
          <w:szCs w:val="18"/>
          <w:color w:val="auto"/>
        </w:rPr>
        <w:t>The U.S. healthcare system is complex and highly fragmented,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piecemeal care delivery across different providers who each lack a complete picture of the patient. Furthermore, this dynamic often makes the healthcare system difficult for patients to navigate. Primary, acute, behavioral and long-term care providers need to work together to effectively manage a patient’s care, yet, today, they often work in silos. This lack of care coordination can result in missed or inaccurate diagnoses, gaps in care, unnecessary spend and ultimately sub-optimal patient outcomes.</w:t>
      </w:r>
    </w:p>
    <w:p>
      <w:pPr>
        <w:spacing w:after="0" w:line="14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High-cost, dual-eligible seniors are at high risk of falling through the cracks of the U.S. healthcare system. Few government-sponsored programs other than PACE bring together the Medicare and Medicaid benefit for these individuals, creating further barriers to delivering coordinated care. Dual-eligible beneficiaries are among the most medically complex, high-frequency users of healthcare services. Based on InnovAge data as of June 30, 2022, the typical InnovAge participant had, on average, eight chronic conditions and, based on the data most recently available to us from a 2018 health outcomes survey, required, on average, assistance with two or more activities of daily living (“ADLs”). A lack of coordination across providers can have severe consequences given the high occurrence of chronic illnesses and other underlying health issues in this population.</w:t>
      </w:r>
    </w:p>
    <w:p>
      <w:pPr>
        <w:spacing w:after="0" w:line="16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Prevalence of wasteful spending and sub-optimal outcomes. </w:t>
      </w:r>
      <w:r>
        <w:rPr>
          <w:rFonts w:ascii="Times New Roman" w:cs="Times New Roman" w:eastAsia="Times New Roman" w:hAnsi="Times New Roman"/>
          <w:sz w:val="18"/>
          <w:szCs w:val="18"/>
          <w:color w:val="auto"/>
        </w:rPr>
        <w:t>A 2019 study, published in the Journal of the American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Association, estimated that approximately 25% of all annual healthcare spending is for unnecessary services, excessive administrative costs, fraud and other inefficiencies creating waste.</w:t>
      </w:r>
    </w:p>
    <w:p>
      <w:pPr>
        <w:spacing w:after="0" w:line="13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Proper management of chronic conditions and targeted interventions to mitigate challenges presented by social determinants of health can significantly reduce the incidence of acute episodes, which are the main driver of emergency room visits and hospitalization among the dual-eligible senior population. Healthcare spending on nursing care facilities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and continuing care retirement communities was expected to reach approximately $188.1 billion in 2022, based on the latest projections made by the Office of the Actuary of CMS, which is a 6.4% decrease compared to the 2022 projection from the prior year. Similar to spend on hospitals and other high-acuity care settings, we believe many of these dollars can ultimately be saved by providing proactive treatment and investing in proper medical and social supports to enable frail seniors to live in their homes and communities.</w:t>
      </w:r>
    </w:p>
    <w:p>
      <w:pPr>
        <w:spacing w:after="0" w:line="15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Despite high levels of spending, the U.S. healthcare system struggles to produce better health outcomes and delivers low levels of patient and provider satisfaction.</w:t>
      </w:r>
    </w:p>
    <w:p>
      <w:pPr>
        <w:spacing w:after="0" w:line="11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Payment structures are evolving to address healthcare issues. </w:t>
      </w:r>
      <w:r>
        <w:rPr>
          <w:rFonts w:ascii="Times New Roman" w:cs="Times New Roman" w:eastAsia="Times New Roman" w:hAnsi="Times New Roman"/>
          <w:sz w:val="18"/>
          <w:szCs w:val="18"/>
          <w:color w:val="auto"/>
        </w:rPr>
        <w:t>Policymakers and healthcare experts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acknowledge that the fee-for-service model is not designed to deliver on the “triple aim” of providing low-cost, high-quality care while improving the patient experience. Historically, healthcare delivery was oriented around reactive care for acute events, which resulted in the development of a fee-for-service payment model. By linking payments to the volume of encounters and pricing for higher complexity interventions, the fee-for-service model does not incentivize providers to practice preventative medicine or manage patients in lower cost settings. Rather, many policymakers and healthcare experts believe it unintentionally creates the opposite result—acute, episodic care delivered in high-cost settings that unnecessarily drive up the total cost of healthcare.</w:t>
      </w:r>
    </w:p>
    <w:p>
      <w:pPr>
        <w:spacing w:after="0" w:line="14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High-cost, dual-eligible seniors often require proactive, coordinated care plans to address their medical acuity, need for long term support and risks related to social determinants of health. Without personalized, patient-centered care that removes barriers to preventative or other early treatment, high-cost, dual-eligible seniors would continue to likely over-utilize healthcare in higher-cost settings, such as emergency rooms and nursing homes.</w:t>
      </w:r>
    </w:p>
    <w:p>
      <w:pPr>
        <w:spacing w:after="0" w:line="15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Government payors have responded by incentivizing a transition to value-based reimbursement models for dual-eligible seniors. A recent example of this has been the growth of the PACE program.</w:t>
      </w:r>
    </w:p>
    <w:p>
      <w:pPr>
        <w:spacing w:after="0" w:line="12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PACE is a government-sponsored, provider-led managed care program focused on enabling frail, dual-eligible seniors who qualify to live in a nursing home to age independently in their homes. PACE providers receive a monthly risk-adjusted payment for each participant (PMPM) directly from Medicare and Medicaid to oversee the totality of medical care an enrolled participant needs. Fully capitated models, such as PACE, incentivize organizations to better manage chronic conditions to avoid high-cost acute episodes and to invest in services that fall outside the scope of a fee-for-service model. These services, such as care coordination and ancillary support to remove barriers created by social determinants of health, can have a significant impact on a participant’s overall health.</w:t>
      </w:r>
    </w:p>
    <w:p>
      <w:pPr>
        <w:spacing w:after="0" w:line="14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InnovAge participants are, on average, more complex and medically fragile than other Medicare-eligible patients, including those in average Medicare Advantage (“MA”) programs. As a result, we receive larger payments for our participants compared to MA participants. This is driven by two factors: (i) we provide care for a higher acuity population, with an average Medicare Risk Adjustment Factor (“RAF”) score of 2.40 based on InnovAge data as of June 30, 2022, compared to an average RAF score of 1.08 for Medicare fee-for-service non-dual enrollees, as calculated in an analysis by Avalere Health in June 2020 of a cohort of individuals enrolled in Medicare Fee-for-Service in 2019, and (ii) we have Medicaid spend in addition to Medicare. Our comprehensive care model and globally capitated payments are designed to cover participants from enrollment until the end of life, including coverage for participants requiring hospice and palliative care.</w:t>
      </w:r>
    </w:p>
    <w:p>
      <w:pPr>
        <w:spacing w:after="0" w:line="161" w:lineRule="exact"/>
        <w:rPr>
          <w:sz w:val="20"/>
          <w:szCs w:val="20"/>
          <w:color w:val="auto"/>
        </w:rPr>
      </w:pPr>
    </w:p>
    <w:p>
      <w:pPr>
        <w:jc w:val="both"/>
        <w:ind w:left="60" w:right="79" w:firstLine="324"/>
        <w:spacing w:after="0" w:line="274" w:lineRule="auto"/>
        <w:rPr>
          <w:sz w:val="20"/>
          <w:szCs w:val="20"/>
          <w:color w:val="auto"/>
        </w:rPr>
      </w:pPr>
      <w:r>
        <w:rPr>
          <w:rFonts w:ascii="Times New Roman" w:cs="Times New Roman" w:eastAsia="Times New Roman" w:hAnsi="Times New Roman"/>
          <w:sz w:val="17"/>
          <w:szCs w:val="17"/>
          <w:color w:val="auto"/>
        </w:rPr>
        <w:t>The successful clinical approaches of PACE helped inform certain aspects of the Center for Medicare and Medicaid Innovation’s Global and Professional Direct Contracting (“GPDC”) Model which began in 2021. The GPDC Model is an alternative Accountable Care Organization (“ACO”) model that aims to create value-based payment arrangements directly with provider groups for their current Medicare fee-for-service patients. By transitioning from fee-for-service arrangements to value-based payments, CMS expects healthcare providers will be financially incentivized to simultaneously improve quality while lowering the cost of care and focusing on patient experience, as is done in PACE today.</w:t>
      </w:r>
    </w:p>
    <w:p>
      <w:pPr>
        <w:spacing w:after="0" w:line="13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Legacy healthcare delivery infrastructure has been slow to transition from fee-for-service to value-based care models. </w:t>
      </w:r>
      <w:r>
        <w:rPr>
          <w:rFonts w:ascii="Times New Roman" w:cs="Times New Roman" w:eastAsia="Times New Roman" w:hAnsi="Times New Roman"/>
          <w:sz w:val="18"/>
          <w:szCs w:val="18"/>
          <w:color w:val="auto"/>
        </w:rPr>
        <w:t>In order for the shift to value-based payment models to drive meaningful results, we believe there must be a corresponding shift in care delivery models. While there has been significant investment by providers, payors and technology companies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developing solutions to enable higher-quality and lower-cost care, the healthcare industry is still heavily reliant on fee-for-service reimbursement models.</w:t>
      </w:r>
    </w:p>
    <w:p>
      <w:pPr>
        <w:spacing w:after="0" w:line="13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COVID-19 pandemic amplified several flaws in the current legacy healthcare delivery system. Traditional healthcare providers faced dwindling fee-for-service visits during the stay-at-home orders, government restrictions and general patient fear of medical settings. This not only reduced revenues for traditional providers, but also strained their ability to provide necessary care for their patients. Patients in long-term care facilities, such as nursing homes, also saw and continue to see a disproportionately high infection rate as a result of the pandemic. The highly contagious nature of the virus that causes COVID-19 combined with the higher mortality rate in frail seniors created devastating conditions that led to many avoidable deaths.</w:t>
      </w:r>
    </w:p>
    <w:p>
      <w:pPr>
        <w:spacing w:after="0" w:line="14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Providers that operate comprehensive value-based models, like us, were better positioned to quickly pivot their care delivery approach to safely treat patients in virtual and home-based settings without losing any revenue. PACE participants had one-third the COVID-19 cases and deaths compared to the rates of nursing home residents as of June 30, 2021, according to an analysis performed by The New York Times. We believe the COVID-19 pandemic has further highlighted the need for integrated, multimodal value-based care delivery models.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one of the largest healthcare platforms focused on frail, dual-eligible seniors, and we serve participants primarily through PACE. We have built the largest PACE-focused operation in the country based on number of participants; we are almost twice the size of our closest PACE-focused competitor, more than 30 times larger than the typical PACE operator and the only for-profit PACE operator with a footprint in three or more states. Given our scale across geographies, we believe we are positioned to capitalize on a significant market opportunity to provide care to frail, high-cost, dual-eligible seniors once restrictions on our ability to enroll participants as a result of the audits of our centers in Sacramento, California and Colorado and on our ability to open de novo centers as a result of actions taken by other states or us, are lifted or resolved.</w:t>
      </w:r>
    </w:p>
    <w:p>
      <w:pPr>
        <w:spacing w:after="0" w:line="1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care model targets the most complex, frail subset of the dual-eligible senior population. We estimated our target population at approximately 2.1 million in 2021 based on data from the U.S. Census Bureau from 2018, representing seniors who we believe are dually eligible for Medicare and Medicaid and meet the nursing home eligibility criteria for PACE. We have historically and, once restrictions on our ability to enroll participants as a result of the audits on our centers in Sacramento, California and Colorado and on our ability to open de novo centers as a result of actions taken by other states or us, are lifted or resolved, expect to prioritize growth in high-density urban and suburban areas, where there are sizable numbers of frail dual-eligible seniors who would benefit most from our program. We leverage the InnovAge Platform which is designed to provide comprehensive, coordinated healthcare to enable our frail, nursing home-eligible seniors to live independently in their homes and communities. We believe people want to stay in their home for as long as possible, and the InnovAge Platform is designed to empower seniors to age independently in their own homes, on their own terms, for as long as possible.</w:t>
      </w:r>
    </w:p>
    <w:p>
      <w:pPr>
        <w:spacing w:after="0" w:line="1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Based on historical results for the year ended June 30, 2022 and our experience and industry knowledge, we estimate an average annual revenue opportunity of $98,000 per participant (or $8,200 PMPM) and a total addressable market opportunity of $220 billion, based on our estimated market of approximately 2.2 million PACE eligible in the United States in 2021, as described above. Of these estimated PACE eligible participants, only approximately 61,000 are enrolled in a PACE program, based on a July 2022 report from the National PACE Association, and over the next six years, the National PACE Association is targeting a PACE enrollment increase at a compound annual growth rate (“CAGR”) of approximately 20%. As a result, we believe that, subject to our ability to effectively remediate deficiencies identified during audits of our centers, we have a substantial opportunity for growth by bringing our comprehensive value-based model of care to more frail, dual-eligible seniors across the country.</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InnovAge Platform</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participant-centered approach is tailored to address the complex medical and social needs of our frail dual-eligible senior population. We leverage the InnovAge Platform to deliver comprehensive, coordinated healthcare to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participants. The InnovAge Platform consists of (1) our interdisciplinary care teams and (2) our community-based care delivery model. The key attributes of the InnovAge Platform include:</w:t>
      </w:r>
    </w:p>
    <w:p>
      <w:pPr>
        <w:spacing w:after="0" w:line="13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participant focus. </w:t>
      </w:r>
      <w:r>
        <w:rPr>
          <w:rFonts w:ascii="Times New Roman" w:cs="Times New Roman" w:eastAsia="Times New Roman" w:hAnsi="Times New Roman"/>
          <w:sz w:val="18"/>
          <w:szCs w:val="18"/>
          <w:color w:val="auto"/>
        </w:rPr>
        <w:t>Our model is focused on caring for frail, high-cost, dual-eligible seniors. Our target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is the frail, nursing home-eligible subset of dual-eligible seniors to whom we refer as “high-cost, dual-eligibles” given their high healthcare acuity and the associated high level of spend. Our participants are among the most frail and medically complex individuals in the U.S. healthcare system. Based on InnovAge data as of June 30, 2022, the typical InnovAge participant had, on average, eight chronic conditions and, based on the data most recently available to us from a 2018 health outcomes survey, required, on average, assistance with three or more ADLs. As a result, the average InnovAge participant has a Medicare RAF of 2.40 based on InnovAge data as of June 30, 2022, compared to an average RAF score of 1.08 for Medicare fee-for-service non-dual enrollees, as calculated in an analysis by Avalere Health in June 2020 of a cohort of individuals enrolled in Medicare Fee-for-Service in 2019. A higher RAF score indicates poorer health and higher predicted health care costs. Our platform is designed to enable participants to exercise their preference to age independently in their homes and stay active in their communities for as long as safely possible. All of our participants are certified as nursing home-eligible. As of June 30 2022, over 90% of our participants are able to live safely in their homes and communities.</w:t>
      </w:r>
    </w:p>
    <w:p>
      <w:pPr>
        <w:spacing w:after="0" w:line="14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interdisciplinary care teams. </w:t>
      </w:r>
      <w:r>
        <w:rPr>
          <w:rFonts w:ascii="Times New Roman" w:cs="Times New Roman" w:eastAsia="Times New Roman" w:hAnsi="Times New Roman"/>
          <w:sz w:val="18"/>
          <w:szCs w:val="18"/>
          <w:color w:val="auto"/>
        </w:rPr>
        <w:t>The IDT structure is core to our clinical model. Our IDTs oversee all aspects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unique care plan and function as the core group of care providers to our participants. Our IDT structure is designed to enhance access to care for our participants and eliminate information silos and gaps in care that frequently occur in a fee-for-service model. We are responsible for all of our participants’ medical care, and we direct care delivery across multiple settings. We deliver individualized care for each participant that addresses both his or her specific medical conditions and social determinants of health. We deliver or manage primary and specialist care, in-home care, hospital visits, nutrition, transportation to our care centers and to other medical appointments, pharmacy and behavioral health. We leverage a technology suite, which we believe is powered by industry-leading clinical and operational information technology solutions to collect and analyze data, streamline IDT workflows and empower our teams with timely participant insights that improve outcomes.</w:t>
      </w:r>
    </w:p>
    <w:p>
      <w:pPr>
        <w:spacing w:after="0" w:line="14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Each IDT convenes, at a minimum, experts across at least 11 disciplines to collectively manage the complex care needs of each participant. IDTs are typically comprised of a primary care provider, registered nurse, master’s level social worker, physical therapist, occupational therapist, recreational therapist or activity coordinator, dietician, center manager, home care coordinator, personal care attendant and driver. The IDTs meet multiple times per week to discuss each participant’s care plan and closely monitor key clinical metrics to ensure each participant receives optimal treatment based on his or her current conditions.</w:t>
      </w:r>
    </w:p>
    <w:p>
      <w:pPr>
        <w:spacing w:after="0" w:line="15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community-based care delivery model. </w:t>
      </w:r>
      <w:r>
        <w:rPr>
          <w:rFonts w:ascii="Times New Roman" w:cs="Times New Roman" w:eastAsia="Times New Roman" w:hAnsi="Times New Roman"/>
          <w:sz w:val="18"/>
          <w:szCs w:val="18"/>
          <w:color w:val="auto"/>
        </w:rPr>
        <w:t>Our high-touch model delivers care across a continuum of community-based settings. Our multimodal approach leverages (1) the care center, (2) the home and (3) virtual care capabilities to deliver comprehensive care to our participants. Our capitated payment model gives us the flexibility to invest in care coordination, transportation and other services to mitigate challenges presented by participants’ social determinants of health, regardless of what is traditionally covered by insurance. As a result, our capabilities are not limited to what we are able to offer inside of our centers.</w:t>
      </w:r>
    </w:p>
    <w:p>
      <w:pPr>
        <w:spacing w:after="0" w:line="14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community-based care centers. </w:t>
      </w:r>
      <w:r>
        <w:rPr>
          <w:rFonts w:ascii="Times New Roman" w:cs="Times New Roman" w:eastAsia="Times New Roman" w:hAnsi="Times New Roman"/>
          <w:sz w:val="18"/>
          <w:szCs w:val="18"/>
          <w:color w:val="auto"/>
        </w:rPr>
        <w:t>Our purpose-built community-based care centers are designed for the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of our target population and serve as a medical and social hub for our participants. Our participants often spend the full day in these centers receiving medical treatment, meals and physical therapy and socializing with peers. Our care centers are larger than those of most other comparable care organizations and include dedicated spaces for medical care, physical therapy, behavioral health and dentistry, in addition to day-rooms and dining spaces for socialization among our participants. We incorporate population-specific design elements, such as grab bars and rounded hallways, to accommodate the frailty and the prevalence of dementia among our participant population. The size and design of our centers enable us to deliver a significant portion of our participants’ care in one location, simplifying the healthcare experience for participants and their families.</w:t>
      </w:r>
    </w:p>
    <w:p>
      <w:pPr>
        <w:spacing w:after="0" w:line="14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Our in-home care capabilities</w:t>
      </w:r>
      <w:r>
        <w:rPr>
          <w:rFonts w:ascii="Times New Roman" w:cs="Times New Roman" w:eastAsia="Times New Roman" w:hAnsi="Times New Roman"/>
          <w:sz w:val="18"/>
          <w:szCs w:val="18"/>
          <w:color w:val="auto"/>
        </w:rPr>
        <w:t>. Our in-home care capabilities are designed to enable our participants to live safely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homes and avoid nursing homes to the extent safely possible. We directly deliver or manage all skilled and unskilled care a participant may require to live independently at home. Additionally, we have dedicated strategic partnerships with</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“hospital-at-home” providers to deliver acute care in-home when appropriate. In addition, we manage transportation not only to our centers but also to all third-party medical appointments. Our capitated payment model gives us the flexibility to invest in home modifications, such as ramps, grab bars and shower chairs, to reduce falls and make the home safer for our seniors. We believe our presence in our participants’ homes gives us real-time insight into our participants’ health and enables us to positively influence many environmentally-driven social determinants of health.</w:t>
      </w:r>
    </w:p>
    <w:p>
      <w:pPr>
        <w:spacing w:after="0" w:line="15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Our virtual care capabilities</w:t>
      </w:r>
      <w:r>
        <w:rPr>
          <w:rFonts w:ascii="Times New Roman" w:cs="Times New Roman" w:eastAsia="Times New Roman" w:hAnsi="Times New Roman"/>
          <w:sz w:val="18"/>
          <w:szCs w:val="18"/>
          <w:color w:val="auto"/>
        </w:rPr>
        <w:t>. Our virtual care capabilities give us the flexibility to deliver medical care and social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virtually when appropriate. Our physicians are equipped with several telehealth platforms to provide virtual care and utilize the option best suited for each individual participant’s preferences and needs. Our aim is to make virtual care access simple and convenient for our participants. In situations where a participant is unable to use telehealth technology on their own, we dispatch a team member to their home to assist.</w:t>
      </w:r>
    </w:p>
    <w:p>
      <w:pPr>
        <w:spacing w:after="0" w:line="14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developed our telehealth capabilities during the COVID-19 pandemic. The pandemic highlighted the adaptability of the InnovAge Platform and our community-based care delivery model. Although participant attendance in the centers increased over the past fiscal year, our telehealth capabilities remain an important offering in our multimodal approach to deliver comprehensive care with 6% of our provider visits and 5% of IDT visits provided to our participants remotely during the year ended June 30, 2022.</w:t>
      </w:r>
    </w:p>
    <w:p>
      <w:pPr>
        <w:spacing w:after="0" w:line="141"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Addressing social determinants of health</w:t>
      </w:r>
      <w:r>
        <w:rPr>
          <w:rFonts w:ascii="Times New Roman" w:cs="Times New Roman" w:eastAsia="Times New Roman" w:hAnsi="Times New Roman"/>
          <w:sz w:val="18"/>
          <w:szCs w:val="18"/>
          <w:color w:val="auto"/>
        </w:rPr>
        <w:t>. Our care delivery model is designed to provide services that mitigate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challenges presented by participants’ social determinants of health, such as:</w:t>
      </w:r>
    </w:p>
    <w:p>
      <w:pPr>
        <w:spacing w:after="0" w:line="133"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stability</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environment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and social context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nutrition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literacy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Fitness</w:t>
      </w:r>
    </w:p>
    <w:p>
      <w:pPr>
        <w:spacing w:after="0" w:line="205"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technology suite. </w:t>
      </w:r>
      <w:r>
        <w:rPr>
          <w:rFonts w:ascii="Times New Roman" w:cs="Times New Roman" w:eastAsia="Times New Roman" w:hAnsi="Times New Roman"/>
          <w:sz w:val="18"/>
          <w:szCs w:val="18"/>
          <w:color w:val="auto"/>
        </w:rPr>
        <w:t>Our fully capitated care model is operationally complex; it requires coordination among dozens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different providers per participant, real-time integration of clinical data from disparate sources and predictive analytics to enable effective interventions. We license a suite of third-party clinical technologies that we use to create a comprehensive view of our participants’ health, empowering our IDTs to make optimal care decisions. We leverage what we believe to be industry-leading reporting and predictive analytics solutions to collect and analyze data, stratify our population and uncover actionable participant insights.</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 2022 Audit Processes and Remediation Efforts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May 2021, CMS, together with other state regulatory authorities, commenced audits in our Sacramento center in California and in all our centers in Colorado. Based on deficiencies detected in the audits related to participant provision of services, which can be categorized as care delivery and management, care coordination and documentation of care, CMS and regulatory authorities in the states of California and Colorado suspended new enrollments at our Sacramento center in California and all our centers in Colorado. The suspensions will remain in effect until CMS and the other regulatory authorities determine that we have remediated the deficiencies to their satisfaction. In November 2021 and March 2022, CMS began audits of our Albuquerque, New Mexico center and San Bernardino, California center, respectively. CMS issued preliminary results in both audits identifying certain deficiencies, but in both cases have verbally notified us that no enforcement actions will be taken. To address the deficiencies identified in the audit processes, we are required to implement immediate corrective actions. Our plans to do so (“iCARs”) have been accepted by CMS and we are currently working on the audit close out process for these two audits. There can be no assurance as to the timelines of such close outs.</w:t>
      </w:r>
    </w:p>
    <w:p>
      <w:pPr>
        <w:spacing w:after="0" w:line="163"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color w:val="auto"/>
        </w:rPr>
        <w:t>In addition, the States of Kentucky and Indiana have taken actions to suspend our ability to open de novo centers in those states, and we have committed to regulatory agencies in the State of Florida, that we will proactively pause remaining steps with respect to planned de novo centers in that state. For more information, see Item 1A. Risk Factors, “Risks Related to Our Business—We face inspections, reviews, audits and investigations under federal and state government programs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and contracts. These audits require corrective actions and have resulted in adverse findings that have negatively affected and continue to affect our business, including our results of operations, liquidity, financial condition and reputation.”</w:t>
      </w:r>
    </w:p>
    <w:p>
      <w:pPr>
        <w:spacing w:after="0" w:line="13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priority is to remediate the deficiencies raised in the audit processes and to return to growth as a company, both for the short- and long-term. We continue to work with the appropriate authorities to make the necessary changes within the Company to increase care coordination and care documentation among our centers. As part of this focus, we are working to fill critical personnel gaps at our centers. We recently hired a Chief People Officer to help provide assistance and oversight of current employee engagement and personnel hiring. Other key remediation initiatives include standardizing the process of our IDTs, strengthening our home care network and reliability, improving timeliness of scheduling and coordinating care with providers outside the centers, improving our telephonic channel response times, improving the efficiency and reliability of transportation for our participants, standardizing our wound care program across the enterprise and reducing documentation outside the electronic medical record. True to our mission, which seeks to provide quality care to our participants so that they can live in their homes and communities for as long as possible, we continue to work to enhance our practices and implement measures adopted in our centers under audit throughout all our centers, not only to satisfy federal and state government agencies’ concerns, but most importantly to enhance the quality of care we provide to our participants.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healthcare model is one where all constituencies involved, including participants, their families, providers and government payors, have the ability to “Win.”</w:t>
      </w:r>
    </w:p>
    <w:p>
      <w:pPr>
        <w:spacing w:after="0" w:line="13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participants “Win” by enjoying a better participant experience, improved health outcomes and remaining in their homes and communities for longer. We leverage our differentiated care delivery model to improve the health of our participants and help them avoid unnecessary hospitalizations and nursing home care. We enable our participants to remain in their homes and age independently. As a result, as of June 30 2022, over 90% of our participants lived in their preferred setting: their home or community. We believe our care model also delivers better clinical outcomes: our participants have fewer hospital admissions, fewer low- to medium-severity emergency room visits and lower 30-day hospital readmission rates. Our care model is not “one size fits all,” it is customized to the unique needs of each participant, which benefits participant health and increases participant satisfaction with our program.</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Families “Win” as we reduce their caregiving burden and provide “peace of mind”. </w:t>
      </w:r>
      <w:r>
        <w:rPr>
          <w:rFonts w:ascii="Times New Roman" w:cs="Times New Roman" w:eastAsia="Times New Roman" w:hAnsi="Times New Roman"/>
          <w:sz w:val="18"/>
          <w:szCs w:val="18"/>
          <w:color w:val="auto"/>
        </w:rPr>
        <w:t>We significantly reduce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caregiving burden on the families of our participants. Our model handles all transportation to and from medical appointments and center visits, helps participants with ADLs, and creates social outlets for participants to reduce isolation. Most importantly, we believe we offer “peace of mind” to our participants’ families who know their loved one’s complex needs are cared for. “Friends and family” of participants remain one of our largest referral sources for recruiting new participants.</w:t>
      </w:r>
    </w:p>
    <w:p>
      <w:pPr>
        <w:spacing w:after="0" w:line="14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Our providers “Win” as they are able to focus on improving the lives of their participants. </w:t>
      </w:r>
      <w:r>
        <w:rPr>
          <w:rFonts w:ascii="Times New Roman" w:cs="Times New Roman" w:eastAsia="Times New Roman" w:hAnsi="Times New Roman"/>
          <w:sz w:val="18"/>
          <w:szCs w:val="18"/>
          <w:color w:val="auto"/>
        </w:rPr>
        <w:t>We enable our providers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 on taking care of participants by providing them with meaningful clinical and administrative support. We remove the pressure of trying to optimize visit volume by rewarding quality, not quantity, of care. We estimate that our providers</w:t>
      </w:r>
    </w:p>
    <w:p>
      <w:pPr>
        <w:spacing w:after="0" w:line="1" w:lineRule="exact"/>
        <w:rPr>
          <w:sz w:val="20"/>
          <w:szCs w:val="20"/>
          <w:color w:val="auto"/>
        </w:rPr>
      </w:pPr>
    </w:p>
    <w:p>
      <w:pPr>
        <w:ind w:left="60" w:right="59" w:hanging="10"/>
        <w:spacing w:after="0" w:line="260" w:lineRule="auto"/>
        <w:tabs>
          <w:tab w:leader="none" w:pos="3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smaller number of participants to care for and spend more time with each participant than providers in similar care organizations, and (2) benefit from the support of a multidisciplinary team.</w:t>
      </w:r>
    </w:p>
    <w:p>
      <w:pPr>
        <w:spacing w:after="0" w:line="15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Government payors “Win” through fiscal certainty and lower costs. </w:t>
      </w:r>
      <w:r>
        <w:rPr>
          <w:rFonts w:ascii="Times New Roman" w:cs="Times New Roman" w:eastAsia="Times New Roman" w:hAnsi="Times New Roman"/>
          <w:sz w:val="18"/>
          <w:szCs w:val="18"/>
          <w:color w:val="auto"/>
        </w:rPr>
        <w:t>We believe we provide fiscal certainty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capitated payment arrangements and reduce the cost of both medical and long-term support and services for high-cost, dual-eligible seniors. Costs under the PACE program were estimated to be 13% lower on average than for a comparable dual-eligible population aged 65 and older under Medicaid, based on an analysis of available data by the National PACE Association in November 2020.</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Increase participant enrollment and capacity within existing centers</w:t>
      </w:r>
    </w:p>
    <w:p>
      <w:pPr>
        <w:spacing w:after="0" w:line="202" w:lineRule="exact"/>
        <w:rPr>
          <w:sz w:val="20"/>
          <w:szCs w:val="20"/>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June 30, 2022, our participant census was approximately 6,650 across our 18 centers in five states. Once restrictions on our ability to enroll participants as a result of the audits of our centers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Sacramento, California and Colorado and on our ability to open de novo centers as a result of actions taken by other states or us, are lifted or resolved, we expect to strengthen our efforts to grow our census.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Build de novo centers</w:t>
      </w:r>
    </w:p>
    <w:p>
      <w:pPr>
        <w:spacing w:after="0" w:line="202" w:lineRule="exact"/>
        <w:rPr>
          <w:sz w:val="20"/>
          <w:szCs w:val="20"/>
          <w:color w:val="auto"/>
        </w:rPr>
      </w:pPr>
    </w:p>
    <w:p>
      <w:pPr>
        <w:ind w:left="720" w:right="7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de novo centers generate compelling long-term unit economics and the potential for robust internal rates of return.</w:t>
      </w:r>
    </w:p>
    <w:p>
      <w:pPr>
        <w:jc w:val="both"/>
        <w:ind w:left="720" w:right="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operated our platform across different geographies and, once restrictions on our ability to enroll participants as a result of the audits of our centers in Sacramento, California and Colorado and on our ability to open de novo centers as a result of actions taken by other states or us, are lifted or resolved, we expect to prioritize a list of target markets that we believe are optimal environments to launch the InnovAge Platform.</w:t>
      </w:r>
    </w:p>
    <w:p>
      <w:pPr>
        <w:spacing w:after="0" w:line="1"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de novo developments is expected to include building centers to our experience-based specifications, with flexibility for future center expansion factored into the blueprints where possible.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Execute tuck-in acquisitions</w:t>
      </w:r>
    </w:p>
    <w:p>
      <w:pPr>
        <w:spacing w:after="0" w:line="189" w:lineRule="exact"/>
        <w:rPr>
          <w:sz w:val="20"/>
          <w:szCs w:val="20"/>
          <w:color w:val="auto"/>
        </w:rPr>
      </w:pPr>
    </w:p>
    <w:p>
      <w:pPr>
        <w:jc w:val="both"/>
        <w:ind w:left="720" w:right="7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fiscal year 2019 through fiscal year 2021, we have acquired and integrated three PACE organizations, expanding into one new state and four new markets through those acquisitions. By bringing acquired organizations under the InnovAge Platform, we hope to further realize revenue growth and improve operational efficiency and care delivery post-integration.</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restrictions on our ability to enroll participants as a result of the audits of our centers in Sacramento, California and Colorado and on our ability to open de novo centers as a result of actions taken by other states or us, are lifted or resolved, we believe there is a robust landscape of potential tuck-in acquisitions to supplement our organic growth and that our history of integrating business will help increase efficiencies during the integration process.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Reinvest in the InnovAge Platform to optimize performance</w:t>
      </w:r>
    </w:p>
    <w:p>
      <w:pPr>
        <w:spacing w:after="0" w:line="189" w:lineRule="exact"/>
        <w:rPr>
          <w:sz w:val="20"/>
          <w:szCs w:val="20"/>
          <w:color w:val="auto"/>
        </w:rPr>
      </w:pPr>
    </w:p>
    <w:p>
      <w:pPr>
        <w:jc w:val="both"/>
        <w:ind w:left="720" w:right="79" w:hanging="319"/>
        <w:spacing w:after="0" w:line="257"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ongoing investment in the InnovAge Platform drives greater efficiency across our business, creating a virtuous cycle that allows us to continue providing necessary care to our participants. Our platform is the largest among PACE providers based on participants served and one of the most geographically diverse.</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continually invest in technology improvements and seek to unlock new insights through enhanced data analytics capabilities that will advance our care model.</w:t>
      </w:r>
    </w:p>
    <w:p>
      <w:pPr>
        <w:jc w:val="both"/>
        <w:ind w:left="720" w:right="7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investments will ultimately result in better health outcomes and lower medical costs for participants. As we continue to reduce medical costs, we expect to generate incremental savings that can be reinvested to support continuous improvement of the InnovAge Platform.</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0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federal, state and local governmental laws and regulations. These laws and regulations require us to meet various standards relating to, among other things, arrangement and provision of covered health care services to our participants, operation and management of PACE centers, dispensing of pharmaceuticals, personnel qualifications, maintenance of proper records, and quality assurance programs. If any of our operations are found to violate applicable laws or regulations, we could suffer severe consequences that would have a material adverse effect on our business, results of operations, financial condition, cash flows, reputation and stock price, including:</w:t>
      </w:r>
    </w:p>
    <w:p>
      <w:pPr>
        <w:spacing w:after="0" w:line="200" w:lineRule="exact"/>
        <w:rPr>
          <w:sz w:val="20"/>
          <w:szCs w:val="20"/>
          <w:color w:val="auto"/>
        </w:rPr>
      </w:pPr>
    </w:p>
    <w:p>
      <w:pPr>
        <w:spacing w:after="0" w:line="203"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termination or exclusion of our participation in government payor programs;</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licenses required to operate healthcare facilities or administer prescription drugs in the states in which we operate;</w:t>
      </w:r>
    </w:p>
    <w:p>
      <w:pPr>
        <w:jc w:val="both"/>
        <w:ind w:left="720" w:right="79" w:hanging="319"/>
        <w:spacing w:after="0" w:line="255"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or civil liability, fines, damages or monetary penalties for violations of healthcare fraud and abuse laws, including the federal Anti-Kickback Statute, Civil Monetary Penalties Law, the False Claims Act (“FCA”) and/or state analogs to these federal enforcement authorities, or other regulatory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by governmental agencies and/or state law claims for monetary damages by patients or</w:t>
      </w:r>
    </w:p>
    <w:p>
      <w:pPr>
        <w:spacing w:after="0" w:line="27" w:lineRule="exact"/>
        <w:rPr>
          <w:sz w:val="20"/>
          <w:szCs w:val="20"/>
          <w:color w:val="auto"/>
        </w:rPr>
      </w:pPr>
    </w:p>
    <w:p>
      <w:pPr>
        <w:jc w:val="both"/>
        <w:ind w:left="720" w:right="79"/>
        <w:spacing w:after="0" w:line="250" w:lineRule="auto"/>
        <w:rPr>
          <w:sz w:val="20"/>
          <w:szCs w:val="20"/>
          <w:color w:val="auto"/>
        </w:rPr>
      </w:pPr>
      <w:r>
        <w:rPr>
          <w:rFonts w:ascii="Times New Roman" w:cs="Times New Roman" w:eastAsia="Times New Roman" w:hAnsi="Times New Roman"/>
          <w:sz w:val="18"/>
          <w:szCs w:val="18"/>
          <w:color w:val="auto"/>
        </w:rPr>
        <w:t>employees who believe their protected health information (“PHI”) and other types of personal data or personally identifiable information (collectively, “PII” and, together with PHI, “PHI/PII”) has been impermissibly used or disclosed or not properly safeguarded, or their rights with respect to PHI/PII have been protected, in violation of federal or state health privacy laws, including, for example and without limitation, the Health Insurance Portability and Accountability Act of 1996, as amended by HIPAA, the California Consumer Privacy Act (“CCPA”), other state comprehensive privacy laws, and the Privacy Act of 1974;</w:t>
      </w:r>
    </w:p>
    <w:p>
      <w:pPr>
        <w:spacing w:after="0" w:line="2" w:lineRule="exact"/>
        <w:rPr>
          <w:sz w:val="20"/>
          <w:szCs w:val="20"/>
          <w:color w:val="auto"/>
        </w:rPr>
      </w:pPr>
    </w:p>
    <w:p>
      <w:pPr>
        <w:ind w:left="720" w:right="79" w:hanging="319"/>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changes to our practices or procedures that significantly increase operating expenses or decrease our revenue;</w:t>
      </w:r>
    </w:p>
    <w:p>
      <w:pPr>
        <w:jc w:val="both"/>
        <w:ind w:left="720" w:right="79" w:hanging="319"/>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and compliance with corporate integrity agreements that could subject us to ongoing audits and reporting requirements as well as increased scrutiny of our business practices which could lead to potential fines, among other things;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various relationships and/or contracts related to our business, including joint venture arrangements, contracts with government payors and real estate leases or contracts with specialty medical providers;</w:t>
      </w:r>
    </w:p>
    <w:p>
      <w:pPr>
        <w:ind w:left="720" w:right="79" w:hanging="319"/>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reinterpretation of rules and laws by a regulatory agency or court, such as state corporate practice of medicine laws, that could affect the structure and management of our business;</w:t>
      </w:r>
    </w:p>
    <w:p>
      <w:pPr>
        <w:ind w:left="720" w:right="79" w:hanging="319"/>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adjustments to government payment models including, but not limited to, Medicare Parts C and D and Medicaid; and</w:t>
      </w:r>
    </w:p>
    <w:p>
      <w:pPr>
        <w:jc w:val="both"/>
        <w:ind w:left="720" w:right="79" w:hanging="319"/>
        <w:spacing w:after="0" w:line="255"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which could negatively impact our business relationships, the terms of government payor contracts, our ability to attract and retain participants and physicians, our ability to obtain financing and our access to new business opportunities, among other things.</w:t>
      </w:r>
    </w:p>
    <w:p>
      <w:pPr>
        <w:spacing w:after="0" w:line="18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expect that our industry will continue to be subject to substantial regulation, the scope and effect of which are difficult to predict. Our activities could be subject to investigations, audits and inquiries by various government and regulatory agencies with whom we contract at any time in the future. See Item 1A. Risk Factors, “​Risks Related to Regulation.”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Regulation of PACE Providers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subject to a complex array of federal and state laws, regulations, and guidance, including legal requirements directly applicable to PACE providers as well as Medicare and Medicaid laws and regulations. These laws and guidance relate to our organizational structure, governance, fiscal soundness, marketing activities, participant enrollment and disenrollment, charges to participants, provision of healthcare and other services to participants, care planning activities, service delivery settings and maintenance of centers, participant rights, employment and contractual arrangements with health care providers and other staff, quality assessment and performance improvement activities, participant grievances and appeals, medical records documentation, compliance program activities, and other aspects of our operations and financing. As a PACE provider that provides qualified prescription drug coverage, we are also subject to requirements applicable to Medicare Part D plan sponsors.</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a PACE provider, we and our centers are subject to audits by CMS and state agencies, which have in the past and may in the future result in the identification of deficiencies in connection with our compliance with regulatory requirements, participant quality of care, care plan development and implementation, grievance and appeal processes, clinicians acting outside of their scope of practice, and other issues. See Item 1A. Risk Factors, “​Risks Related to Regulation” for a description of current audits in the States of California, Colorado, and New Mexico and their results. We expect these audits to continue in the future. In addition to risks associated with audits of our current centers, we also face risks associated with new centers that we may acquire in the future, which may not have developed the same compliance and quality infrastructure that we currently have in place or are in the process of implementing. Issues identified through these audits have and may in the future result in corrective action plans, civil monetary penalties, enrollment suspensions, and other financial penalties and enforcement actions, in addition to loss of our contracts with CMS and state agencies.</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regulations and contractual requirements applicable to PACE providers are complex and subject to change, making it necessary for us to invest significant resources in complying with these requirements. Scrutiny through federal and state government audits, oversight and enforcement and the highly technical regulatory scheme mean that our compliance efforts in this area will continue to require significant resources. CMS and state regulatory authorities regularly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audit our performance to determine our compliance with CMS’s regulations and our contracts with CMS and to assess the quality of the services we provide to our participants. Whether identified through these audits or other avenues, our failure to comply with the federal and state laws applicable to our business have and may continue to result in significant or material retroactive adjustments to and/or withholding of capitation payments, fines, criminal liability, civil monetary penalties, requirements to make significant changes to our operations, CMS imposed sanctions (including suspension or exclusion from participation in government programs), loss of contracts, or cessation of our services.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Licensing Laws</w:t>
      </w:r>
    </w:p>
    <w:p>
      <w:pPr>
        <w:spacing w:after="0" w:line="20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our healthcare professionals, and our centers are subject to various state and local licensure and certification requirements in connection with our provision of health care and other services. Specifically, in some of the states in which we operate, we are required to maintain licensure or certification as an adult day health center, home health or home care provider, diagnostic and treatment center, pharmacy provider, clinical laboratory and/or other type of facility, and our employed physicians and other clinicians also must be licensed or certified, as applicable, in the states in which they are providing services. We, our healthcare professionals and our centers are also subject to a variety of other state laws and regulations, relating to, among other things, the quality of medical care, equipment, privacy of health information, physician relationships, personnel and operating policies and procedures. In addition to state requirements, we and/or our healthcare professionals are in some cases subject to federal licensing and certification requirements, such as certification or waiver under the Clinical Laboratory Improvement Amendments of 1988 for performing limited laboratory testing and Drug Enforcement Administration registration for writing prescriptions for controlled substances. In addition, certain of the states where we currently operate or may choose to operate in the future regulate the operations and financial condition of risk bearing providers. These regulations can include capital requirements, licensing or certification, governance controls and other similar matters. While the states in which we operate do not currently impose these regulations on entities solely bearing risk under the PACE program, these states or states that we expand into may in the future seek to license or otherwise regulate our operations and financial solvency.</w:t>
      </w:r>
    </w:p>
    <w:p>
      <w:pPr>
        <w:spacing w:after="0" w:line="19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Failure to comply with federal, state and local licensing and certification laws, regulations and standards could result in a variety of consequences, including cessation of our services, loss of our contracts, prior payments by payors being subject to recoupment, requirements to make significant changes to our operations, or civil or criminal penalties. We routinely take the steps we believe are necessary to retain or obtain all requisite licensure and operating authorities. While we endeavor to comply with federal, state and local licensing and certification laws and regulations and standards as we interpret them, the laws and regulations in these areas are complex, changing and often subject to varying interpretations. For example, in Pennsylvania, the statutes that pertain to the employment of health care practitioners by health care facilities do not explicitly include a PACE organization in the list of health care facilities by which a health care practitioner may be employed. Any failure to satisfy applicable laws and regulations could have a material adverse impact on our business, results of operations, financial condition, cash flows and reputation.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The laws and regulations relating to our operations vary from state to state, and some states in which we operate prohibit general business corporations, such as us, from practicing medicine, controlling physicians’ medical decisions or engaging in some practices such as splitting professional fees with physicians. In certain states, we currently contract with physicians to provide healthcare services that are required to be provided by licensed physicians. While we believe that we are in substantial compliance with state laws prohibiting the corporate practice of medicine, other parties may assert that we could be engaged in the corporate practice of medicine. Further, many such state laws are often vague or have otherwise only been infrequently interpreted by courts or regulatory agencies. Were allegations to be asserted successfully before the appropriate judicial or administrative forums, we could be subject to adverse judicial or administrative penalties, certain contracts could be determined to be unenforceable and we may be required to restructure our contractual arrangements.</w:t>
      </w:r>
    </w:p>
    <w:p>
      <w:pPr>
        <w:spacing w:after="0" w:line="10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consequences associated with violating corporate practice of medicine laws vary by state and may result in physicians being subject to disciplinary action, as well as forfeiture of revenues from government payors for services rendered. For lay entities, violations may also bring both civil and, in more extreme cases, criminal liability for engaging in medical practice without a license. Some of the relevant laws, regulations and agency interpretations in states with corporate practice of medicine restrictions have been subject to limited judicial and regulatory interpretation. In limited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cases, courts have required companies to divest or reorganize structures deemed to violate corporate practice restrictions. Moreover, state laws are subject to change. Any allegations or findings that we have violated these laws could have a material adverse impact on our reputation, business, results of operations and financial condition. In addition, agreements between the corporation and the physician could be considered void and unenforceable if in violation of such state laws.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See Item 1A. Risk Factors, “Risks Related to Our Business—Laws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Anti-Kickback Statute</w:t>
      </w:r>
    </w:p>
    <w:p>
      <w:pPr>
        <w:spacing w:after="0" w:line="20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w:t>
      </w:r>
    </w:p>
    <w:p>
      <w:pPr>
        <w:spacing w:after="0" w:line="18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Federal criminal penalties for the violation of the federal Anti-Kickback Statute include imprisonment, fines and exclusion of the provider from future participation in federal healthcare programs, including Medicare and Medicaid. Violations of the federal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violating the federal Anti-Kickback Statute are subject to mandatory exclusion from participation in Medicare, Medicaid and other federal healthcare programs for a minimum of five years in the case of criminal conviction. Civil penalties for violation of the Anti-Kickback Statute include up to $112,131 in monetary penalties per violation, repayments of up to three times the total payments between the parties to the arrangement and potential exclusion from participation in Medicare and Medicaid. Court decisions have held that the statute may be violated even if only one purpose of remuneration is to induce referrals. The Affordable Care Act (the “ACA”) amended the federal Anti-Kickback Statute to clarify the intent that is required to prove a violation. Under the statute as amended, the defendant does not need to have actual knowledge of the federal Anti-Kickback Statute or have the specific intent to violate it. In addition, the ACA amended the federal Anti-Kickback Statute to provide that any claims for items or services resulting from a violation of the federal Anti-Kickback Statute are considered false or fraudulent for purposes of the FCA.</w:t>
      </w:r>
    </w:p>
    <w:p>
      <w:pPr>
        <w:spacing w:after="0" w:line="19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includes statutory exceptions and regulatory safe harbors that protect certain arrangements. These exceptions and safe harbors are voluntary. Business transactions and arrangements that are structured to comply fully with an applicable safe harbor do not violate the federal Anti-Kickback Statute.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enter into several arrangements that could potentially implicate the Anti-Kickback Statute if the requisite intent were present, such as:</w:t>
      </w:r>
    </w:p>
    <w:p>
      <w:pPr>
        <w:spacing w:after="0" w:line="158" w:lineRule="exact"/>
        <w:rPr>
          <w:sz w:val="20"/>
          <w:szCs w:val="20"/>
          <w:color w:val="auto"/>
        </w:rPr>
      </w:pPr>
    </w:p>
    <w:p>
      <w:pPr>
        <w:jc w:val="both"/>
        <w:ind w:left="720" w:right="79" w:hanging="319"/>
        <w:spacing w:after="0" w:line="254"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Joint Ventures. </w:t>
      </w:r>
      <w:r>
        <w:rPr>
          <w:rFonts w:ascii="Times New Roman" w:cs="Times New Roman" w:eastAsia="Times New Roman" w:hAnsi="Times New Roman"/>
          <w:sz w:val="18"/>
          <w:szCs w:val="18"/>
          <w:color w:val="auto"/>
        </w:rPr>
        <w:t>To prove the concept of our ability to work with not-for-profits, we operate one of our centers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a joint venture with a not-for-profit healthcare provider. Although we do not expressly seek to enter into new joint ventures, it is possible that the government payor landscape in certain markets we may attempt to enter in the future may make entering into additional joint ventures attractive. Investment interests in the joint venture may not fully satisfy a safe harbor. The Office of Inspector General (the “OIG”) of HHS has warned health care entities in the past that certain joint venture relationships have a potential for abuse. We have endeavored to structure our joint venture to satisfy as many elements of the applicable safe harbor for investments in small entities as we believe are commercially reasonable. For example, we believe that these investments are offered and made by us on a fair market value basis and provide returns to the investors in proportion to their actual investment in the venture.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720" w:right="79" w:hanging="319"/>
        <w:spacing w:after="0" w:line="259"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Discounts. </w:t>
      </w:r>
      <w:r>
        <w:rPr>
          <w:rFonts w:ascii="Times New Roman" w:cs="Times New Roman" w:eastAsia="Times New Roman" w:hAnsi="Times New Roman"/>
          <w:sz w:val="18"/>
          <w:szCs w:val="18"/>
          <w:color w:val="auto"/>
        </w:rPr>
        <w:t>Our centers sometimes acquire certain items and services at a discount that may be reimbursed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 federal healthcare program. We endeavor to structure our vendor contracts that include discount or rebate provisions to comply with the federal Anti-Kickback Statute safe harbor for discounts.</w:t>
      </w:r>
    </w:p>
    <w:p>
      <w:pPr>
        <w:ind w:left="720" w:right="79" w:hanging="319"/>
        <w:spacing w:after="0" w:line="26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Forces and Participant Recruitment. </w:t>
      </w:r>
      <w:r>
        <w:rPr>
          <w:rFonts w:ascii="Times New Roman" w:cs="Times New Roman" w:eastAsia="Times New Roman" w:hAnsi="Times New Roman"/>
          <w:sz w:val="18"/>
          <w:szCs w:val="18"/>
          <w:color w:val="auto"/>
        </w:rPr>
        <w:t>We employ our own sales force and attempt to meet the Anti-Kickback safe harbor for bona fide employment.</w:t>
      </w:r>
    </w:p>
    <w:p>
      <w:pPr>
        <w:spacing w:after="0" w:line="1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any of our business transactions or arrangements, including those described above, were found to violate the federal Anti-Kickback Statute, we could face, among other things, criminal, civil or administrative sanctions, including possible exclusion from participation in Medicare, Medicaid and other state and federal healthcare programs and FCA liability. Any findings that we have violated these laws could have a material adverse impact on our business, results of operations, financial condition, cash flows, reputation and stock price. In addition to the federal Anti-Kickback Statute, various states in which we operate have adopted their own anti-kickback statutes.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part of HHS’s Regulatory Sprint to Coordinated Care, OIG issued a request for information in August 2018 seeking input on regulatory provisions that may act as barriers to coordinated care or value-based care. Specifically, OIG sought to identify ways in which it might modify or add new safe harbors to the Anti-Kickback Statute (as well as exceptions to the definition of “remuneration” in the beneficiary inducements provision of the Civil Monetary Penalty Statute) in order to foster arrangements that promote care coordination and advance the delivery of value-based care, while also protecting against harms caused by fraud and abuse. OIG issued final rules effective January 19, 2021, that modify existing safe harbors and create new safe harbors and exceptions that may impact our business, results of operations and financial condition.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Self-Referral Prohibition</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federal Ethics in Patient Referral Act (“Stark Law”) generally prohibits a physician who has (or whose immediate family member has) a financial relationship with a provider from making referrals to that “entity” for “designated health services” if payment for the services may be made under Medicare or Medicaid. “Designated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 If our operations ever result in us being included within the definition of an “entity” under the Stark Law, then any financial relationships that we have with a referring provider would be prohibited unless a statutory or regulatory exception is available.</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Providers are prohibited from filing Medicare claims for services related to a prohibited referral and a provider that has billed for prohibited services is obligated to notify and refund the amounts collected from the Medicare program or to make a self-disclosure to CMS under its Self-Referral Disclosure Protocol. Penalties for violation of the Stark Law include denial of payment, recoupment, refunds of amounts paid in violation of the law, exclusion from the Medicare or Medicaid programs, and substantial civil monetary penalties ($27,750 per prohibited item or service and $185,009 if there is a circumvention scheme; penalty amounts reflect current 2021 levels and are adjusted for inflation from time to time). Claims filed in violation of the Stark Law may be deemed false claims under the FCA. In addition to the Stark Law, various states in which we operate have adopted their own self-referral prohibition statutes.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False Claims Act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Among other things, the FCA authorizes the imposition of up to three times the government’s damages and significant per claim civil penalties on any “person” (including an individual, organization or company) who, among other acts:</w:t>
      </w:r>
    </w:p>
    <w:p>
      <w:pPr>
        <w:spacing w:after="0" w:line="162" w:lineRule="exact"/>
        <w:rPr>
          <w:sz w:val="20"/>
          <w:szCs w:val="20"/>
          <w:color w:val="auto"/>
        </w:rPr>
      </w:pPr>
    </w:p>
    <w:p>
      <w:pPr>
        <w:ind w:left="720" w:right="7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presents or causes to be presented to the federal government a false or fraudulent claim for payment or approval;</w:t>
      </w:r>
    </w:p>
    <w:p>
      <w:pPr>
        <w:ind w:left="720" w:right="79" w:hanging="319"/>
        <w:spacing w:after="0" w:line="26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makes, uses or causes to be made or used a false record or statement material to a false or fraudulent claim;</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7"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conspires to commit the above acts.</w:t>
      </w:r>
    </w:p>
    <w:p>
      <w:pPr>
        <w:spacing w:after="0" w:line="20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federal government has used the FCA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encounter data or other information used to determine capitated payments. The ACA provides that claims for payment that are tainted by a violation of the federal Anti-Kickback Statute (which could include, for example, illegal incentives or remuneration in exchange for enrollment or referrals) are false for purposes of the FCA. In addition, amendments to the FCA and Social Security Act impose severe penalties for the knowing and improper retention of overpayments from government payors. This could be relevant to the extent we received payments on account of RAF determinations that are based on improper or erroneous records or reports. Failure to return overpayments could subject us to liability under the FCA, exclusion from government healthcare programs and penalties under the federal Civil Monetary Penalty Statute.</w:t>
      </w:r>
    </w:p>
    <w:p>
      <w:pPr>
        <w:spacing w:after="0" w:line="19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penalties for a violation of the FCA may include per claim penalties, plus up to three times the amount of damages caused by each false claim, which can be as much as the amounts received directly or indirectly from the government for each such false claim. The Department of Justice has adjusted the per claim penalty range from $12,537 to $25,076 for penalties assessed after May 9, 2022, if the underlying conduct occurred after November 2, 2015.</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civil enforcement under the FCA, the federal government can use several criminal statutes to prosecute persons who are alleged to have submitted false or fraudulent claims for payment to the federal government. Any allegations or findings that we have violated the FCA could have a material adverse impact on our reputation, business, results of operations and financial condition.</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FCA, the various states in which we operate have adopted their own analogs of the FCA. States are becoming increasingly active in using their false claims laws to police the same activities listed above, particularly with regard to capitated government-sponsored healthcare programs, such as Medicaid managed care and PACE. For additional information regarding allegations against us under Federal and State FCA statutes, see Item 1A. Risk Factors, “Risks Related to Our Business—We are subject to legal proceedings, enforcement actions and litigation, malpractice and privacy disputes, which are costly to defend and could materially harm our business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 Statute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176" w:lineRule="exact"/>
        <w:rPr>
          <w:sz w:val="20"/>
          <w:szCs w:val="20"/>
          <w:color w:val="auto"/>
        </w:rPr>
      </w:pPr>
    </w:p>
    <w:p>
      <w:pPr>
        <w:jc w:val="both"/>
        <w:ind w:left="720" w:right="79" w:hanging="319"/>
        <w:spacing w:after="0" w:line="254"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or causing to be presented, claims, reports or records relating to payment by Medicare, Medicaid or other government payors that the individual or entity knows or should know are for an item or service that was not provided as reported,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remuneration to a federal health care program beneficiary that the individual or entity knows or should know is likely to influence the beneficiary to order or receive health care items or services from a particular provider;</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contracts with or making payments to an entity or individual excluded from participation in the federal health care programs or included on CMS’s preclusion list;</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violating the federal Anti-Kickback Statute;</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using or causing to be made or used a false record or statement material to a false or fraudulent claim for payment for items and services furnished under a federal health care program;</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using or causing to be made any false statement, omission or misrepresentation of a material fact in any application, bid or contract to participate or enroll as a provider of services or a supplier under a federal health care program; and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report and return an overpayment owed to the federal government.</w:t>
      </w:r>
    </w:p>
    <w:p>
      <w:pPr>
        <w:spacing w:after="0" w:line="20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could be exposed to a wide range of allegations to which the federal Civil Monetary Penalty Statute would apply. We perform monthly checks on our employees and certain affiliates and vendors using government databases to confirm that these individuals have not been excluded from federal programs or otherwise ineligible for payment. We have also implemented processes to ensure that we do not make payments to contracted or noncontracted providers listed on CMS’s preclusion list nor make payments for drugs prescribed by individuals on the preclusion list. However, should an individual or entity be excluded, on the preclusion list, or otherwise ineligible for payment and we fail to detect it, a federal agency could require us to refund amounts attributable to all claims or services performed or sufficiently linked to such individual or entity. Due to this area of risk and the possibility of other allegations being brought against us, we cannot foreclose the possibility that we could face allegations of noncompliance with the Civil Monetary Penalty Statute that have the potential for a material adverse impact on our business, results of operations and financial condition.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federal regulations promulgated under the authority of HIPAA require us to provide certain protections to our participants and their health information. The HIPAA privacy and security regulations extensively regulate the use and disclosure of PHI and require covered entities, which include healthcare providers and their business associates, to implement and maintain administrative, physical and technical safeguards to protect the security of such information. Additional security requirements apply to electronic PHI. These regulations also provide our participants with substantive rights with respect to their health information.</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HIPAA privacy and security regulations also require us to enter into written agreements with certain contractors, known as business associates, to whom we disclose PHI. A business associate is any person or entity (other than members of a covered entity’s workforce) that performs a service for or on behalf of a covered entity involving the use or disclosure of protected health information. Covered entities may be subject to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an exception to the definition of breach applies or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Violations of HIPAA by providers like us, including, but not limited to, failing to implement appropriate administrative, physical and technical safeguards, have resulted in enforcement actions and in some cases triggered settlement payments or civil monetary penalties. Penalties for impermissible use or disclosure of PHI were increased by the HITECH Act by imposing tiered penalties of more than $50,000 (not adjusted for inflation) per violation and up to approximately $1.9 million (not adjusted for inflation) per year for identical violations.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addition to HIPAA, we may be subject to other laws governing the privacy and security of data, such as the CCPA and data breach notification laws.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Efforts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U.S. federal and state governments continue to enact and seriously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healthcare consumers might react to federal and state healthcare legislation and regulation, whether already enacted or enacted in the future, nor can we predict what form such legislation or regulations will take. Some examples of legislative and regulatory changes impacting our business include:</w:t>
      </w:r>
    </w:p>
    <w:p>
      <w:pPr>
        <w:spacing w:after="0" w:line="189" w:lineRule="exact"/>
        <w:rPr>
          <w:sz w:val="20"/>
          <w:szCs w:val="20"/>
          <w:color w:val="auto"/>
        </w:rPr>
      </w:pPr>
    </w:p>
    <w:p>
      <w:pPr>
        <w:jc w:val="both"/>
        <w:ind w:left="720" w:right="79" w:hanging="319"/>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2010, broad healthcare reform legislation was enacted in the United States through the ACA. There have since been numerous political and legal efforts to repeal, replace or modify the ACA, some of which have been successful, in part, in modifying the law. Although some provisions of the ACA have been and may be modified, the reforms could continue to have an impact on our business in a number of ways. Provisions of the ACA that impact the Medicare and Medicaid programs, in particular, may have an impact on our business. These and other provisions of the ACA remain subject to ongoing uncertainty due to developing regulations as well as continuing political and legal challenges at both the federal and state levels.</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these types of changes are implemented in the future, we cannot predict whether the amount of fixed federal funding to the states will be based on current payment amounts, or if it will be based on lower payment amounts, which would negatively impact those states that expanded their Medicaid programs in response to the ACA.</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enacted in 2011 requires CMS to sequester or reduce all Medicare payments, including payments to PACE organizations, by two percent per year for a period of years. Subsequent legislation extended these cuts through 2031, but legislation enacted in 2020 suspended the cuts during the pandemic. On December 10, 2021 the “Protecting Medicare and American Farmers from Sequester Cuts Act” extended the 2% Medicare sequester moratorium through March 31, 2022, and adjusted the sequester to 1% between April 1, 2022 and June 30, 2022. These cuts were reinstated on July 1, 2022 and will negatively impact our revenue.</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includes a number of provisions intended to lower the costs of some drugs covered under Medicare Part D and to limit Medicare beneficiaries’ out-of-pocket spending under the Medicare Part D benefit. It is not yet clear what effect, if any, these legislative changes and any subsequent implementing regulations and guidance will have on our business.</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While there may be significant changes to the healthcare environment in the future, the specific changes and their timing are not yet apparent. Specifically, changes in Medicare and Medicaid could lower PACE rates or increase our expenses. Any failure to successfully implement strategic initiatives that respond to future legislative, regulatory, and executive changes could have a material adverse effect on government-sponsored PACE programs, our business, results of operations and financial condition.</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CMS and state Medicaid agencies also routinely adjust the RAF which is central to payment under PACE and Managed Medicaid programs in which we participate. The monetary “coefficient” values associated with diseases that we manage in our population are subject to change by CMS and state agencies. Such changes could have a material adverse effect on our financial condition. See Item 1A. Risk Factors, “Risks Related to Our Business — Our records and submissions to government payors may contain inaccurate or unsupportable information regarding risk adjustment scores of participants, which could cause us to overstate or understate our revenue and subject us to payment obligations or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operations are subject to various state hazardous waste and non-hazardous medical waste disposal laws. These laws do not classify as hazardous most of the waste produced from medical services. Occupational Safety and Health Administration regulations require employers to provide workers who are occupationally subject to blood or other potentially infectious materials with prescribed protections. These regulatory requirements apply to all healthcare facilities, including our community centers, and require employers to make a determination as to which employees may be exposed to blood or other potentially infectious materials and to have in effect a written exposure control plan. In addition, employers are required to provide or employ hepatitis B vaccinations, personal protective equipment and other safety devices, infection control training, post-exposure evaluation and follow-up, waste disposal techniques and procedures and work practice controls. Employers are also required to comply with various record-keeping requirements.</w:t>
      </w:r>
    </w:p>
    <w:p>
      <w:pPr>
        <w:spacing w:after="0" w:line="12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Federal and state law also governs the dispensing of controlled substances by physicians. For example, the Prescription Drug Marketing Act governs the distribution of drug samples. Physicians are required to report relationships they have with the manufacturers of drugs, medical devices and biologics through the Open Payments Program database. Any allegations or findings that we or our providers have violated any of these laws or regulations could have a material adverse impact on our reputation, business, results of operations and financial condition. Certain states in which we do business or may desire to do business in the future have certificate of need programs regulating the establishment or expansion of healthcare facilities, including our community centers. These regulations can be complex and time-consuming to ensure compliance with. Any failure to comply with such regulatory requirements could adversely impact our business, results of operations and financial condition.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COVID-19 and Macroeconomic Conditions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COVID-19 pandemic altered the behavior of businesses and people, the effects of which continue on federal, state and local economies.</w:t>
      </w:r>
    </w:p>
    <w:p>
      <w:pPr>
        <w:spacing w:after="0" w:line="11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virus has and continues to disproportionately impact older adults, especially those with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illnesses, which describes our participants. The United States continues to experience supply chain issues with respect to personal protective equipment (“PPE”) and other medical supplies used to prevent transmission of COVID-19. During the years ended June 30, 2022 and 2021, we acquired significantly greater quantities of medical supplies at significantly higher prices than pre-pandemic rates to ensure the safety of our employees and our participants. Costs related to PPE medical supplies represented approximately 0.6% and 0.6% of our total cost of care for the years ended June 30, 2022 and 2021, respectively. These costs did not have a material effect on our business or expenses.</w:t>
      </w:r>
    </w:p>
    <w:p>
      <w:pPr>
        <w:spacing w:after="0" w:line="156"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Labor market</w:t>
      </w:r>
      <w:r>
        <w:rPr>
          <w:rFonts w:ascii="Times New Roman" w:cs="Times New Roman" w:eastAsia="Times New Roman" w:hAnsi="Times New Roman"/>
          <w:sz w:val="18"/>
          <w:szCs w:val="18"/>
          <w:color w:val="auto"/>
        </w:rPr>
        <w:t>. The COVID-19 pandemic has and continues to exacerbate difficulties to hire additional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causing certain of our centers to be understaffed or staffed with personnel that requires training. The labor shortage has also contributed to the increased wage pressure to retain and attract such healthcare professionals. The combination of increased wage pressure and labor shortage amongst healthcare personnel, and specifically, trained personnel, has impacted and may continue to impact our expenses and ability to adhere to the complex government laws and regulations that apply to our business.</w:t>
      </w:r>
    </w:p>
    <w:p>
      <w:pPr>
        <w:spacing w:after="0" w:line="14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Additionally, geopolitical events have contributed to adverse macroeconomic conditions, including but not limited to inflation, new or increased tariffs, changes to fiscal monetary policy, higher interest rates, potential global security issues and market volatility. None of these factors have had a material effect on our operations to date.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20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Although we own trademarks and service marks such as “InnovAge,” which are protected under applicable intellectual property laws and are the property of us or our subsidiaries, we do not currently believe our intellectual property is material to our business.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U.S. healthcare industry is highly competitive. We compete directly with national, regional and local providers of healthcare for participants and clinical providers. We also compete with payors and other alternate managed care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programs for participants. Of these providers,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principal competitors for dual-eligible seniors vary considerably in type and identity by market. Sanctions imposed on our Sacramento, California center and our Colorado centers have adversely affected and may continue to affect our ability to grow our business and recruit qualified physicians and could cause participant attrition to our competitors. See Item 1A. Risk Factors—Risks Related to Our Business—The healthcare industry is highly competitive and, if we are not able to compete effectively, our business could be harmed.”</w:t>
      </w:r>
    </w:p>
    <w:p>
      <w:pPr>
        <w:spacing w:after="0" w:line="16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believe the principal competitive factors for serving adults dually-eligible for Medicare and Medicaid and who meet nursing home eligibility criteria include: participant experience, quality of care, health outcomes, total cost of care, brand identity and trust in that brand.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business experiences some variability depending upon the time of year. Medical costs will vary seasonally depending on a number of factors, but most significantly the weather. Certain illnesses, such as the influenza virus and possibly COVID-19, are far more prevalent during colder months of the year, which will result in an increase in medical expenses during these time periods. We would therefore expect to see higher levels of per-participant medical costs in our second and third quarters. Medical costs also depend upon the number of business days in a period, and shorter periods will have lower medical costs. Business days can also create year-over-year comparability issues if a period in one year has a different number of business days compared to the same period in another.</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the retrospective capitation payments we receive for each participant are determined by a participant’s RAF score, which is calculated twice per year and is based on the evolving acuity and chronic conditions of a participant. We estimate and accrue for the expected true-up payments of our participants. Though no assurances can be made in the future, we have historically used our best estimate for accruing for this payment, and we received net positive true-up payments during the fiscal years ended June 30, 2022 and 2021. Historically, these true-up payments typically occur between May and August, but the timing of these payments is determined by CMS, and we have neither visibility nor control over the timing of such payments.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had approximately 2,000 employees, including 1,300 clinical professionals (excluding contract labor). We consider our relationship with our employees to be good. None of our employees are unionized or party to a collective bargaining agreement.</w:t>
      </w:r>
    </w:p>
    <w:p>
      <w:pPr>
        <w:spacing w:after="0" w:line="14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people are our product at InnovAge, and their commitment to our participants propels our mission of enabling seniors to age at home, with dignity, for as long as is safely possible. We believe that our employees are drawn to this mission and our values, which is why our voluntary retention rate was 63.6% over fiscal year 2022. Additionally, in our most recent employee engagement survey conducted in April 2022, 73% of our employees indicated that they feel engaged by their work at InnovAge</w:t>
      </w:r>
      <w:r>
        <w:rPr>
          <w:rFonts w:ascii="Times New Roman" w:cs="Times New Roman" w:eastAsia="Times New Roman" w:hAnsi="Times New Roman"/>
          <w:sz w:val="18"/>
          <w:szCs w:val="18"/>
          <w:b w:val="1"/>
          <w:bCs w:val="1"/>
          <w:color w:val="auto"/>
        </w:rPr>
        <w:t>.</w:t>
      </w:r>
    </w:p>
    <w:p>
      <w:pPr>
        <w:spacing w:after="0" w:line="14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Attracting and retaining top talent is critical to the success of InnovAge's mission and one of the highest priorities to leadership. To keep leadership informed of the health of our employee base, we report weekly on key hiring and retention metrics. We launched employee engagement surveys in fiscal year 2022, and we are implementing action plans with all staff groups based on survey findings and opportunities uncovered. We intend to monitor progress by releasing multiple engagement surveys annually.</w:t>
      </w:r>
    </w:p>
    <w:p>
      <w:pPr>
        <w:spacing w:after="0" w:line="14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recently added proven, experienced leaders at the executive level, including our new Chief Executive Officer and President, Patrick Blair, and our new Chief Medical Officer, Chief People Officer, and Chief Business Development Officer. We continue to evaluate talent needs at the senior management level, aiming to hire ahead of the curve as the business evolves and to assess and respond to any gaps in our capabilities.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20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InnovAge, we strive to be a reflection of the diverse communities that we serve. We are committed to promoting diversity, equity, and inclusion across all teams at InnovAge and we believe in creating an environment where individual differences are respected and embraced. In our most recent engagement survey conducted in April 2022, 79.2% of employees indicated that they feel that they can be their authentic selves at work.</w:t>
      </w:r>
    </w:p>
    <w:p>
      <w:pPr>
        <w:spacing w:after="0" w:line="13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June 30, 2022, our employed workforce was comprised of individuals who identified as women – 76%, and minorities – 40.3%. Six of nine members of our executive leadership team identify as women.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aim to provide our employees opportunities to grow and advance in their careers at InnovAge with learning and development programs. Each year we conduct soft skills training for managers and supervisors, the content of which is informed by gap assessment surveys. A quarterly training series for front-line leaders enables them to develop their management skills. Our clinical leaders also conduct separate physician leadership trainings quarterly, with a new topic for each installment (e.g., email / phone etiquette).</w:t>
      </w:r>
    </w:p>
    <w:p>
      <w:pPr>
        <w:spacing w:after="0" w:line="1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also launched a training needs assessment survey in August 2020 to hear directly from employees and managers where they think they could use more support and learning content in the coming year. As a result of these assessment surveys, the Company has developed trainings tailored to the most prevalent needs identified by our employees.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We will remain an emerging growth company until the earlier of (1) June 30, 2026, (2) the last day of the fiscal year in which we have total annual gross revenue of at least $1.07 billion, (3) the date on which we are deemed to be a large accelerated filer or (4) the date on which we have issued more than $1.0 billion in non-convertible debt securities during the prior three-year period. Additionally, we qualify as a “smaller reporting company,” and even after we no longer qualify as an “emerging growth company,” we may still qualify as a “smaller reporting company” based on the aggregate worldwide market value of common equity securities held by non-affiliates assessed on an annual basis and measured as of the last business day of the issuer’s most recently completed second fiscal quarter.</w:t>
      </w:r>
    </w:p>
    <w:p>
      <w:pPr>
        <w:spacing w:after="0" w:line="151"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an emerging growth company and a smaller reporting company, we may take advantage of reduced reporting requirements that are otherwise applicable to public companies. These provisions include, but are not limited to:</w:t>
      </w:r>
    </w:p>
    <w:p>
      <w:pPr>
        <w:spacing w:after="0" w:line="121" w:lineRule="exact"/>
        <w:rPr>
          <w:sz w:val="20"/>
          <w:szCs w:val="20"/>
          <w:color w:val="auto"/>
        </w:rPr>
      </w:pPr>
    </w:p>
    <w:p>
      <w:pPr>
        <w:ind w:left="720" w:right="7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jc w:val="both"/>
        <w:ind w:left="720" w:right="79" w:hanging="319"/>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present only two years of audited financial statements, plus unaudited condensed consolidated financial statements for any interim period and related discussion in the section titled “Management’s Discussion and Analysis of Financial Condition and Results of Operations”;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ind w:left="720" w:right="79" w:hanging="319"/>
        <w:spacing w:after="0" w:line="26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5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a result, the information that we provide to our shareholders may be different than you might receive from other public reporting companies in which you hold equity interests.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internet website is www.innovage.com. We include our website address on this Annual Report on Form 10-K for reference only. The information contained on our website is not incorporated by reference into this Annual Report on Form 10-K or any other report or document we file with the SEC.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results of operations, and financial condition are subject to numerous risks and uncertainties. You should carefully consider the following risk factors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You should read these risk factors in conjunction with “Management’s Discussion and Analysis of Financial Condition and Results of Operations” in Item 7 and our consolidated financial statements and related notes in Item 8 of this Annual Report on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There are a number of risks related to our business, regulation, our indebtedness and our common stock that you should consider. Some of the principal risks related to our business include the following:</w:t>
      </w:r>
    </w:p>
    <w:p>
      <w:pPr>
        <w:spacing w:after="0" w:line="117" w:lineRule="exact"/>
        <w:rPr>
          <w:sz w:val="20"/>
          <w:szCs w:val="20"/>
          <w:color w:val="auto"/>
        </w:rPr>
      </w:pPr>
    </w:p>
    <w:p>
      <w:pPr>
        <w:jc w:val="both"/>
        <w:ind w:left="720" w:right="79" w:hanging="319"/>
        <w:spacing w:after="0" w:line="254"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face inspections, reviews, audits and investigations under federal and state government programs and contracts</w:t>
      </w:r>
      <w:r>
        <w:rPr>
          <w:rFonts w:ascii="Times New Roman" w:cs="Times New Roman" w:eastAsia="Times New Roman" w:hAnsi="Times New Roman"/>
          <w:sz w:val="18"/>
          <w:szCs w:val="18"/>
          <w:color w:val="auto"/>
        </w:rPr>
        <w:t>. As a result of PACE contracts with CMS and state government agencies, state licenses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Medicaid, we are routinely subject to various governmental inspections, reviews, audits, requests for information and investigations to verify our compliance with applicable laws and regulations, assess the quality of our services provided to our participants and evaluate the accuracy of the risk adjustment data we submit. As a result of deficiencies found in these audits, our enrollments are suspended in each of our centers in Colorado and our Sacramento, California center and are in the process of implementing corrective action plans (CAPs). At this time, we cannot guarantee the final outcome of the processes described above or other audits of our centers. If we are unable to effectively remediate the deficiencies and implement the CAPs or otherwise satisfy the agencies’ concerns, we could be subject to additional sanctions.</w:t>
      </w:r>
    </w:p>
    <w:p>
      <w:pPr>
        <w:spacing w:after="0" w:line="185"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subject to legal proceedings, enforcement actions and litigation, malpractice and privacy disputes, which are costly and could materially harm our business. </w:t>
      </w:r>
      <w:r>
        <w:rPr>
          <w:rFonts w:ascii="Times New Roman" w:cs="Times New Roman" w:eastAsia="Times New Roman" w:hAnsi="Times New Roman"/>
          <w:sz w:val="18"/>
          <w:szCs w:val="18"/>
          <w:color w:val="auto"/>
        </w:rPr>
        <w:t>We are party to lawsuits and legal proceedings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participants and various third parties in the normal course of business. These matters are often expensive and disruptive to normal business operations. In October 2021, as amended in June 2022, we were named as a defendant in a putative class action complaint filed in the District Court of Colorado on behalf of individuals who purchased or acquired shares of our stock during a specified period. Additionally, in April 2022, we received a books and records demand pursuant to Section 220 of Delaware law in connection with a shareholder’s investigation of, among other things, breaches of fiduciary duty and mismanagement. In addition, we have received civil investigative demands from the Attorney General for the State of Colorado, with respect to our Colorado centers, and the Department of Justice (“DOJ”), with respect to all our centers, on similar subject matter. There can be no assurance that these matters are resolved in our favor or without significant cash settlements. The time and resources necessary to litigate the claims could harm our reputation, business, financial condition, results of operations and market price of our common stock.</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Under our PACE contracts, we assume all of the risk that the cost of providing services will exceed our compensation</w:t>
      </w:r>
      <w:r>
        <w:rPr>
          <w:rFonts w:ascii="Times New Roman" w:cs="Times New Roman" w:eastAsia="Times New Roman" w:hAnsi="Times New Roman"/>
          <w:sz w:val="18"/>
          <w:szCs w:val="18"/>
          <w:color w:val="auto"/>
        </w:rPr>
        <w:t>. Approximately 99.7% and 99.5% of our revenue for the years ended June 30, 2022 and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was derived from capitation agreements with government payors in which we receive fixed PMPM fees. To the extent that our participants require more care than is anticipated and/or the cost of care increases, aggregate fixed capitation payments may be insufficient to cover the costs associated with treatment. If, in aggregate, our expenses exceed the underlying capitation payment received, we will not be able to fund operations and pursue acquisitions.</w:t>
      </w:r>
    </w:p>
    <w:p>
      <w:pPr>
        <w:spacing w:after="0" w:line="182"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revenues and operations are dependent upon a limited number of government payors, particularly Medicare and Medicaid. </w:t>
      </w:r>
      <w:r>
        <w:rPr>
          <w:rFonts w:ascii="Times New Roman" w:cs="Times New Roman" w:eastAsia="Times New Roman" w:hAnsi="Times New Roman"/>
          <w:sz w:val="18"/>
          <w:szCs w:val="18"/>
          <w:color w:val="auto"/>
        </w:rPr>
        <w:t>When aggregating the revenue associated with Medicare and Medicaid by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Colorado, California and Virginia accounted for a total of approximately 83.3% and 82.6% of our capitation revenue for the years ended June 30, 2022 and 2021, respectively. We expect a majority of our revenues will continue to be derived from a limited number of key government payors, which may terminate their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auto"/>
        </w:rPr>
        <w:t>contracts with us upon the occurrence of certain events. The sudden loss of any of our government contracts or the renegotiation of any of our contracts could adversely affect our operating results and limit our ability to expand into new markets.</w:t>
      </w:r>
    </w:p>
    <w:p>
      <w:pPr>
        <w:spacing w:after="0" w:line="172" w:lineRule="exact"/>
        <w:rPr>
          <w:sz w:val="20"/>
          <w:szCs w:val="20"/>
          <w:color w:val="auto"/>
        </w:rPr>
      </w:pPr>
    </w:p>
    <w:p>
      <w:pPr>
        <w:jc w:val="both"/>
        <w:ind w:left="720" w:right="79" w:hanging="319"/>
        <w:spacing w:after="0" w:line="25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Reductions in PACE reimbursement rates or changes in the rules governing PACE programs could have a material adverse effect on our financial condition and results of operations. </w:t>
      </w:r>
      <w:r>
        <w:rPr>
          <w:rFonts w:ascii="Times New Roman" w:cs="Times New Roman" w:eastAsia="Times New Roman" w:hAnsi="Times New Roman"/>
          <w:sz w:val="18"/>
          <w:szCs w:val="18"/>
          <w:color w:val="auto"/>
        </w:rPr>
        <w:t>We receive a substantial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revenue through the PACE program, which accounted for 99.8% and 99.6% of our revenue for the years ended June 30, 2022 and 2021, respectively. As a result, our operations are dependent on government funding levels for PACE programs. Any changes that limit or reduce general PACE rates could have a material adverse effect on our business, results of operations, financial condition and cash flows, restrict our ability to continue providing quality care to our participants and limit our opportunities for growth.</w:t>
      </w:r>
    </w:p>
    <w:p>
      <w:pPr>
        <w:spacing w:after="0" w:line="182"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records and submissions to government payors may contain inaccurate or unsupportable information regarding risk adjustment scores of participants, which could cause us to overstate or understate our revenue and subject us to payment obligations or penalties. </w:t>
      </w:r>
      <w:r>
        <w:rPr>
          <w:rFonts w:ascii="Times New Roman" w:cs="Times New Roman" w:eastAsia="Times New Roman" w:hAnsi="Times New Roman"/>
          <w:sz w:val="18"/>
          <w:szCs w:val="18"/>
          <w:color w:val="auto"/>
        </w:rPr>
        <w:t>The submission of erroneous data could result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inaccurate revenue and risk adjustment payments, which may be subject to correction or retroactive adjustment in later periods. CMS may audit PACE organizations’ risk adjustment data submissions. We could be required to refund a portion of the revenue that we received, which could have a material adverse effect on our business, results of operations, financial condition and cash flows.</w:t>
      </w:r>
    </w:p>
    <w:p>
      <w:pPr>
        <w:spacing w:after="0" w:line="182"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Renegotiation, non-renewal or termination of capitation agreements with government payors could have a material adverse effect on our business, results of operations, financial condition and cash flows. </w:t>
      </w:r>
      <w:r>
        <w:rPr>
          <w:rFonts w:ascii="Times New Roman" w:cs="Times New Roman" w:eastAsia="Times New Roman" w:hAnsi="Times New Roman"/>
          <w:sz w:val="18"/>
          <w:szCs w:val="18"/>
          <w:color w:val="auto"/>
        </w:rPr>
        <w:t>If we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capitation contracts with unfavorable economic terms, or a capitation contract is adjusted to include unfavorable terms, we could suffer losses with respect to such contract. In addition, some states in which we operate undergo periodic reconciliations with respect to enrollments that present a risk to our business, results of operations, financial condition and cash flows.</w:t>
      </w:r>
    </w:p>
    <w:p>
      <w:pPr>
        <w:spacing w:after="0" w:line="182"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Allegations of failure and failure to adhere to complex government laws and regulations that apply to our business, have had and could in the future have a material adverse effect on our business, results of operations, financial condition, cash flows, reputation and stock price. </w:t>
      </w:r>
      <w:r>
        <w:rPr>
          <w:rFonts w:ascii="Times New Roman" w:cs="Times New Roman" w:eastAsia="Times New Roman" w:hAnsi="Times New Roman"/>
          <w:sz w:val="18"/>
          <w:szCs w:val="18"/>
          <w:color w:val="auto"/>
        </w:rPr>
        <w:t>Our operations are subject to extensive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and local government laws and regulations. Allegations of violation, or actual violations of the legal requirements implicated by our business has resulted in and may in the future result in, among other things, government audits, decreased payment rates, significant fines and penalties, the potential loss of certification, recoupment efforts or retractions of reimbursement previously paid, voluntary repayments, exclusion from governmental healthcare programs, written warnings, corrective action plans, monitoring, reputational harm, suspension of new enrollment (as is the case currently with respect to our Sacramento, California and Colorado centers) or the restriction of current enrollment, the withholding of payments under the PACE program agreement, and termination of the PACE program agreement.</w:t>
      </w:r>
    </w:p>
    <w:p>
      <w:pPr>
        <w:spacing w:after="0" w:line="182"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Ignite Aggregator LP (an investment vehicle owned by certain funds advised by Apax Partners LLP) and funds affiliated with Welsh, Carson, Anderson &amp; Stowe (together, our “Principal Shareholders”) control us, and their interests may conflict with ours or yours in the future. </w:t>
      </w:r>
      <w:r>
        <w:rPr>
          <w:rFonts w:ascii="Times New Roman" w:cs="Times New Roman" w:eastAsia="Times New Roman" w:hAnsi="Times New Roman"/>
          <w:sz w:val="18"/>
          <w:szCs w:val="18"/>
          <w:color w:val="auto"/>
        </w:rPr>
        <w:t>Our Principal Shareholders beneficially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86% of our common stock, which means that, based on their combined percentage voting power of our common stock, the Principal Shareholders together control the vote of all matters submitted to a vote of our stockholders, which enable them to control the election of the members of the Board of Directors of the Company (the “Board”) and all other corporate decisions. Accordingly, for such period of time as our Principal Shareholders beneficially own a majority of the voting power, they will have significant influence with respect to our management, business plans and policies, including the appointment and removal of our officers, decisions on whether to raise future capital and amending our charter and bylaws, which govern the rights attached to our common stock.</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inspections, reviews, audits and investigations under federal and state government programs and contracts. These audits require corrective actions and have resulted in adverse findings that have negatively affected and continue to affect our business, including our results of operations, liquidity, financial condition and reputation.</w:t>
      </w:r>
    </w:p>
    <w:p>
      <w:pPr>
        <w:spacing w:after="0" w:line="13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a result of our PACE contracts with CMS and state government agencies, state licenses, and participation in Medicaid, we are routinely subject to, and will continue to be subject to, various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spacing w:after="0" w:line="12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Colorado. </w:t>
      </w:r>
      <w:r>
        <w:rPr>
          <w:rFonts w:ascii="Times New Roman" w:cs="Times New Roman" w:eastAsia="Times New Roman" w:hAnsi="Times New Roman"/>
          <w:sz w:val="18"/>
          <w:szCs w:val="18"/>
          <w:color w:val="auto"/>
        </w:rPr>
        <w:t>On May 26, 2021, the Colorado Department of Health Care Policy &amp; Financing (“HCPF”)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Colorado Department of Public Health and Environment (“CDPHE”) initiated a joint audit of our Colorado PACE centers, and on June 21, 2021, CMS also initiated a separate focused desk audit of our Colorado PACE program. Effective December 23, 2021, CMS suspended new enrollments at the Company’s Colorado centers, based on deficiencies detected in the joint audit related to participant provision of services, which can be categorized as care delivery and management, care coordination and documentation of care. The suspension will remain in effect until CMS determines that we have remediated the deficiencies to their satisfaction. Effective on the same date, HCPF also determined to impose sanctions and suspended new enrollments at the Company’s Colorado centers identifying certain deficiencies specific to Medicaid or state law. In addition, as a result of their specific findings, CDPHE mandated that we retain a consultant for a period of 12 months to oversee our remediation efforts, and issued a $10,000 penalty, which we have paid. In January and February 2022, we submitted corrective action plans (“CAP”) to each of these agencies. Each of the agencies has accepted our CAPs, and, in June 2022, both CMS and HCPF began monitoring the implementation of the CAPs. We cannot guarantee that we will be able to implement the CAPs, or that we will be able to remedy the deficiencies specified by each of the agencies. In addition, although these agencies coordinate many of the actions taken with respect to these audits, they each have separate mandates and are not obligated to act together or reach the same decisions. Therefore, we cannot guarantee that the agencies will not separately request further actions or impose additional separate sanctions.</w:t>
      </w:r>
    </w:p>
    <w:p>
      <w:pPr>
        <w:spacing w:after="0" w:line="14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California. </w:t>
      </w:r>
      <w:r>
        <w:rPr>
          <w:rFonts w:ascii="Times New Roman" w:cs="Times New Roman" w:eastAsia="Times New Roman" w:hAnsi="Times New Roman"/>
          <w:sz w:val="18"/>
          <w:szCs w:val="18"/>
          <w:color w:val="auto"/>
        </w:rPr>
        <w:t>On May 10, 2021, CMS began an audit of our Sacramento, California center. On September 17, 2021,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notified that CMS had determined to suspend new enrollments at our Sacramento center based on deficiencies detected in the audit related to participant provision of services, which can be categorized as care delivery and management, care coordination and documentation of care, and on September 30, 2021, we were further notified that the Department of Health Care Services (“DHCS”) of the State of California had reached the same determination. The suspension will remain in effect until CMS and DHCS determine that we have remediated the deficiencies to their satisfaction. We submitted a CAP in October 2021, which has been accepted by both CMS and DHCS. We are in the process of working with CMS and the state to determine the remaining steps before entering the validation process.</w:t>
      </w:r>
    </w:p>
    <w:p>
      <w:pPr>
        <w:spacing w:after="0" w:line="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January 7, 2022, DHCS notified us that it was suspending the State’s previously provided assurances that it would enter into a PACE program agreement with the Company (State Attestations) with respect to de novo centers in the State of California until such time as the CAPs and the remediation and validation processes for our Sacramento center have been successfully completed and the enrollment sanctions are lifted. As a result of the suspension, we will be unable to open one of the de novo centers we had identified in California within our planned timeline.</w:t>
      </w: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March 2022, CMS and DHCS began separate audits of our San Bernardino, California center. In August 2022, CMS issued preliminary results identifying certain deficiencies, but verbally notified us that no enforcement actions will be taken. To address the deficiencies identified in the audit processes, we are required to implement immediate corrective actions. Our plans to do so (“iCARs”) have been accepted by CMS and we are currently working on the audit close process. There can be no assurance as to the timeline of such close out.</w:t>
      </w:r>
    </w:p>
    <w:p>
      <w:pPr>
        <w:spacing w:after="0" w:line="1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New Mexico. </w:t>
      </w:r>
      <w:r>
        <w:rPr>
          <w:rFonts w:ascii="Times New Roman" w:cs="Times New Roman" w:eastAsia="Times New Roman" w:hAnsi="Times New Roman"/>
          <w:sz w:val="18"/>
          <w:szCs w:val="18"/>
          <w:color w:val="auto"/>
        </w:rPr>
        <w:t>In November 2021, CMS began an audit of our Albuquerque, New Mexico center. On November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we received preliminary results identifying certain deficiencies related to participant provision of services, which can be categorized as care delivery and management, care coordination and documentation of care. Validation results were received in March 2022. In July 2022, CMS verbally notified us that no enforcement actions will be taken. To address the deficiencies identified in the audit process, we are required to implement iCARs. Our iCARs have been submitted to CMS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we are currently working with CMS on the audit close out process. There can be no assurance as to the timeline of such close out.</w:t>
      </w:r>
    </w:p>
    <w:p>
      <w:pPr>
        <w:spacing w:after="0" w:line="119"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Kentucky</w:t>
      </w:r>
      <w:r>
        <w:rPr>
          <w:rFonts w:ascii="Times New Roman" w:cs="Times New Roman" w:eastAsia="Times New Roman" w:hAnsi="Times New Roman"/>
          <w:sz w:val="18"/>
          <w:szCs w:val="18"/>
          <w:color w:val="auto"/>
        </w:rPr>
        <w:t>. On February 9, 2022, we received notice from the Cabinet for Health and Family Services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Kentucky informing us that they no longer intend to enter into an agreement with us to be a PACE provider in the State of Kentucky.</w:t>
      </w:r>
    </w:p>
    <w:p>
      <w:pPr>
        <w:spacing w:after="0" w:line="133"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Indiana</w:t>
      </w:r>
      <w:r>
        <w:rPr>
          <w:rFonts w:ascii="Times New Roman" w:cs="Times New Roman" w:eastAsia="Times New Roman" w:hAnsi="Times New Roman"/>
          <w:sz w:val="18"/>
          <w:szCs w:val="18"/>
          <w:color w:val="auto"/>
        </w:rPr>
        <w:t>. On February 14, 2022, CMS denied our initial application to develop the previously announced PACE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Terre Haute, Indiana, based on deficiencies detected during CMS’s 2021 audits of our Sacramento and Colorado PACE programs.</w:t>
      </w:r>
    </w:p>
    <w:p>
      <w:pPr>
        <w:spacing w:after="0" w:line="119"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Florida</w:t>
      </w:r>
      <w:r>
        <w:rPr>
          <w:rFonts w:ascii="Times New Roman" w:cs="Times New Roman" w:eastAsia="Times New Roman" w:hAnsi="Times New Roman"/>
          <w:sz w:val="18"/>
          <w:szCs w:val="18"/>
          <w:color w:val="auto"/>
        </w:rPr>
        <w:t>. We have committed to CMS and the Agency for Healthcare Administration in the State of Florida,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proactively pause remaining steps with respect to planned de novo centers in the State of Florida, to focus on remediating deficiencies raised in the audit processes.</w:t>
      </w:r>
    </w:p>
    <w:p>
      <w:pPr>
        <w:spacing w:after="0" w:line="12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cannot guarantee the final outcome of any of the audits and processes described above. If we are unable to effectively remediate the deficiencies raised by the audits, implement the CAPs or iCARs we have submitted, will submit or may be required to submit, or otherwise satisfy the agencies’ concerns, we could be subject to additional sanctions and our business plan, including our growth strategy (including with respect to enrollment growth and de novo openings), would continue to be adversely impacted. Our management has been working collaboratively with the various agencies, including CMS.</w:t>
      </w:r>
    </w:p>
    <w:p>
      <w:pPr>
        <w:spacing w:after="0" w:line="14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general, inspections, reviews, audits, requests for information or investigations with adverse findings, and in particular the audits described above, have resulted in and may further result in:</w:t>
      </w:r>
    </w:p>
    <w:p>
      <w:pPr>
        <w:spacing w:after="0" w:line="94" w:lineRule="exact"/>
        <w:rPr>
          <w:sz w:val="20"/>
          <w:szCs w:val="20"/>
          <w:color w:val="auto"/>
        </w:rPr>
      </w:pPr>
    </w:p>
    <w:p>
      <w:pPr>
        <w:ind w:left="720" w:right="699" w:hanging="292"/>
        <w:spacing w:after="0" w:line="297"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enrollment sanctions in the affected center(s), as is the case with our Sacramento, California center and our centers in the State of Colorado;</w:t>
      </w:r>
    </w:p>
    <w:p>
      <w:pPr>
        <w:spacing w:after="0" w:line="162"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refunding amounts we have been paid by the government;</w:t>
      </w:r>
    </w:p>
    <w:p>
      <w:pPr>
        <w:spacing w:after="0" w:line="238" w:lineRule="exact"/>
        <w:rPr>
          <w:rFonts w:ascii="Times New Roman" w:cs="Times New Roman" w:eastAsia="Times New Roman" w:hAnsi="Times New Roman"/>
          <w:sz w:val="18"/>
          <w:szCs w:val="18"/>
          <w:color w:val="auto"/>
        </w:rPr>
      </w:pPr>
    </w:p>
    <w:p>
      <w:pPr>
        <w:ind w:left="720" w:right="999" w:hanging="292"/>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agencies imposing CAPs, fines, penalties, training, policies and procedures, and other requirements or sanctions on us;</w:t>
      </w:r>
    </w:p>
    <w:p>
      <w:pPr>
        <w:spacing w:after="0" w:line="67"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suspension of payments;</w:t>
      </w:r>
    </w:p>
    <w:p>
      <w:pPr>
        <w:spacing w:after="0" w:line="225"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or exclusion from participation in federal health care programs;</w:t>
      </w:r>
    </w:p>
    <w:p>
      <w:pPr>
        <w:spacing w:after="0" w:line="238"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self-disclosure of violations to applicable regulatory authorities;</w:t>
      </w:r>
    </w:p>
    <w:p>
      <w:pPr>
        <w:spacing w:after="0" w:line="238"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225"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revocation of a center’s license; and</w:t>
      </w:r>
    </w:p>
    <w:p>
      <w:pPr>
        <w:spacing w:after="0" w:line="238"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certain rights under, or termination of, our contracts with government payors.</w:t>
      </w:r>
    </w:p>
    <w:p>
      <w:pPr>
        <w:spacing w:after="0" w:line="33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may be required to refund amounts we have been paid and/or pay fines and penalties as a result of these inspections, reviews, audits, requests for information and investigations. Any of the results noted above could have further material adverse effects on our business and operating results. Furthermore, the legal, document production and other costs associated with complying with these inspections, reviews, audits, requests for information or investigations is significant.</w:t>
      </w:r>
    </w:p>
    <w:p>
      <w:pPr>
        <w:spacing w:after="0" w:line="13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enforcement actions and litigation, malpractice and privacy disputes, which are costly to defend and could materially harm our business and results of operations.</w:t>
      </w:r>
    </w:p>
    <w:p>
      <w:pPr>
        <w:spacing w:after="0" w:line="118"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party to lawsuits and legal proceedings in the normal course of business from participants, employees, or other third parties for various actions. These matters are often expensive and disruptive to normal business operations. We face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or may face allegations, lawsuits, including class actions, and regulatory inquiries, requests for information, audits and investigations regarding care and services provided to participants, the FCA, data privacy, security, labor and employment, consumer protection or intellectual property. We also face or may face allegations or litigation related to our acquisitions, securities issuances or business practices, including public disclosures about our business. 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We are currently unable to predict the outcome of this proceeding. In addition, on April 20, 2022, the Board of Directors of the Company received a books and records demand pursuant to Section 220 of the Delaware General Corporation Law, from a purported stockholder of the Company,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w:t>
      </w:r>
    </w:p>
    <w:p>
      <w:pPr>
        <w:spacing w:after="0" w:line="16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Litigation and regulatory proceedings are protracted and expensive, and the results are difficult to predict. Certain of these matters include claims for substantial or indeterminate amounts of damages and may include claims for injunctive relief. Additionally, our litigation costs could be significant. Adverse outcomes with respect to litigation or any of these legal proceedings may result in significant settlement costs or judgments, penalties, fines and sanctions. In the event of compliance issues, sanctions could include civil monetary penalties, corrective action plans, monitoring, contract termination, and/or CMS and/or Medicaid agencies suspending or restricting enrollment with us (as is the case currently with respect to our Sacramento, California center, and our centers in the State of Colorado), which have and could continue to negatively impact our expansion and revenue growth. We are also subject to periodic audits, which have and may continue to increase our regulatory compliance costs and have required and may require further change to our business practices, which could negatively impact our revenue growth. Managing legal proceedings, regulatory inquiries, litigation and audits, even if we achieve favorable outcomes, is costly, time-consuming and diverts management’s attention from our business.</w:t>
      </w:r>
    </w:p>
    <w:p>
      <w:pPr>
        <w:spacing w:after="0" w:line="14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results of regulatory proceedings, investigations, inquiries, litigation, claims, and audits cannot be predicted with certainty, and determining reserves for pending litigation and other legal, regulatory and audit matters requires significant judgment and assumptions. There can be no assurance that our expectations will prove correct, and even if these matters are resolved in our favor or without significant cash settlements, these matters, and the time and resources necessary to litigate or resolve them, cause harm to our reputation, business, financial condition, results of operations and the market price of our common stock.</w:t>
      </w:r>
    </w:p>
    <w:p>
      <w:pPr>
        <w:spacing w:after="0" w:line="14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also subject to lawsuits under the FCA and comparable state laws for submitting allegedly fraudulent, inadequately supported or otherwise inappropriate bills for services to the Medicare and Medicaid programs.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and abuse.</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spacing w:after="0" w:line="14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We continue to fully cooperate with the DOJ and produce the requested information and documentation. We are currently unable to predict the outcome of this investigation.</w:t>
      </w:r>
    </w:p>
    <w:p>
      <w:pPr>
        <w:spacing w:after="0" w:line="147" w:lineRule="exact"/>
        <w:rPr>
          <w:sz w:val="20"/>
          <w:szCs w:val="20"/>
          <w:color w:val="auto"/>
        </w:rPr>
      </w:pPr>
    </w:p>
    <w:p>
      <w:pPr>
        <w:jc w:val="both"/>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Furthermore, our business exposes us to potential medical malpractice, professional negligence or other related actions or claims that are inherent in the provision of healthcare services. While the industry has not seen an increase in the number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claims of this nature due to the impact of the COVID-19 pandemic, this remains a possibility due to the relatively lengthy claim development inherent in professional liability claims. These claims, whether or not they have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spacing w:after="0" w:line="15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Although we maintain third-party professional liability insurance coverage, it is possible that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whether or not they have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expected results from our business strategy.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Part of our business strategy, if and when allowed, is to grow by expanding our network of centers and is significantly dependent on adding center capacity in our existing markets, expanding into new geographies by developing de novo centers, executing on tuck-in acquisitions, recruiting new participants and directly contracting with government payors, such as Medicare and Medicaid. In the future, we expect to seek growth opportunities both organically and through acquisitions, the availability and success of which may be impacted by factors outside of our control. Our ability to grow organically depends upon a number of factors, including the results of ongoing and future audits (including our audits in California, Colorado and New Mexico), investigations and remediation efforts, recruiting new participants, finding suitable geographies that have aging populations and viable rate structures, entering into government payor arrangements in new jurisdictions, ensuring compliance with regulatory and contractual requirements, identifying appropriate centers, purchasing centers or obtaining leases, completing build-outs of new centers within proposed timelines and budgets and hiring members of our IDTs and other employees. We cannot predict the results of ongoing or future investigations or audits, nor can we guarantee that we will be successful in our remediation efforts necessary to enter additional markets. Additionally, if we fail to evaluate and execute new business opportunities properly, we may not achieve anticipated benefits and may incur increased costs.</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growth strategy involves a number of risks and uncertainties, including that:</w:t>
      </w:r>
    </w:p>
    <w:p>
      <w:pPr>
        <w:spacing w:after="0" w:line="306" w:lineRule="exact"/>
        <w:rPr>
          <w:sz w:val="20"/>
          <w:szCs w:val="20"/>
          <w:color w:val="auto"/>
        </w:rPr>
      </w:pPr>
    </w:p>
    <w:p>
      <w:pPr>
        <w:jc w:val="both"/>
        <w:ind w:left="1000" w:right="159" w:hanging="275"/>
        <w:spacing w:after="0" w:line="27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sanctions as a result of deficiencies identified during audits of our PACE centers in Sacramento, California and Colorado and may not be able to successfully implement the corrective action plans (CAPs); as a result, we are currently precluded from growing organically in the states of California and Colorado and from opening de novo centers in the states of California, Kentucky, Indiana and Florida;</w:t>
      </w:r>
    </w:p>
    <w:p>
      <w:pPr>
        <w:spacing w:after="0" w:line="181" w:lineRule="exact"/>
        <w:rPr>
          <w:rFonts w:ascii="Times New Roman" w:cs="Times New Roman" w:eastAsia="Times New Roman" w:hAnsi="Times New Roman"/>
          <w:sz w:val="18"/>
          <w:szCs w:val="18"/>
          <w:color w:val="auto"/>
        </w:rPr>
      </w:pPr>
    </w:p>
    <w:p>
      <w:pPr>
        <w:jc w:val="both"/>
        <w:ind w:left="1000" w:right="159" w:hanging="275"/>
        <w:spacing w:after="0" w:line="27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enter into contracts with government payors and/or other healthcare providers on terms favorable to us or at all. In addition, we compete for government payor relationships with other potential players, some of whom may have greater resources than we do. This competition may intensify due to the ongoing consolidation in the healthcare industry, which may increase our costs to pursue such opportunities;</w:t>
      </w:r>
    </w:p>
    <w:p>
      <w:pPr>
        <w:spacing w:after="0" w:line="141" w:lineRule="exact"/>
        <w:rPr>
          <w:rFonts w:ascii="Times New Roman" w:cs="Times New Roman" w:eastAsia="Times New Roman" w:hAnsi="Times New Roman"/>
          <w:sz w:val="18"/>
          <w:szCs w:val="18"/>
          <w:color w:val="auto"/>
        </w:rPr>
      </w:pPr>
    </w:p>
    <w:p>
      <w:pPr>
        <w:jc w:val="both"/>
        <w:ind w:left="1000" w:right="159" w:hanging="275"/>
        <w:spacing w:after="0" w:line="289"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recruit or retain a sufficient number of new participants to execute our growth strategy, and we may incur substantial costs to recruit new participants and we may be unable to recruit a sufficient number of new participants to offset those costs;</w:t>
      </w:r>
    </w:p>
    <w:p>
      <w:pPr>
        <w:spacing w:after="0" w:line="129" w:lineRule="exact"/>
        <w:rPr>
          <w:rFonts w:ascii="Times New Roman" w:cs="Times New Roman" w:eastAsia="Times New Roman" w:hAnsi="Times New Roman"/>
          <w:sz w:val="18"/>
          <w:szCs w:val="18"/>
          <w:color w:val="auto"/>
        </w:rPr>
      </w:pPr>
    </w:p>
    <w:p>
      <w:pPr>
        <w:ind w:left="1000" w:right="179" w:hanging="275"/>
        <w:spacing w:after="0" w:line="313"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sufficient numbers of physicians and other clinical staff, particularly on account of heightened demand for healthcare personnel on account of the COVID-19 pandemic;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0" w:right="179" w:hanging="275"/>
        <w:spacing w:after="0" w:line="329"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expanding our business into new states, we may be required to comply with laws and regulations that may differ from states in which we currently operate; and</w:t>
      </w:r>
    </w:p>
    <w:p>
      <w:pPr>
        <w:spacing w:after="0" w:line="94" w:lineRule="exact"/>
        <w:rPr>
          <w:rFonts w:ascii="Times New Roman" w:cs="Times New Roman" w:eastAsia="Times New Roman" w:hAnsi="Times New Roman"/>
          <w:sz w:val="18"/>
          <w:szCs w:val="18"/>
          <w:color w:val="auto"/>
        </w:rPr>
      </w:pPr>
    </w:p>
    <w:p>
      <w:pPr>
        <w:jc w:val="both"/>
        <w:ind w:left="1000" w:right="179" w:hanging="275"/>
        <w:spacing w:after="0" w:line="289"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identifying appropriate acquisition targets, be precluded from acquiring targets as a result of the sanctions we face in the states of California and Colorado or due to other legal restrictions (e.g.</w:t>
      </w:r>
    </w:p>
    <w:p>
      <w:pPr>
        <w:spacing w:after="0" w:line="1" w:lineRule="exact"/>
        <w:rPr>
          <w:rFonts w:ascii="Times New Roman" w:cs="Times New Roman" w:eastAsia="Times New Roman" w:hAnsi="Times New Roman"/>
          <w:sz w:val="18"/>
          <w:szCs w:val="18"/>
          <w:color w:val="auto"/>
        </w:rPr>
      </w:pPr>
    </w:p>
    <w:p>
      <w:pPr>
        <w:jc w:val="both"/>
        <w:ind w:left="1000" w:right="179"/>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or state antitrust laws), or make investments in acquisitions that we are unable to effectively integrate, involve associated risks or liabilities that we are unable to uncover in advance, or that require greater resources than anticipated.</w:t>
      </w:r>
    </w:p>
    <w:p>
      <w:pPr>
        <w:spacing w:after="0" w:line="10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capitalize on growth opportunities, which has negatively impacted our business model, revenues, results of operations and financial condition.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Under our PACE contracts, we assume all of the risk that the cost of providing services will exceed our compensation.</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Approximately 99.7% and 99.5% of our revenue for the years ended June 30, 2022 and 2021, respectively, was derived from capitation agreements with government payors in which we receive fixed PMPM fees. While there are variations specific to each agreement, we generally contract with government payors to receive a fixed per member per month fee to provide or manage all healthcare services a participant may require while assuming financial responsibility for the totality of our participants’ healthcare expenses. This type of contract is often referred to as an “at-risk” or a “capitation” contract. To the extent that our participants require more care than is anticipated and/or the cost of care increases, aggregate fixed capitation payments may be insufficient to cover the costs associated with treatment. If medical costs and expenses exceed the underlying capitation payment received, we will not be able to correspondingly increase our capitated payment and we could suffer losses with respect to such agreements.</w:t>
      </w:r>
    </w:p>
    <w:p>
      <w:pPr>
        <w:spacing w:after="0" w:line="14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Changes in our anticipated ratio of medical expense to revenue can significantly impact our financial results. Accordingly, the failure to adequately predict and control medical costs and expenses and to make reasonable estimates and maintain adequate accruals for incurred but not reported claims, could have a material adverse effect on our business, results of operations, financial condition and cash flows. Additionally, the Medicare and Medicaid expenses of our participants may be outside of our control in the event that participants take certain actions that increase such expenses, such as emergency room visits or preventable hospital admissions.</w:t>
      </w:r>
    </w:p>
    <w:p>
      <w:pPr>
        <w:spacing w:after="0" w:line="14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Historically, our medical costs and expenses as a percentage of revenue have fluctuated. Factors that may cause medical expenses to exceed estimates include:</w:t>
      </w:r>
    </w:p>
    <w:p>
      <w:pPr>
        <w:spacing w:after="0" w:line="162" w:lineRule="exact"/>
        <w:rPr>
          <w:sz w:val="20"/>
          <w:szCs w:val="20"/>
          <w:color w:val="auto"/>
        </w:rPr>
      </w:pPr>
    </w:p>
    <w:p>
      <w:pPr>
        <w:ind w:left="1220" w:right="79" w:hanging="495"/>
        <w:spacing w:after="0" w:line="282" w:lineRule="auto"/>
        <w:tabs>
          <w:tab w:leader="none" w:pos="1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status of participants requiring higher levels of care, such as nursing home care or higher incidents of hospitalization;</w:t>
      </w:r>
    </w:p>
    <w:p>
      <w:pPr>
        <w:spacing w:after="0" w:line="161"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utilization of new or existing healthcare services;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frequent catastrophic medical cases (e.g. transplants);</w:t>
      </w:r>
    </w:p>
    <w:p>
      <w:pPr>
        <w:spacing w:after="0" w:line="225" w:lineRule="exact"/>
        <w:rPr>
          <w:rFonts w:ascii="Times New Roman" w:cs="Times New Roman" w:eastAsia="Times New Roman" w:hAnsi="Times New Roman"/>
          <w:sz w:val="18"/>
          <w:szCs w:val="18"/>
          <w:color w:val="auto"/>
        </w:rPr>
      </w:pPr>
    </w:p>
    <w:p>
      <w:pPr>
        <w:jc w:val="both"/>
        <w:ind w:left="1220" w:right="79" w:hanging="495"/>
        <w:spacing w:after="0" w:line="266" w:lineRule="auto"/>
        <w:tabs>
          <w:tab w:leader="none" w:pos="1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healthcare services and supplies, whether as a result of inflation, wage increases, purchases of vaccines and PPE as a result of the COVID-19 pandemic, other health emergencies, such as Monkeypox, or otherwise;</w:t>
      </w:r>
    </w:p>
    <w:p>
      <w:pPr>
        <w:spacing w:after="0" w:line="17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mandated benefits or other changes in healthcare laws, regulations and practices;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attributable to specialist physicians, hospitals and ancillary providers;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demographics of our participants and medical trends;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claims disputes with providers, hospitals or other service providers;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59" w:hanging="642"/>
        <w:spacing w:after="0" w:line="282" w:lineRule="auto"/>
        <w:tabs>
          <w:tab w:leader="none" w:pos="11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catastrophes, health emergencies, including epidemics or pandemics or acts of terrorism; and</w:t>
      </w:r>
    </w:p>
    <w:p>
      <w:pPr>
        <w:spacing w:after="0" w:line="161"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government payor payments.</w:t>
      </w:r>
    </w:p>
    <w:p>
      <w:pPr>
        <w:spacing w:after="0" w:line="221"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operations are dependent upon a limited number of government payors, particularly Medicare and Medicaid.</w:t>
      </w:r>
    </w:p>
    <w:p>
      <w:pPr>
        <w:spacing w:after="0" w:line="13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operations are dependent on a limited number of government payors, particularly Medicare and Medicaid, with whom we directly contract to provide services to participants. We generally manage our contracts on a state-by-state basis, entering into a separate contract in each state. When aggregating the revenue associated with Medicare and Medicaid by state, Colorado, California and Virginia accounted for a total of approximately 83.3% and 82.6% of our capitation revenue for the years ended June 30, 2022 and 2021, respectively. We believe that majority of our revenues will continue to be derived from a limited number of key government payors, which may terminate their contracts with us upon the occurrence of certain events, including as a result of inspections, reviews, audits, requests for information or investigations with adverse findings. The sudden loss of any of our government contracts or the renegotiation of any of such contracts could adversely affect our operating results. In the ordinary course of business, we engage in active discussions and renegotiations with government payors in respect of the services we provide and the terms of our agreements. As the states respond to market dynamics and financial pressures, and as government payors make strategic budgetary decisions in respect of the programs in which they participate, certain government payors may seek to renegotiate or terminate their agreements with us. Any reduction in the budgetary appropriations for our services, whether as a result of fiscal constraints due to recession, or economic downturn, emergency situations such as the COVID-19 pandemic, changes in policy or otherwise, could result in a reduction in our capitated fee payments, changes to the scope of services and possibly loss of contracts and could negatively impact our revenues, business and prospects. See Item 1A. Risk Factors, “Risks Related to Our Business—A pandemic, epidemic or outbreak of an infectious disease in the United States or worldwide, including the ongoing effects of COVID-19, could adversely affect our business” and “Risks Related to Our Business—We conduct a significant percentage of our operations in the State of Colorado and, as a result, we are particularly susceptible to any reduction in budget appropriations for our services or any other adverse developments in that state.”</w:t>
      </w:r>
    </w:p>
    <w:p>
      <w:pPr>
        <w:spacing w:after="0" w:line="14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Because we rely on a limited number of government-funded agencies, namely CMS and state Medicaid agencies, for a significant portion of our revenues, we depend on federal funding, as well as the financial condition of the states in which we operate, and each state’s commitment to its participation in the PACE program. Government-funded healthcare programs in the states in which we operate face a number of risks, including higher than expected health care costs and lack of predictability of tax basis and budget needs. If the financial condition of the states in which we operate declines, our credit risk could increase.</w:t>
      </w:r>
    </w:p>
    <w:p>
      <w:pPr>
        <w:spacing w:after="0" w:line="14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PACE reimbursement rates or changes in the rules governing PACE programs could have a material adverse effect on our financial condition and results of operations.</w:t>
      </w:r>
    </w:p>
    <w:p>
      <w:pPr>
        <w:spacing w:after="0" w:line="13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receive a substantial portion of our revenue through the PACE program, which accounted for 99.8% and 99.6% of our revenue for the years ended June 30, 2022 and 2021, respectively. As a result, our operations are dependent on government funding levels for PACE programs. Any changes that limit or reduce general PACE funding, such as reductions in or limitations of reimbursement amounts or rates under programs, reductions in funding of programs, expansion of benefits, services or treatments under programs without adequate funding, could have a material adverse effect on our business, results of operations, financial condition and cash flows.</w:t>
      </w:r>
    </w:p>
    <w:p>
      <w:pPr>
        <w:spacing w:after="0" w:line="14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PACE programs and their respective reimbursement rates, payment structures and rules are subject to frequent change. These include statutory and regulatory changes, rate adjustments (including retroactive adjustments), administrative or executive orders and government funding restrictions, all of which may materially adversely affect the PACE rates at which we are compensated for our services. Budget pressures can lead federal and state governments to reduce or place limits on reimbursement rates and payment structures under PACE. Implementation of these and other types of measures has in the past and could in the future result in substantial reductions in our revenue and operating margins. Legislation enacted in 2011 requires CMS to sequester or reduce all Medicare payments, including payments to PACE organizations, by 2% per year for a period of years. Subsequent legislation extended these cuts through 2030, but legislation enacted temporarily suspended these cuts in 2020 during the pandemic. On December 10, 2021, the “Protecting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Medicare and American Farmers from Sequester Cuts Act” extended the 2% Medicare sequester moratorium through March 31, 2022, and adjusted the sequester to 1% between April 1, 2022 and June 30, 2022. These cuts were reinstated on July 1, 2022 and will negatively impact our revenue. We cannot predict what other deficit reduction, other payment reduction or budget enforcement initiatives may be proposed by Congress, which could impact our business, including whether Congress will attempt to increase, restructure or suspend sequestration.</w:t>
      </w:r>
    </w:p>
    <w:p>
      <w:pPr>
        <w:spacing w:after="0" w:line="15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Each year, CMS establishes the Medicare PACE benchmark payment rates by county for the following calendar year. Because a substantial portion of our revenue is through the PACE program, any negative changes to the PACE benchmark payment rates could have a material adverse effect on our business, results of operations, financial condition and cash flows. In addition, our PACE revenues may become volatile in the future, which could have a material adverse impact on our business, results of operations, financial condition and cash flows.</w:t>
      </w:r>
    </w:p>
    <w:p>
      <w:pPr>
        <w:spacing w:after="0" w:line="14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Reductions in reimbursement rates could have a material, adverse effect on our financial condition and results of operations or even result in rates that are insufficient to cover our operating expenses. For example, our external provider costs are driven by rates set by Medicare and Medicaid, which are outside of our control and may be negotiated in a manner unfavorable to us. Additionally, any delay or default by state governments in funding our capitated payments could materially and adversely affect our business, financial condition and results of operations.</w:t>
      </w:r>
    </w:p>
    <w:p>
      <w:pPr>
        <w:spacing w:after="0" w:line="14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Recent legislative, judicial and executive efforts to enact further healthcare reform legislation have caused the future state of reforms under the ACA and many core aspects of the current U.S. healthcare system to be unclear. While specific changes and their timing are not yet apparent, enacted reforms and future legislative, regulatory, judicial, or executive changes, particularly any changes to the PACE program, could have a material adverse effect on our business, results of operations, financial condition and cash flows.</w:t>
      </w:r>
    </w:p>
    <w:p>
      <w:pPr>
        <w:spacing w:after="0" w:line="152" w:lineRule="exact"/>
        <w:rPr>
          <w:sz w:val="20"/>
          <w:szCs w:val="20"/>
          <w:color w:val="auto"/>
        </w:rPr>
      </w:pPr>
    </w:p>
    <w:p>
      <w:pPr>
        <w:jc w:val="both"/>
        <w:ind w:left="6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records and submissions to government payors may contain inaccurate or unsupportable information regarding risk adjustment scores of participants, which could cause us to overstate or understate our revenue and subject us to repayment obligations or penalties.</w:t>
      </w:r>
    </w:p>
    <w:p>
      <w:pPr>
        <w:spacing w:after="0" w:line="13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claims and encounter records that we submit to government payors impact data that support the RAF scores attributable to participants. These RAF scores determine the payment we are entitled for the provision of medical care to such participants. The data submitted to CMS is based on diagnosis codes and medical charts that our employed, contracted, and noncontracted providers identify, record and prepare. Since CMS has started allowing documentation of conditions identified during qualifying telehealth visits with participants, we have been able to document the health conditions of our participants during telehealth visits as well as we did during in-person visits prior to COVID-19; however, any issues with documenting such conditions could adversely impact Medicare RAF scores and our resulting revenue for future periods. CMS periodically audits PACE organizations’ risk adjustment submissions. The submission of inaccurate, incomplete or erroneous data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could be required to refund a portion of the revenue that we received, which could have a material adverse effect on our business, results of operations, financial condition and cash flows. Historically, these true-up payments typically occur between May and August, but the timing of these payments is determined by CMS, and we have neither visibility nor control over the timing of such payments. From time to time, we may experience reconciliation issues as government payors modify or adopt new systems which may be reflected as provision for bad debt in our financial statements.</w:t>
      </w:r>
    </w:p>
    <w:p>
      <w:pPr>
        <w:spacing w:after="0" w:line="15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If CMS seeks repayment from us for payment adjustments as a result of its audits, we could also be subject to liability for penalties for inaccurate or unsupportable RAF scores provided by us or our providers. In addition, we could be liable for penalties to the federal government under the FCA, which may include per claim penalties, plus up to three times the amount of damages caused by each false claim, which can be as much as the amounts received directly or indirectly from the government for each such false claim. In addition, the penalties that can be imposed for each false claim ranges from $12,537 to $25,076 for penalties assessed after May 9, 2022, if the underlying conduct occurred after November 2, 2015. There is a high potential for substantial penalties in connection with any alleged FCA violations.</w:t>
      </w:r>
    </w:p>
    <w:p>
      <w:pPr>
        <w:spacing w:after="0" w:line="162" w:lineRule="exact"/>
        <w:rPr>
          <w:sz w:val="20"/>
          <w:szCs w:val="20"/>
          <w:color w:val="auto"/>
        </w:rPr>
      </w:pPr>
    </w:p>
    <w:p>
      <w:pPr>
        <w:jc w:val="both"/>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Elements of the risk adjustment mechanism continue to be challenged, reevaluated, and revised by the U.S. Department of Justice, the OIG, and CMS. For example, CMS has indicated that payment adjustments, such as adjustments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made in connection with Risk Adjustment Data Validation (“RADV”) audits, will not be limited to errors identified in the sampled population, but that the error rate identified in the sample may also be extrapolated to all risk adjusted payments made under the PACE contract being audited. CMS has described its audit process as plan-year specific and stated that it will not extrapolate audit results for plan years prior to 2011. Because CMS has not stated otherwise, there is a risk that payment adjustments made as a result of one plan year’s audit would be extrapolated to prior plan years after 2011. The proposed regulations relating to RADV audit and extrapolation methodology have been outstanding since 2018 and if implemented, could allow retroactive recoupments arising from RADV audits. CMS is expected to issue its final rule on the audit and extrapolation methodology by November 1, 2022.</w:t>
      </w:r>
    </w:p>
    <w:p>
      <w:pPr>
        <w:spacing w:after="0" w:line="16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a PACE organization will not be randomly selected or targeted for review by CMS or that the outcome of such a review will not result in a material adjustment in our revenue and profitability, even if the information we submitted to CMS is accurate and supportable. Substantial changes in the risk adjustment mechanism, including changes that result from enforcement or audit actions, could materially affect our capitated reimbursement.</w:t>
      </w:r>
    </w:p>
    <w:p>
      <w:pPr>
        <w:spacing w:after="0" w:line="13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Renegotiation, non-renewal or termination of capitation agreements with government payors could have a material adverse effect on our business, results of operations, financial condition and cash flows.</w:t>
      </w:r>
    </w:p>
    <w:p>
      <w:pPr>
        <w:spacing w:after="0" w:line="11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Under most of our capitation agreements with government payors, the state is generally permitted to adjust certain terms of the agreements from time to time. If a government payor exercises its right to adjust certain terms of the agreements, we are generally allowed a period of time to object to such adjustment. If we enter into capitation contracts with unfavorable economic terms, or a capitation contract is adjusted to include unfavorable terms, we could suffer losses with respect to such contract. In addition, some states in which we operate undergo periodic reconciliations with respect to enrollments that present a risk to our business, results of operations, financial condition and cash flows.</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contracts with government payors may be terminated to the extent that state or federal funds are not appropriated at sufficient levels to fund our contracts or PACE programs in general. Certain of our contracts are terminable immediately upon the occurrence of certain events. Government payors may terminate, suspend or cancel our contracts, in whole or in part, for cause in the event of our noncompliance with the terms, conditions or responsibilities under the contracts, or if we are debarred or suspended from providing services by state or federal government authorities. CMS may also impose sanctions for noncompliance with regulatory or contractual requirements, including the suspension of enrollment of participants, the occurrence of which would adversely affect our operating results and our ability to pursue our growth strategies. If any of our contracts with government payors are terminated or if the government payors seek to renegotiate their contract rates with us, we may suffer a significant loss of revenue, which may adversely affect our operating results.</w:t>
      </w:r>
    </w:p>
    <w:p>
      <w:pPr>
        <w:spacing w:after="0" w:line="144"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and federal efforts to reduce healthcare spending could adversely affect our financial condition and results of operations.</w:t>
      </w:r>
    </w:p>
    <w:p>
      <w:pPr>
        <w:spacing w:after="0" w:line="11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Most of our participants are dually-eligible, meaning they are qualified for coverage under both Medicare and Medicaid when enrolled in our PACE program, and nearly all our revenue is derived from government payors. Medicaid is a joint federal and state funded program for healthcare services for low income as well as certain higher-income individuals who qualify for nursing home level of care. Under broad federal criteria, states establish rules for eligibility, services and payment. PACE programs are administered at the state level and are financed by both state and federal funds. Medicaid spending has increased rapidly in recent years, becoming a significant component of state budgets. This increase, combined with slower state revenue growth, has led both the federal government and many states to institute measures aimed at controlling the growth of Medicaid spending, and in some instances reducing aggregate Medicaid spending. Due to budget constraints, including those resulting from the COVID-19 pandemic or a potential economic downturn or recession, we may experience negative Medicaid capitated rate payment pressure from certain states where we operate, such as Colorado, where we conduct a significant percentage of our operations.</w:t>
      </w:r>
    </w:p>
    <w:p>
      <w:pPr>
        <w:spacing w:after="0" w:line="16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as part of past attempts to repeal, replace or modify the ACA and as a means to reduce the federal budget deficit, 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those changes are implemented, we cannot predict whether the amount of fixed federal funding to the states will be based on current payment amounts, or if it will be based on lower payment amounts, which would negatively impact those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that expanded their Medicaid programs in response to the ACA. We expect state and federal efforts to reduce healthcare spending to continue for the foreseeable future.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overall business results may suffer from an economic downturn.</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periods of high unemployment, governmental entities often experience budget deficits as a result of increased costs and lower than expected tax collections. These budget deficits at federal, state and local government entities have decreased, and may continue to decrease, spending for health and human service programs, including Medicare, Medicaid, PACE and similar programs, which represent nearly all of the payor sources for our centers. Additionally, we have and may continue to experience an increase in cost of care due to enhanced wage pressures, labor shortages, or other adverse economic conditions which we might not be able to offset and which may have a material effect on our results of operations and financial condition.</w:t>
      </w:r>
    </w:p>
    <w:p>
      <w:pPr>
        <w:spacing w:after="0" w:line="18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the ongoing effects of COVID-19, could adversely affect our business.</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face a wide variety of risks related to health epidemics, pandemics and similar outbreaks, especially of infectious diseases, including COVID-19 and its variants and Monkeypox. While the full effects of the COVID-19 pandemic continue to develop, the pandemic dramatically impacted the global health and economic environment, including business slowdowns or shutdowns, labor shortages and supply chain challenges. Additionally, any future pandemic, epidemic or outbreak of an infectious disease may adversely affect our business if one of the geographies we serve is affected by such outbreak, particularly at the onset of any such outbreak before response protocols have been developed. Specifically, if our participants fall ill due to an outbreak, we may experience a high level of unexpected deaths, increased costs, and other effects, including a loss of revenue, negative publicity, litigation and inquiries from government regulators.</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Although the COVID-19 pandemic has not materially adversely impacted our revenue or expenses, it may continue to have an adverse effect on market conditions, including the value of our common stock, and impact our workforce, including increased competition for healthcare professionals and wage increases. In addition, the COVID-19 virus disproportionately impacts older adults, especially those with chronic illnesses, which describes many of our participants.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Due to the COVID-19 pandemic, our ability to document the health conditions of our participants as completely as in the past may have been impacted. Medicare pays capitation using a “risk adjustment model,” which compensates providers based on the health status (acuity) of each individual participant. Participants with higher RAF scores necessitate larger capitated payments, and those with lower RAF scores necessitate smaller capitated payments. Medicare requires that a participant’s health issues be documented annually regardless of the permanence of the underlying causes. Any issues with documenting such conditions during the COVID-19 pandemic could have adversely impacted our ability to accurately record Medicare RAF scores and may result in adjustments to revenues. See Item 1A.Risk Factors “—Risks Related to Our Business—Our records and submissions to government payors may contain inaccurate or unsupportable information regarding risk adjustment scores of participants, which could cause us to overstate or understate our revenue and subject us to repayment obligations or penalties.”</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has and continues to exacerbate difficulties to hire additional healthcare professionals, causing certain of our centers to be understaffed or staffed with personnel that requires training. The reduction in healthcare personnel, and specifically, trained personnel, has impacted and may continue to impact our ability to adhere to the complex government laws and regulations that apply to our business. PACE regulators require that new participants be assessed within a period of 30 days from enrollment to our programs and for us to provide them a personalized care plan. In the third quarter of 2021, we became aware that certain of our centers had failed to timely complete a portion of these participant assessments and care plans. We have implemented improvement plans and continue to work diligently and monitor our progress in remediating this issue. Failure to conduct assessments or produce care plans within the required period of time may further subject us to suspension of new enrollment or restrict enrollment at the affected centers and other centers in the affected state. These or future violations of these requirements or other government laws or regulations could result in significant consequences that may have a material adverse effect on our business, results of operations, financial condition and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March 27, 2020, the CARES Act was signed into law and provided for $100.0 billion in funding for healthcare providers. Pursuant to the CARES Act, the state of Pennsylvania granted our Pennsylvania centers $1.0 million of funding. As a result of receiving this funding, we may be subject to audits and oversight by the federal government and Pennsylvania regulators, and there is no guarantee that the funds we received could not be subject to recoupment. We are not required to repay these funds, provided that we attest to and comply with certain terms and conditions, including not using funds received to reimburse expenses or losses that other sources are obligated to reimburse, as well as certain audit and reporting requirements.</w:t>
      </w:r>
    </w:p>
    <w:p>
      <w:pPr>
        <w:spacing w:after="0" w:line="18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13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depends largely upon the services of our senior management team and other key employees. We rely on our leadership team in the areas of operations, provision of medical services, information technology and security, marketing, and general and administrative functions. Since we became a public company, there have been changes in our executive management team resulting from the hiring or departure of executives, including the appointment of Patrick Blair to the position of President and Chief Executive Officer effective January 1, 2022. Even though Mr. Blair has had a long and successful career in healthcare, joining the Company from BAYADA Home Health Care, where he was the Group President responsible for overall quality and financial performance of the Home Health, Hospice and Personal Care businesses, changes to our business strategy resulting from this transition could have a disruptive impact on our ability to implement our business strategy and could have a material adverse effect on our business.</w:t>
      </w:r>
    </w:p>
    <w:p>
      <w:pPr>
        <w:spacing w:after="0" w:line="14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our employment agreements with our executive officers and other key personnel do not require them to continue to work for us for any specified period and, therefore, they could terminate their employment with us at any time. The loss, whether as a result of voluntary termination or illness, of one or more of the members of our senior management team, or other key employees, could harm our business. Changes in our executive management team may also cause disruptions in, and harm to, our business.</w:t>
      </w:r>
    </w:p>
    <w:p>
      <w:pPr>
        <w:spacing w:after="0" w:line="13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certain of our suppliers do not meet our needs, if the price increases on supplies is sustained as a result of inflation, if we are not reimbursed or adequately reimbursed for medical products we purchase or if we are unable to effectively access new technology or medical products, it could negatively impact our ability to effectively provide the services we offer and could have a material adverse effect on our business, results of operations, financial condition and cash flows.</w:t>
      </w:r>
    </w:p>
    <w:p>
      <w:pPr>
        <w:spacing w:after="0" w:line="13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significant suppliers that may be the sole or primary source of products critical to the services we provide, or to which we have committed obligations to make purchases, sometimes at particular prices. If any of these suppliers do not meet our needs for the products they supply, including sustained price increases as a result of inflation, a product recall, product shortage or dispute, and we are not able to find adequate alternative sources, it could have a material adverse impact on our business, results of operations, financial condition and cash flows. In addition, the technology related to the products critical to the services we provide is subject to new developments which may result in the availability of superior products. If we are not able to access superior products or new medical products, including biopharmaceuticals or medical devices, on a cost-effective basis or if suppliers are not able to fulfill our requirements for such products, including PPE, we could face attrition with respect to our participants or health care providers and other personnel and other negative consequences which could have a material adverse effect on our business, results of operations, financial condition and cash flows.</w:t>
      </w:r>
    </w:p>
    <w:p>
      <w:pPr>
        <w:spacing w:after="0" w:line="147"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began operating as a for-profit company in 2016 and have limited operating history as a for-profit company. Accordingly, our historical and recent financial and business results may not be representative of what they may be in the future.</w:t>
      </w:r>
    </w:p>
    <w:p>
      <w:pPr>
        <w:spacing w:after="0" w:line="13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were originally formed in 2007 as a not-for-profit company and converted to a for-profit company in 2016. Due to our relatively limited operating history as a for-profit company, our historical and recent financial and business results may not be representative of what they may be in the future. We have encountered and will continue to encounter significant risks and uncertainties frequently experienced by new companies in rapidly changing and highly regulated industries, such as determining appropriate investments for our limited resources, competition from other providers, acquiring and retaining participants, hiring, integrating, training and retaining skilled personnel, unforeseen expenses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challenges in forecasting accuracy. Although we have expanded our footprint outside of Colorado into other geographies, we cannot provide assurance that we will be able to expand into new geographies or that any new centers we open or acquire, or new geographies we enter will be successful. If we are unable to increase participant enrollment, manage our external provider costs or expand into new geographies, our revenue and our ability to sustain profitability could be impaired. If we make acquisitions to expand our footprint, we may experience operational difficulties or challenges with integrating and realizing the benefits of such acquisitions and we may need to expend resources to ensure such centers are operating in compliance with regulatory and contractual requirements, as well as any corrective action plans. Additional risks include, but are not limited to, our ability to effectively manage growth, process, store, protect and use personal data in compliance with governmental regulations and contractual obligations and manage our obligations as a provider of healthcare services under Medicare, Medicaid and PACE. If our assumptions regarding these and other similar risks and uncertainties, which we use to plan our business, are incorrect or change as we gain more experience operating a for-profit business or due to changes in our industry, or if we do not address these challenges successfully, our operating and financial results could differ materially from our expectations and our reputation and business could suffer materially.</w:t>
      </w:r>
    </w:p>
    <w:p>
      <w:pPr>
        <w:spacing w:after="0" w:line="16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expect to continue to increase our headcount and to hire or contract with more physicians, nurses and other specialized medical personnel in the future as we grow our business and open or acquire new centers. We will need to continue to hire, train and manage additional qualified information technology, operations and marketing staff, and improve and maintain our technology and information systems to properly manage our growth. If our new hires perform poorly, if we are unsuccessful in hiring, training, managing and integrating these new employees, if we are not successful in retaining our existing employees, or if we are unable to provide the care and services that our participants require in compliance with regulatory requirements, our business may be adversely affected.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participants, our revenue growth will be adversely affected.</w:t>
      </w:r>
    </w:p>
    <w:p>
      <w:pPr>
        <w:spacing w:after="0" w:line="18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To increase our revenue, our business strategy is to expand the number of centers and participants in our network. In order to support such growth, we must continue to recruit and retain a sufficient number of new participants. Our ability to do so depends in large part on the states of California and Colorado lifting current enrollment sanctions and the success of our sales and marketing efforts, which are subject to various federal and state laws and regulations that impact marketing. As a result of the sanctions and deficiencies identified during the audits of our centers, our reputation has been harmed which has impacted and could in the future continue to impact our ability to attract new participants. Additionally, as part of our remediation efforts, we have hired additional staff which has increased our PMPM expenses and, as a result, has negatively impacted our profit margin. If we are unable to convince the frail, dual-eligible senior population of the benefits of the InnovAge Platform or if potential or existing participants prefer the healthcare provider model of one of our competitors, we may not be able to effectively implement our growth strategy, which depends on our ability to attract new participants, if permitted. Participant enrollment for PACE is ongoing each month and requires states to verify eligibility, a process which can result in delays in enrollment. Our inability to identify and recruit new eligible participants and retain existing participants has and could continue to harm our ability to execute our growth strategy and has and may continue to have a material adverse effect on our business operations and financial position.</w:t>
      </w:r>
    </w:p>
    <w:p>
      <w:pPr>
        <w:spacing w:after="0" w:line="166" w:lineRule="exact"/>
        <w:rPr>
          <w:sz w:val="20"/>
          <w:szCs w:val="20"/>
          <w:color w:val="auto"/>
        </w:rPr>
      </w:pPr>
    </w:p>
    <w:p>
      <w:pPr>
        <w:ind w:left="60" w:right="2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conduct a significant percentage of our operations in the State of Colorado and, as a result, we are particularly susceptible to any reduction in budget appropriations for our services or any other adverse developments in that state.</w:t>
      </w:r>
    </w:p>
    <w:p>
      <w:pPr>
        <w:spacing w:after="0" w:line="9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For the fiscal year ended June 30, 2022, 25.8% of our total revenues were derived from contracts with government agencies in the State of Colorado. Accordingly, any reduction in Colorado’s budgetary appropriations for our services, whether as a result of fiscal constraints due to recession, emergency situations such as the COVID-19 pandemic, changes in policy or otherwise, could result in a reduction in our capitated fee payments and possibly the loss of contracts. In fiscal year 2021, we experienced a low single digit rate decrease as a result of COVID-19 related budget pressure borne by the State of Colorado. In June 2022, we completed negotiations relating to the capitated fee rates with government payors in the State of Colorado, which resulted in a mid-single digit rate increase applicable for the fiscal year ended June 30, 2022. See Item 1A. Risk Factors, “Risks Related to Our Business—Our business strategy may not realize expected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operations effectively, we may be unable to execute our business plan, maintain effective levels of service and participant satisfaction or adequately address competitive challenges.</w:t>
      </w:r>
    </w:p>
    <w:p>
      <w:pPr>
        <w:spacing w:after="0" w:line="13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have experienced, and may continue to experience, and organizational change and growth, which has placed, and may continue to place, significant demands on our management and our operational and financial resources. For example, we completed our conversion from a not-for-profit to a for-profit organization in 2016 and completed our IPO in 2021. Additionally, our organizational structure continues to become more complex as we expand our operational, financial and management controls, as well as our reporting systems and procedures as a public company. We may require significant capital expenditures and the allocation of valuable management resources to grow and evolve our operational and financial operations and grow. We must effectively increase our headcount, ensure our personnel have the necessary licenses and competencies and continue to effectively train and manage our employees. We will be unable to manage our business effectively if we are unable to alleviate the strain on resources caused by growth in a timely and efficient manner. If we fail to effectively manage our potential growth and change or fail to ensure that the level of care and services provided by our employees complies with regulatory and contractual requirements, and levels of patient service and satisfaction, our brand and reputation, could suffer, adversely affecting our ability to attract and retain participants and employees and lead to the need for corrective actions. Results of audits conducted by CMS and other regulators resulted in suspensions of new enrollments in the states of California and Colorado due to deficiencies detected in the audits related to participant care. See Item 1A. Risk Factors “Risks Related to Our Business—We face inspections, reviews, audits and investigations under federal and state government programs and contracts. These audits require corrective actions and have resulted in adverse findings that have negatively affected and may continue to affect our business, including our results of operations, liquidity, financial condition and reputation” for more information.</w:t>
      </w:r>
    </w:p>
    <w:p>
      <w:pPr>
        <w:spacing w:after="0" w:line="147"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competitive and, if we are not able to compete effectively, our business could be harmed.</w:t>
      </w:r>
    </w:p>
    <w:p>
      <w:pPr>
        <w:spacing w:after="0" w:line="118"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We compete directly with national, regional and local providers of healthcare for participants and clinical providers. We also compete directly with payors and other alternate managed care programs for participants.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ability to compete successfully varies from location to location and depends on a number of factors, including the number of payors who run competitive programs in the local market, our local reputation for quality participant care, the commitment and expertise of our medical staff or contracted health care providers, our local service offerings and community programs, the cost of care in each locality, and the physical appearance, location and condition of our centers. If we are unable to attract participants to our centers our revenue and profitability will be adversely affected. Some of our competitors may have greater brand recognition and be more established in their respective communities than we are, and may have greater financial and other resources than we have. Further, our current or potential competitors may be acquired by third parties with greater available resources. Competing providers may also offer different programs or services than we do, which, combined with the foregoing factors, may result in our competitors being more attractive to our current participants, potential participants and referral sources. Furthermore, while we budget for routine capital expenditures at our centers to keep them competitive in their respective markets, to the extent that competitive forces cause those expenditures to increase in the future, our financial condition may be negatively affected. In addition, our contracts with government payors are not exclusive for PACE programs in California, and competitors in California could seek to establish contracts with the state Medicaid agency and CMS to serve PACE eligible participants in our service areas. For example, the service area for our Sacramento, California center, opened July 1, 2020, overlaps with an existing PACE program in the region. Additionally, once restrictions on our ability to enroll participants as a result of the audits of our centers in Sacramento, California and Colorado and on our ability to open de novo centers as a result of actions taken by other states or us, are lifted or resolved, as we expand into new geographies, we may encounter competitors with stronger local community relationships or brand recognition, which could give those competitors an advantage in attracting new participants. Individual physicians, physician groups and companies in other healthcare industry segments, some of which have greater financial, marketing and staffing resources, may become competitors in providing health care services, and this competition may have a material adverse effect on our business operations and financial position.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presence is currently limited to Colorado, California, New Mexico, Pennsylvania and Virginia, and we may not be able to successfully establish a presence in new geographic markets.</w:t>
      </w:r>
    </w:p>
    <w:p>
      <w:pPr>
        <w:spacing w:after="0" w:line="13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currently operate in Colorado, California, New Mexico, Pennsylvania and Virginia. As described in Item 1A. Risk Factors, “ Risks Related to Our Business—We face inspections, reviews, audits and investigations under federal and state government programs and contracts. These audits require corrective actions and have resulted in adverse findings that have negatively affected and may continue to affect our business, including our results of operations, liquidity, financial condition and reputation,” as we continue to resolve current audits by CMS and other regulatory authorities, our ability to open de novo centers in current or new markets is uncertain and may be delayed. While we continue to provide services in our current centers, there can be no assurance when or if we will expand our operations into new geographic markets. For the year ended June 30, 2022, approximately half of our revenue was driven by our businesses in Colorado. As a result, our exposure to many of the risks described in these risk factors are not mitigated by a diversification of geographic focus. To continue to expand our operations to other regions of the United States, we will have to devote resources to identifying and exploring such perceived opportunities. Thereafter, we will have to, among other things, recruit and retain qualified personnel, develop new centers and establish new relationships or contracts with physicians and other healthcare and services providers. In addition, we will be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expand our operations in any new geographic markets.</w:t>
      </w:r>
    </w:p>
    <w:p>
      <w:pPr>
        <w:spacing w:after="0" w:line="149"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for physicians and other clinical personnel or other factors could increase our labor costs and adversely affect our revenue, profitability and cash flows.</w:t>
      </w:r>
    </w:p>
    <w:p>
      <w:pPr>
        <w:spacing w:after="0" w:line="11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dependent on the efforts, abilities and experience of our physicians and clinical personnel. We compete with other healthcare providers, primarily hospitals and other centers, in attracting physicians, nurses and medical staff to support our centers, and recruiting and retaining qualified management and support personnel responsible for the daily operations of each of our centers. In some markets, the lack of availability of clinical personnel, such as nurses and mental health professionals, has become a significant operating issue facing all healthcare providers, which situation was further exacerbated by the COVID-19 pandemic. This shortage has required us to enhance wages and benefits to recruit and retain qualified personnel or to contract for more expensive temporary personnel. For the years ended June 30, 2022 and 2021, our total center-level employee costs represented 18.5% and 17.7%, respectively, of our revenue. We also depend on the available labor pool of semi-skilled and unskilled workers in each of the markets in which we operate. A sustained labor shortage, caused by the COVID-19 pandemic or as a result of general macroeconomic conditions, could have a material adverse effect on our business, prospects and conditions.</w:t>
      </w:r>
    </w:p>
    <w:p>
      <w:pPr>
        <w:spacing w:after="0" w:line="16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labor costs have increased due to higher wage rates associated with the increased competitive labor market. Because the vast majority of our revenue consists of prospective monthly capitated, or fixed, payments per participant, our ability to pass along increased labor costs is limited. In particular, if labor costs rise at an annual rate greater than our net annual consumer price index basket update from Medicare, our results of operations and cash flows will likely be adversely affected. Any union activity at our centers that may occur in the future could contribute to increased labor costs. Certain proposed changes in federal labor laws and the National Labor Relations Board’s modification of its election procedures to allow for faster elections and absentee ballots could increase the likelihood of employee unionization attempts. Although none of our employees are currently represented by a collective bargaining agreement, to the extent a significant portion of our employee base unionizes, it is possible our labor costs could increase materially. Our failure to recruit and retain or contract with qualified management and medical personnel, or to control our labor costs, could have a material adverse effect on our business, prospects, results of operations and financial condition.</w:t>
      </w:r>
    </w:p>
    <w:p>
      <w:pPr>
        <w:spacing w:after="0" w:line="147"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w:t>
      </w:r>
    </w:p>
    <w:p>
      <w:pPr>
        <w:spacing w:after="0" w:line="13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create, receive, maintain, transmit, collect, store, use, disclose, share and process (collectively, “Process”) sensitive data, including protected health information (“PHI”) and other types of personal data or personally identifiable information (collectively, “PII” and, together with PHI, “PHI/PII”) relating to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employees, participants and others. We also Process and contract with third-party service providers to Process sensitive information, including PHI/PII, confidential information and other proprietary business information. We manage and maintain PHI/PII and other sensitive data and information using our on premise systems, and we plan to implement cloud-based computing center systems in the future. Third-party service providers that serve our participants may Process PHI/PII data either in their own on-site systems, at managed or co-located data centers, or in the cloud.</w:t>
      </w:r>
    </w:p>
    <w:p>
      <w:pPr>
        <w:spacing w:after="0" w:line="15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to securely Process PHI/PII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have occurred in the past, and have in the past and could in the future, create system disruptions, shutdowns or unauthorized access, acquisition, use, disclosure or modifications of such data or information, and could cause PHI/PII to be accessed, acquired, used, disclosed or modified without authorization, to be made publicly available, or to be further accessed, acquired, used or disclosed.</w:t>
      </w:r>
    </w:p>
    <w:p>
      <w:pPr>
        <w:spacing w:after="0" w:line="148"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use third-party service providers for important aspects of the Processing of employee and participant PHI/​PII and other confidential and sensitive data and information, and therefore rely on third parties to manage functions that have material cybersecurity risks. Because of the sensitivity of the PHI/PII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to address these risks; however, such policies and procedures may not address certain HIPAA requirements or address situations that could lead to increased privacy or security risks, and agreements with contractors and other third-party service providers who handle this PHI/PII and other sensitive data and information for us. However, some PACE organizations that we have acquired in the past or may acquire in the future may not have implemented such agreements with their third-party service providers, which may expose us to legal claims or proceedings, liability, and penalties. We may be required to expend significant capital and other resources to protect against security breaches, to safeguard the privacy, security, and confidentiality of PHI/PII and other sensitive data and information, to investigate, contain, remediate, and mitigate actual or potential security breaches, and/or to report security breaches to participants, employees, regulators, media, credit bureaus, and other third parties in accordance with applicable law and to offer complimentary credit monitoring, identity theft protection, and similar services to participants and/or employees where required by law or otherwise appropriate. Cyber-attacks are becoming more sophisticated, and frequent, and we or our third-party service providers may be unable to anticipate these techniques or to implement adequate protective measures against them or to prevent future attacks. The remote work environment as a result of COVID-19 has increased these risks. We exercise limited control over our third-party service providers and, in the case of some third-party service providers, may not have evaluated the adequacy of their security measures, which increases our vulnerability to problems with services they provide.</w:t>
      </w:r>
    </w:p>
    <w:p>
      <w:pPr>
        <w:spacing w:after="0" w:line="14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 security breach, security incident, or privacy violation that leads to unauthorized use, disclosure, access, acquisition, loss or modification of, or that prevents access to or otherwise impacts the confidentiality, security, or integrity of, participant or employee information, including PHI/PII that we or our third-party service providers Process, could harm our reputation and business,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participants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spacing w:after="0" w:line="16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If we or our third-party service providers are unable to prevent or mitigate security breaches, security incidents or privacy violations in the future,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participants, loss of reputation, adverse impacts on participant and investor confidence, financial loss, governmental investigations or other actions, regulatory or contractual penalties, and other claims and liability. In addition, security breaches and incidents and other compromise or inappropriate access to, or acquisition or processing of, PHI/PII or other sensitive data or information can be difficult to detect, and any delay in identifying such breaches or incidents or in providing timely notification of such incidents may lead to increased harm and increased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4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February 2021, we became aware that a former third-party service provider of acquired organizations was the victim of a ransomware attack that occurred in December 2020. We understand that this attack resulted in the unauthorized access and exfiltration of the PHI/PII of over 2,000 of our current and former participants. The third-party service provider engaged outside counsel and a forensic investigator to assist. To date, the service provider has reported this incident to affected participants, their personal representatives or their next of kin, the U.S. Department of Health and Human Rights Office for Civil Rights (“OCR”), media outlets, state regulators, and others, as required. Participants affected by the incident have been offered the opportunity to enroll in credit monitoring service at the service provider’s expense. To date, the service provider has advised that they have not received any reports or concerns regarding misuse or potential identity theft issues. However, it is possible that OCR and/or state regulators could nonetheless initiate investigations of the Company and/or the former third-party service provider in connection with the incident, that the Company could be subject to civil penalties, resolution agreements, monitoring or similar agreements, or third-party claims against the Company, including class-action lawsuits. Although this attack was against a former third-party service-provider, we remain responsible under HIPAA for our participant’s PHI/PII, and any failure on our part to comply with HIPAA in connection with such data could subject us to civil penalties, resolution agreements, monitoring or similar agreements or other enforcement action. The Company confirmed that this former third-party service provider has removed the PHI/PII of our participants from its servers, and the service provider has advised that all vulnerabilities in its environment and lack of security controls have been resolved.</w:t>
      </w:r>
    </w:p>
    <w:p>
      <w:pPr>
        <w:spacing w:after="0" w:line="149"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11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maintaining effective information systems as well as the integrity and timeliness of the data we use to serve our participants, support our care teams and operate our business. Because of the large amount of data that we collect and manage, it is possible that hardware or software failures or errors in our systems could result in data loss or corruption or cause the information that we collect to be incomplete or contain significant inaccuracies. If our data were found to be inaccurate or unreliable due to fraud or other error, or if we, or any of the third-party service providers we engage, were to fail to maintain information systems and data integrity effectively, we could experience operational disruptions that may impact our participants and providers and hinder our ability to provide services, retain and attract participants, manage our participant risk profiles, establish reserves, report financial results timely and accurately and maintain regulatory compliance, among other things.</w:t>
      </w:r>
    </w:p>
    <w:p>
      <w:pPr>
        <w:spacing w:after="0" w:line="16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information technology strategy and execution are critical to our continued success. We must continue to invest in long-term solutions that will enable us to anticipate participant needs and expectations, enhance the participant experience, act as a differentiator in the market and protect against cybersecurity risks and threats. Our success is dependent, in large part, on maintaining the effectiveness of existing technology systems and continuing to deliver technology systems that support our business processes in a cost-efficient and resource-efficient manner, including through maintaining relationships with third-party providers of technology. Increasing regulatory and legislative changes will place additional demands on our information technology infrastructure that could have a direct impact on resources available for other projects tied to our strategic initiatives. In addition, recent trends toward greater participant engagement in health care require new and enhanced technologies, including more sophisticated applications for mobile devices. Connectivity among technologies is becoming increasingly important. Our failure to effectively invest in and properly maintain the uninterrupted operation and data integrity of our information technology and other business systems could adversely affect our results of operations, financial position and cash flow.</w:t>
      </w:r>
    </w:p>
    <w:p>
      <w:pPr>
        <w:spacing w:after="0" w:line="14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accurately estimate incurred but not reported medical expenses or the risk scores of our participants could adversely affect our results of operations.</w:t>
      </w:r>
    </w:p>
    <w:p>
      <w:pPr>
        <w:spacing w:after="0" w:line="11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External provider costs include estimates of future medical claims that have been incurred by the participant but for which the provider has not yet billed. These claim estimates are made utilizing actuarial methods and are continually evaluated and adjusted by management, based upon our historical claims experience and other factors, including 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independent assessment by a nationally recognized actuarial firm. Positive or negative adjustments, if necessary, are made when the assumptions used to determine our claims liability change and when actual claim costs are ultimately determined.</w:t>
      </w:r>
    </w:p>
    <w:p>
      <w:pPr>
        <w:spacing w:after="0" w:line="135" w:lineRule="exact"/>
        <w:rPr>
          <w:sz w:val="20"/>
          <w:szCs w:val="20"/>
          <w:color w:val="auto"/>
        </w:rPr>
      </w:pPr>
    </w:p>
    <w:p>
      <w:pPr>
        <w:jc w:val="both"/>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Due to uncertainties associated with the factors used in these estimates and changes in the patterns and rates of medical utilization, materially different amounts could be reported in our financial statements for a particular period under different conditions or using different, but still reasonable, assumptions. It is possible that our estimates of this type of claim may be excessive or inadequate in the future and we may be obligated to repay certain amounts to CMS. In such event, our results of operations could be adversely impacted. Further, the inability to estimate these claims accurately may also affect our ability to take timely corrective actions, further exacerbating the extent of any adverse effect on our results of operations.</w:t>
      </w:r>
    </w:p>
    <w:p>
      <w:pPr>
        <w:spacing w:after="0" w:line="13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our operational and financial results will experience some variability depending upon the time of year in which they are measured. For example, medical costs vary seasonally depending primarily on the weather because certain illnesses, such as the influenza virus, are far more prevalent during colder months of the year. It is still uncertain if the virus that causes COVID-19 will follow seasonal patterns and whether, as a result, the seasonality of our results will change in the future. Historically, we have seen higher levels of per-participant medical costs in the second and third quarters of our fiscal year.</w:t>
      </w:r>
    </w:p>
    <w:p>
      <w:pPr>
        <w:spacing w:after="0" w:line="143"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services and subject us to possible litigation.</w:t>
      </w:r>
    </w:p>
    <w:p>
      <w:pPr>
        <w:spacing w:after="0" w:line="13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use open source software in connection with our services.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Such litigation could be costly and time consuming, divert the attention of management, and the outcomes may not be favorable. While the use of open source software may reduce development costs and speed up the development process, it may also present certain risks that may be greater than those associated with the use of third-party commercial software. For example, open source software is generally provided without any warranties or other contractual protections regarding infringement or the quality of the code, including the existence of security vulnerabilities.</w:t>
      </w:r>
    </w:p>
    <w:p>
      <w:pPr>
        <w:spacing w:after="0" w:line="144"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lease approximately half of our centers and may experience risks relating to lease termination, lease expense escalators, lease extensions and special charges.</w:t>
      </w:r>
    </w:p>
    <w:p>
      <w:pPr>
        <w:spacing w:after="0" w:line="11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currently lease eight of our 18 centers. Our leases typically have terms of nine years, and generally provide for renewal or extension options for an average total potential term of approximately 25 years. Each of our lease agreements provides that the lessor may terminate the lease, subject to applicable cure provisions, for a number of reasons, including the defaults in any payment of rent, taxes or other payment obligations or the breach of any other covenant or agreement in the lease. If a lease agreement is terminated, there can be no assurance that we will be able to enter into a new lease agreement on similar or better terms or at all.</w:t>
      </w:r>
    </w:p>
    <w:p>
      <w:pPr>
        <w:spacing w:after="0" w:line="160" w:lineRule="exact"/>
        <w:rPr>
          <w:sz w:val="20"/>
          <w:szCs w:val="20"/>
          <w:color w:val="auto"/>
        </w:rPr>
      </w:pPr>
    </w:p>
    <w:p>
      <w:pPr>
        <w:jc w:val="both"/>
        <w:ind w:left="60" w:right="59" w:firstLine="324"/>
        <w:spacing w:after="0" w:line="263" w:lineRule="auto"/>
        <w:rPr>
          <w:sz w:val="20"/>
          <w:szCs w:val="20"/>
          <w:color w:val="auto"/>
        </w:rPr>
      </w:pPr>
      <w:r>
        <w:rPr>
          <w:rFonts w:ascii="Times New Roman" w:cs="Times New Roman" w:eastAsia="Times New Roman" w:hAnsi="Times New Roman"/>
          <w:sz w:val="18"/>
          <w:szCs w:val="18"/>
          <w:color w:val="auto"/>
        </w:rPr>
        <w:t>Our lease obligations often include annual fixed rent escalators ranging between 2% and 3%. These escalators could impact our ability to satisfy certain obligations and financial covenants. If the results of our operations do not increase at or above the escalator rates, it would place an additional burden on our results of operations, liquidity and financial position.</w:t>
      </w:r>
    </w:p>
    <w:p>
      <w:pPr>
        <w:spacing w:after="0" w:line="35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If we continue to expand, we may have leases with different start dates, and it is likely that some number of our leases will expire each year. Our lease agreements often provide for renewal or extension options. There can be no assurance that these rights will be exercised in the future or that we will be able to satisfy the conditions precedent to exercising any such renewal or extension. In addition, if we are unable to renew or extend any of our leases, we may lose the center subject to that lease agreement. If we are not able to renew or extend our leases at or prior to the end of the existing lease terms, or if the terms of such options are unfavorable or unacceptable to us, our business, financial condition and results of operation could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Leasing centers pursuant to binding lease agreements may limit our ability to exit markets. For instance, if one center under a lease has a delayed opening or becomes unprofitable, we have been and may be required to continue making payments under such lease agreement or continue operating such center. We could incur special charges relating to the closing operations of such facility, including lease termination costs, impairment charges and other special charges that would reduce our profits and could have a material adverse effect on our business, financial condition or results of operations.</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failure to pay the rent or otherwise comply with the provisions of any of our lease agreements could result in an “event of default” under such lease agreement and also could result in a cross default under other lease agreements and agreements for our indebtedness. Upon an event of default, remedies available to our landlords generally include, without limitation, terminating such lease agreement, repossessing and reletting the leased properties and requiring us to remain liable for all obligations under such lease agreement, including the difference between the rent under such lease agreement and the rent payable as a result of reletting the leased properties, or requiring us to pay the net present value of the rent due for the balance of the term of such lease agreement. The exercise of such remedies could have a material adverse effect on our business, financial position, results of operations and liquidity.</w:t>
      </w:r>
    </w:p>
    <w:p>
      <w:pPr>
        <w:spacing w:after="0" w:line="147" w:lineRule="exact"/>
        <w:rPr>
          <w:sz w:val="20"/>
          <w:szCs w:val="20"/>
          <w:color w:val="auto"/>
        </w:rPr>
      </w:pPr>
    </w:p>
    <w:p>
      <w:pPr>
        <w:ind w:left="60" w:right="2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believe that our people are our best product. This culture is vital to our success, and if we are not successful in attracting, hiring, and retaining purpose-driven talent to deliver quality participant care, our business may be harmed.</w:t>
      </w:r>
    </w:p>
    <w:p>
      <w:pPr>
        <w:spacing w:after="0" w:line="9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that people are our product and that it is the most important element in what we do—this extends from our staff to our participants. Our culture has been and will continue to be a critical contributor to our success as a PACE provider. Subject to labor market constraints, we expect to continue to hire additional personnel to deliver on the mission at InnovAge. If we do not continue to develop and evolve our corporate culture or maintain and preserve our core values as we grow, we may be unable to foster the collaborative environment that underpins the integrated care delivery model, which could harm our business.</w:t>
      </w:r>
    </w:p>
    <w:p>
      <w:pPr>
        <w:spacing w:after="0" w:line="15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centers have been and may be negatively impacted by public health emergencies, such as the COVID-19 pandemic, weather and other factors beyond our control.</w:t>
      </w:r>
    </w:p>
    <w:p>
      <w:pPr>
        <w:spacing w:after="0" w:line="11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results of operations have been and may in the future be negatively impacted by adverse conditions affecting our centers, including severe weather events such as tornadoes, hurricanes and widespread winter storms, earthquakes, public health concerns such as contagious disease outbreaks, epidemics and pandemics, such as the COVID-19 pandemic, violence or threats of violence or other factors beyond our control that cause disruption in provision of participant services, displacement of our participants, employees and care teams, or force certain of our centers to close temporarily. Our insurance coverage may not compensate us for losses that may occur in the event of an earthquake or other significant natural disaster. In certain geographic areas, we have a large concentration of centers that may be simultaneously affected by pandemics, such as the COVID-19 pandemic, adverse weather conditions or other events. Our future operating results may be adversely affected by these and other factors that disrupt the operation of our centers.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98"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Allegations of failure and failure to adhere to all of the complex government laws and regulations that apply to our business have had and could in the future have material adverse effect on our business, results of operations, financial condition, cash flows, reputation and stock price.</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operations are subject to extensive federal, state and local government laws and regulations, such as:</w:t>
      </w:r>
    </w:p>
    <w:p>
      <w:pPr>
        <w:spacing w:after="0" w:line="225" w:lineRule="exact"/>
        <w:rPr>
          <w:sz w:val="20"/>
          <w:szCs w:val="20"/>
          <w:color w:val="auto"/>
        </w:rPr>
      </w:pPr>
    </w:p>
    <w:p>
      <w:pPr>
        <w:ind w:left="1180" w:hanging="482"/>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Medicaid, and PACE statutes and regulations;</w:t>
      </w:r>
    </w:p>
    <w:p>
      <w:pPr>
        <w:spacing w:after="0" w:line="225" w:lineRule="exact"/>
        <w:rPr>
          <w:rFonts w:ascii="Times New Roman" w:cs="Times New Roman" w:eastAsia="Times New Roman" w:hAnsi="Times New Roman"/>
          <w:sz w:val="18"/>
          <w:szCs w:val="18"/>
          <w:color w:val="auto"/>
        </w:rPr>
      </w:pPr>
    </w:p>
    <w:p>
      <w:pPr>
        <w:jc w:val="both"/>
        <w:ind w:left="1220" w:right="79" w:hanging="495"/>
        <w:spacing w:after="0" w:line="261"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anti-kickback laws, which prohibit, among other things, the knowing and willful offer, payment, solicitation or receipt of any bribe, kickback or remuneration, whether in cash or in kind, for referring an individual, in return for ordering, leasing, purchasing or recommending or arranging for or to induce the referral of an individual or the ordering, purchasing or leasing of items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20" w:right="79"/>
        <w:spacing w:after="0" w:line="282" w:lineRule="auto"/>
        <w:rPr>
          <w:sz w:val="20"/>
          <w:szCs w:val="20"/>
          <w:color w:val="auto"/>
        </w:rPr>
      </w:pPr>
      <w:r>
        <w:rPr>
          <w:rFonts w:ascii="Times New Roman" w:cs="Times New Roman" w:eastAsia="Times New Roman" w:hAnsi="Times New Roman"/>
          <w:sz w:val="18"/>
          <w:szCs w:val="18"/>
          <w:color w:val="auto"/>
        </w:rPr>
        <w:t>or services covered, in whole or in part, by federal healthcare programs, such as Medicare and Medicaid, or by any payor;</w:t>
      </w:r>
    </w:p>
    <w:p>
      <w:pPr>
        <w:spacing w:after="0" w:line="162" w:lineRule="exact"/>
        <w:rPr>
          <w:sz w:val="20"/>
          <w:szCs w:val="20"/>
          <w:color w:val="auto"/>
        </w:rPr>
      </w:pPr>
    </w:p>
    <w:p>
      <w:pPr>
        <w:jc w:val="both"/>
        <w:ind w:left="1220" w:right="79" w:hanging="495"/>
        <w:spacing w:after="0" w:line="255"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laws, including the FCA and associated regulations, which impose civil penalties through governmental, whistleblower or qui tam actions, on individuals or entities for, among other things, knowingly submitting false or fraudulent claims for payment to the government or knowingly making, or causing to be made, a false statement in order to have a claim paid. When an entity is determined to have violated the FCA, the government may impose civil fines and penalties ranging from $12,537 to $25,076 for each false claim, plus treble damages, and exclude the entity from participation in Medicare, Medicaid and other federal healthcare programs;</w:t>
      </w:r>
    </w:p>
    <w:p>
      <w:pPr>
        <w:spacing w:after="0" w:line="188" w:lineRule="exact"/>
        <w:rPr>
          <w:rFonts w:ascii="Times New Roman" w:cs="Times New Roman" w:eastAsia="Times New Roman" w:hAnsi="Times New Roman"/>
          <w:sz w:val="18"/>
          <w:szCs w:val="18"/>
          <w:color w:val="auto"/>
        </w:rPr>
      </w:pPr>
    </w:p>
    <w:p>
      <w:pPr>
        <w:jc w:val="both"/>
        <w:ind w:left="1220" w:right="79" w:hanging="495"/>
        <w:spacing w:after="0" w:line="289"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laws, which impose criminal penalties on individuals who make or present a false, fictitious, or fraudulent claim to the government that the individual knew was false, fictitious, or fraudulent, and was made with the specific intent to violate the law or with a consciousness of wrongdoing;</w:t>
      </w:r>
    </w:p>
    <w:p>
      <w:pPr>
        <w:spacing w:after="0" w:line="157" w:lineRule="exact"/>
        <w:rPr>
          <w:rFonts w:ascii="Times New Roman" w:cs="Times New Roman" w:eastAsia="Times New Roman" w:hAnsi="Times New Roman"/>
          <w:sz w:val="17"/>
          <w:szCs w:val="17"/>
          <w:color w:val="auto"/>
        </w:rPr>
      </w:pPr>
    </w:p>
    <w:p>
      <w:pPr>
        <w:jc w:val="both"/>
        <w:ind w:left="1220" w:right="79" w:hanging="495"/>
        <w:spacing w:after="0" w:line="266"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false claims laws, which generally follow the FCA and apply to claims submitted to state healthcare programs, and state health insurance fraud laws that impose penalties for the submission of false or fraudulent claims by providers to commercial insurers or other payors of healthcare services;</w:t>
      </w:r>
    </w:p>
    <w:p>
      <w:pPr>
        <w:spacing w:after="0" w:line="175" w:lineRule="exact"/>
        <w:rPr>
          <w:rFonts w:ascii="Times New Roman" w:cs="Times New Roman" w:eastAsia="Times New Roman" w:hAnsi="Times New Roman"/>
          <w:sz w:val="18"/>
          <w:szCs w:val="18"/>
          <w:color w:val="auto"/>
        </w:rPr>
      </w:pPr>
    </w:p>
    <w:p>
      <w:pPr>
        <w:jc w:val="both"/>
        <w:ind w:left="1220" w:right="79" w:hanging="495"/>
        <w:spacing w:after="0" w:line="256"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Statute and associated regulations, which impose civil fines for, among other things, the offering or transfer of remuneration to a Medicare or state healthcare program beneficiary if the person knows or should know such remuneration is likely to influence the beneficiary’s selection of a particular provider or supplier of services reimbursable by Medicare or a state healthcare program, unless an exception applies, and which authorize assessments and program exclusion for various forms of fraud and abuse involving the Medicare and Medicaid programs;</w:t>
      </w:r>
    </w:p>
    <w:p>
      <w:pPr>
        <w:spacing w:after="0" w:line="187" w:lineRule="exact"/>
        <w:rPr>
          <w:rFonts w:ascii="Times New Roman" w:cs="Times New Roman" w:eastAsia="Times New Roman" w:hAnsi="Times New Roman"/>
          <w:sz w:val="18"/>
          <w:szCs w:val="18"/>
          <w:color w:val="auto"/>
        </w:rPr>
      </w:pPr>
    </w:p>
    <w:p>
      <w:pPr>
        <w:jc w:val="both"/>
        <w:ind w:left="1220" w:right="79" w:hanging="495"/>
        <w:spacing w:after="0" w:line="266"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fraud statute and its implementing regulations, which created federal criminal laws that prohibit, among other things, executing or attempting to execute a scheme to defraud any healthcare benefit program or making false statements relating to healthcare matters;</w:t>
      </w:r>
    </w:p>
    <w:p>
      <w:pPr>
        <w:spacing w:after="0" w:line="175" w:lineRule="exact"/>
        <w:rPr>
          <w:rFonts w:ascii="Times New Roman" w:cs="Times New Roman" w:eastAsia="Times New Roman" w:hAnsi="Times New Roman"/>
          <w:sz w:val="18"/>
          <w:szCs w:val="18"/>
          <w:color w:val="auto"/>
        </w:rPr>
      </w:pPr>
    </w:p>
    <w:p>
      <w:pPr>
        <w:jc w:val="both"/>
        <w:ind w:left="1220" w:right="79" w:hanging="495"/>
        <w:spacing w:after="0" w:line="261"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regarding the collection, use disclosure and, protection of personal identifiable information or PII and protected health information or PHI (e.g., HIPAA, CCPA) and the storage, handling, shipment, disposal and/or dispensing of pharmaceuticals and blood products and other biological materials, and many other applicable state and federal laws and requirements;</w:t>
      </w:r>
    </w:p>
    <w:p>
      <w:pPr>
        <w:spacing w:after="0" w:line="179" w:lineRule="exact"/>
        <w:rPr>
          <w:rFonts w:ascii="Times New Roman" w:cs="Times New Roman" w:eastAsia="Times New Roman" w:hAnsi="Times New Roman"/>
          <w:sz w:val="18"/>
          <w:szCs w:val="18"/>
          <w:color w:val="auto"/>
        </w:rPr>
      </w:pPr>
    </w:p>
    <w:p>
      <w:pPr>
        <w:ind w:left="1220" w:hanging="495"/>
        <w:spacing w:after="0"/>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statutes and regulations that govern workplace health and safety;</w:t>
      </w:r>
    </w:p>
    <w:p>
      <w:pPr>
        <w:spacing w:after="0" w:line="225" w:lineRule="exact"/>
        <w:rPr>
          <w:rFonts w:ascii="Times New Roman" w:cs="Times New Roman" w:eastAsia="Times New Roman" w:hAnsi="Times New Roman"/>
          <w:sz w:val="18"/>
          <w:szCs w:val="18"/>
          <w:color w:val="auto"/>
        </w:rPr>
      </w:pPr>
    </w:p>
    <w:p>
      <w:pPr>
        <w:jc w:val="both"/>
        <w:ind w:left="1220" w:right="79" w:hanging="495"/>
        <w:spacing w:after="0" w:line="261"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policies that require healthcare providers to maintain licensure, certification or accreditation to provide services to patients or to enroll and participate in the Medicaid programs, to report certain changes in their operations to the agencies that administer these programs and, in some cases, to re-enroll in these programs when changes in direct or indirect ownership occur;</w:t>
      </w:r>
    </w:p>
    <w:p>
      <w:pPr>
        <w:spacing w:after="0" w:line="179" w:lineRule="exact"/>
        <w:rPr>
          <w:rFonts w:ascii="Times New Roman" w:cs="Times New Roman" w:eastAsia="Times New Roman" w:hAnsi="Times New Roman"/>
          <w:sz w:val="18"/>
          <w:szCs w:val="18"/>
          <w:color w:val="auto"/>
        </w:rPr>
      </w:pPr>
    </w:p>
    <w:p>
      <w:pPr>
        <w:ind w:left="1220" w:right="79" w:hanging="495"/>
        <w:spacing w:after="0" w:line="282"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scope of practice and other laws pertaining to the provision of services by qualified health care providers;</w:t>
      </w:r>
    </w:p>
    <w:p>
      <w:pPr>
        <w:spacing w:after="0" w:line="161" w:lineRule="exact"/>
        <w:rPr>
          <w:rFonts w:ascii="Times New Roman" w:cs="Times New Roman" w:eastAsia="Times New Roman" w:hAnsi="Times New Roman"/>
          <w:sz w:val="18"/>
          <w:szCs w:val="18"/>
          <w:color w:val="auto"/>
        </w:rPr>
      </w:pPr>
    </w:p>
    <w:p>
      <w:pPr>
        <w:ind w:left="1220" w:right="79" w:hanging="495"/>
        <w:spacing w:after="0" w:line="282"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or state consumer protection laws that regulate various trade practices (e.g. consumer communications or consumer-facing activities); and</w:t>
      </w:r>
    </w:p>
    <w:p>
      <w:pPr>
        <w:spacing w:after="0" w:line="161" w:lineRule="exact"/>
        <w:rPr>
          <w:rFonts w:ascii="Times New Roman" w:cs="Times New Roman" w:eastAsia="Times New Roman" w:hAnsi="Times New Roman"/>
          <w:sz w:val="18"/>
          <w:szCs w:val="18"/>
          <w:color w:val="auto"/>
        </w:rPr>
      </w:pPr>
    </w:p>
    <w:p>
      <w:pPr>
        <w:ind w:left="1220" w:right="79" w:hanging="495"/>
        <w:spacing w:after="0" w:line="282" w:lineRule="auto"/>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pertaining to the provision of services by nurse practitioners and physician assistants in certain settings, including physician supervision of those services.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to the above, PACE contracts also impose complex and extensive requirements upon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manuals, policies, and other guidance may also affect our operations.</w:t>
      </w:r>
    </w:p>
    <w:p>
      <w:pPr>
        <w:spacing w:after="0" w:line="20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various laws, regulations and agency guidance that apply or relate to our operations are often subject to varying interpretations, and additional laws and regulations potentially affecting healthcare organizations continue to be promulgated and issued. A violation or departure from any of the legal requirements applicable to our business may result in, among other things, government audits, decreased payment rates, significant fines and penalties, the potential loss of licensure or certification, recoupment efforts or retractions of reimbursement previously paid, voluntary repayments, exclusion from governmental healthcare programs, written warnings, corrective action plans, monitoring, reputational harm, suspension of new enrollment or the restriction of current enrollment, the withholding of payments under the PACE program agreement, and termination of the PACE program agreement. These legal requirements may be civil or administrative in nature. We are subject to federal and state regulations that require PACE organizations to maintain fiscally sound operations, as defined by CMS and applicable state agencies. We submit regular financial reports to governmental authorities and are subject to routine financial reviews and audits by both CMS and state agencies. For example, federal and state governments evaluate our assets and liabilities, cash flows, and net operating surpluses against specific regulatory requirements. From time to time, federal and state authorities may identify aspects of the finances of our PACE organizations that do not comply with federal or state requirements and may require us to submit clarifications and/or take action to adjust the capitalization or other financial status of such entities.</w:t>
      </w:r>
    </w:p>
    <w:p>
      <w:pPr>
        <w:spacing w:after="0" w:line="15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endeavor to comply with all legal requirements. We further endeavor to structure all of our relationships with physicians, providers, and other third parties to comply with state and federal anti-kickback laws and other applicable healthcare laws. We utilize considerable resources to monitor laws and regulations and implement necessary changes. However, the laws and regulations in these areas are complex, changing and often subject to varying interpretations, and any failure to satisfy applicable laws and regulations could have a material adverse impact on our business, results of operations, financial condition, cash flows and reputation. We may face penalties, including penalties under the FCA, if we fail to report and return government overpayments within 60 days of when the overpayment is identified and quantified. See Item 1A. Risk Factors, “Risks Related to Our Business—We are subject to legal proceedings, enforcement actions and litigation, malpractice and privacy disputes, which are costly to defend and could materially harm our business and results of operations.” Additionally, the federal government has used the FCA to prosecute a wide variety of alleged false claims and fraud allegedly perpetrated against Medicare, Medicaid and other federally funded health care programs. Moreover, amendments to the federal Anti-Kickback Statute in the ACA make claims tainted by Anti-Kickback Statute violations subject to liability under the FCA, including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or whistleblower suits. In recent years, the number of suits brought in the medical industry by private individuals has increased dramatically. Given the high volume of claims processed by our various operating units, the potential is high for substantial penalties in connection with any alleged FCA violations.</w:t>
      </w:r>
    </w:p>
    <w:p>
      <w:pPr>
        <w:spacing w:after="0" w:line="15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provisions of the FCA, the federal government can use several criminal statutes to prosecute persons who are alleged to have submitted false or fraudulent claims for payment to the federal government.</w:t>
      </w:r>
    </w:p>
    <w:p>
      <w:pPr>
        <w:spacing w:after="0" w:line="13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If any of our operations are found to violate these or other government laws or regulations, we could suffer severe consequences that would have a material adverse effect on our business, results of operations, financial condition, cash flows, reputation and stock price, including:</w:t>
      </w:r>
    </w:p>
    <w:p>
      <w:pPr>
        <w:spacing w:after="0" w:line="176" w:lineRule="exact"/>
        <w:rPr>
          <w:sz w:val="20"/>
          <w:szCs w:val="20"/>
          <w:color w:val="auto"/>
        </w:rPr>
      </w:pPr>
    </w:p>
    <w:p>
      <w:pPr>
        <w:ind w:left="1220" w:hanging="495"/>
        <w:spacing w:after="0"/>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termination or exclusion of our participation in government payment programs;</w:t>
      </w:r>
    </w:p>
    <w:p>
      <w:pPr>
        <w:spacing w:after="0" w:line="225" w:lineRule="exact"/>
        <w:rPr>
          <w:rFonts w:ascii="Times New Roman" w:cs="Times New Roman" w:eastAsia="Times New Roman" w:hAnsi="Times New Roman"/>
          <w:sz w:val="18"/>
          <w:szCs w:val="18"/>
          <w:color w:val="auto"/>
        </w:rPr>
      </w:pPr>
    </w:p>
    <w:p>
      <w:pPr>
        <w:ind w:left="1220" w:right="79" w:hanging="495"/>
        <w:spacing w:after="0" w:line="282" w:lineRule="auto"/>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amounts received in violation of law or applicable payment program requirements dating back to the applicable statute of limitation periods;</w:t>
      </w:r>
    </w:p>
    <w:p>
      <w:pPr>
        <w:spacing w:after="0" w:line="161" w:lineRule="exact"/>
        <w:rPr>
          <w:rFonts w:ascii="Times New Roman" w:cs="Times New Roman" w:eastAsia="Times New Roman" w:hAnsi="Times New Roman"/>
          <w:sz w:val="18"/>
          <w:szCs w:val="18"/>
          <w:color w:val="auto"/>
        </w:rPr>
      </w:pPr>
    </w:p>
    <w:p>
      <w:pPr>
        <w:ind w:left="1220" w:right="79" w:hanging="495"/>
        <w:spacing w:after="0" w:line="282" w:lineRule="auto"/>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licenses required to operate healthcare centers, complete certain limited lab testing or administer prescription drugs in the states in which we operate;</w:t>
      </w:r>
    </w:p>
    <w:p>
      <w:pPr>
        <w:spacing w:after="0" w:line="161" w:lineRule="exact"/>
        <w:rPr>
          <w:rFonts w:ascii="Times New Roman" w:cs="Times New Roman" w:eastAsia="Times New Roman" w:hAnsi="Times New Roman"/>
          <w:sz w:val="18"/>
          <w:szCs w:val="18"/>
          <w:color w:val="auto"/>
        </w:rPr>
      </w:pPr>
    </w:p>
    <w:p>
      <w:pPr>
        <w:jc w:val="both"/>
        <w:ind w:left="1220" w:right="79" w:hanging="495"/>
        <w:spacing w:after="0" w:line="266" w:lineRule="auto"/>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or civil liability, fines, damages or monetary penalties for violations of healthcare fraud and abuse laws, including the Anti-Kickback Statute, Civil Monetary Penalties Statute and FCA, or other failures to meet regulatory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220" w:right="79" w:hanging="495"/>
        <w:spacing w:after="0" w:line="258"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by governmental agencies or state attorneys general and/or state law claims for monetary damages by patients or employees who believe their PHI/PII has been impermissibly used or disclosed or not properly safeguarded, or their rights with respect to PHI/PII have been protected, in violation of federal or state health privacy laws, including, for example and without limitation, HIPAA, CCPA, and the Privacy Act of 1974;</w:t>
      </w:r>
    </w:p>
    <w:p>
      <w:pPr>
        <w:spacing w:after="0" w:line="183" w:lineRule="exact"/>
        <w:rPr>
          <w:rFonts w:ascii="Times New Roman" w:cs="Times New Roman" w:eastAsia="Times New Roman" w:hAnsi="Times New Roman"/>
          <w:sz w:val="18"/>
          <w:szCs w:val="18"/>
          <w:color w:val="auto"/>
        </w:rPr>
      </w:pPr>
    </w:p>
    <w:p>
      <w:pPr>
        <w:ind w:left="1220" w:hanging="495"/>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changes to our practices or procedures that significantly increase operating expenses;</w:t>
      </w:r>
    </w:p>
    <w:p>
      <w:pPr>
        <w:spacing w:after="0" w:line="225" w:lineRule="exact"/>
        <w:rPr>
          <w:rFonts w:ascii="Times New Roman" w:cs="Times New Roman" w:eastAsia="Times New Roman" w:hAnsi="Times New Roman"/>
          <w:sz w:val="18"/>
          <w:szCs w:val="18"/>
          <w:color w:val="auto"/>
        </w:rPr>
      </w:pPr>
    </w:p>
    <w:p>
      <w:pPr>
        <w:jc w:val="both"/>
        <w:ind w:left="1220" w:right="79" w:hanging="495"/>
        <w:spacing w:after="0" w:line="263"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and compliance with corporate integrity agreements, monitoring agreements or corrective action plans that could subject us to ongoing audits and reporting requirements as well as increased scrutiny of our billing and business practices which could lead to potential fines, among other things;</w:t>
      </w:r>
    </w:p>
    <w:p>
      <w:pPr>
        <w:spacing w:after="0" w:line="399" w:lineRule="exact"/>
        <w:rPr>
          <w:rFonts w:ascii="Times New Roman" w:cs="Times New Roman" w:eastAsia="Times New Roman" w:hAnsi="Times New Roman"/>
          <w:sz w:val="18"/>
          <w:szCs w:val="18"/>
          <w:color w:val="auto"/>
        </w:rPr>
      </w:pPr>
    </w:p>
    <w:p>
      <w:pPr>
        <w:ind w:left="1220" w:right="79" w:hanging="495"/>
        <w:spacing w:after="0" w:line="282"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various relationships and/or contracts related to our business, including joint venture arrangements, real estate leases and consulting agreements; and</w:t>
      </w:r>
    </w:p>
    <w:p>
      <w:pPr>
        <w:spacing w:after="0" w:line="161" w:lineRule="exact"/>
        <w:rPr>
          <w:rFonts w:ascii="Times New Roman" w:cs="Times New Roman" w:eastAsia="Times New Roman" w:hAnsi="Times New Roman"/>
          <w:sz w:val="18"/>
          <w:szCs w:val="18"/>
          <w:color w:val="auto"/>
        </w:rPr>
      </w:pPr>
    </w:p>
    <w:p>
      <w:pPr>
        <w:jc w:val="both"/>
        <w:ind w:left="1220" w:right="79" w:hanging="495"/>
        <w:spacing w:after="0" w:line="266"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which could negatively impact our business relationships, affect our ability to attract and retain participants and healthcare professionals, affect our ability to obtain financing and decrease access to new business opportunities, among other things.</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from time to time, and may in the future be, a party to various lawsuits, demands, claims, governmental investigations, and audits (including investigations or other actions resulting from our obligation to self-report suspected violations of law) and other legal matters. Responding to subpoenas, requests for information, investigations and other lawsuits, claims and legal proceedings as well as defending ourselves in such matters will require management’s attention and cause us to incur significant legal expense. Negative findings or terms and conditions that we might agree to accept as part of a negotiated resolution of such matters could result in, among other things, substantial financial penalties or awards against us, substantial payments made by us, harm to our reputation, required changes to our business practices, exclusion from future participation in the Medicare, Medicaid and other healthcare programs and, in certain cases, criminal penalties, any of which could have a material adverse effect on our business. It is possible that criminal proceedings may be initiated against us and/or individuals in our business in connection with investigations by the federal government. The results of such lawsuits cannot be predicted. Qui tam actions are filed under seal and impose a mandatory duty on the U.S. Department of Justice to investigate such allegations, and because qui tam suits are filed under seal, we could be subject to suits of which we are not aware or have been ordered by the presiding court not to discuss or disclose.</w:t>
      </w:r>
    </w:p>
    <w:p>
      <w:pPr>
        <w:spacing w:after="0" w:line="16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our healthcare professionals and the centers in which we operate, are subject to various federal, state and local licensing, certification and other laws and regulations, relating to, among other things, the quality of medical care, equipment, privacy of health information, physician relationships, telehealth, personnel and operating policies and procedures. Failure to comply with these licensing and certification laws, regulations and standards could result in cessation of our services, prior payments by government payors being subject to recoupment, corrective action plans, the suspension of participant enrollment or requirements to make significant changes to our operations and can give rise to civil or, in extreme cases, criminal penalties. We routinely take the steps we believe are necessary to retain or obtain all requisite licensure and operating authorities. While we endeavor to comply with federal, state and local licensing and certification laws and regulations and standards as we interpret them, the laws and regulations in these areas are complex, changing and often subject to varying interpretations. Any failure to satisfy applicable laws and regulations could have a material adverse impact on our business, results of operations, financial condition, cash flows and reputation.</w:t>
      </w:r>
    </w:p>
    <w:p>
      <w:pPr>
        <w:spacing w:after="0" w:line="147"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adapt to changes in the healthcare industry, including changes to laws and regulations regarding or affecting U.S. healthcare reform, our business may be harmed.</w:t>
      </w:r>
    </w:p>
    <w:p>
      <w:pPr>
        <w:spacing w:after="0" w:line="11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Due to the importance of the healthcare industry in the lives of all Americans, federal, state, and local legislative bodies frequently pass legislation and administrative agencies promulgate regulations relating to healthcare reform or that affect the healthcare industry. As has been the trend in recent years, it is reasonable to assume that there will continue to be increased government oversight and regulation of the healthcare industry in the future. We cannot assure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stockholders as to the ultimate content, timing or effect of any new healthcare legislation or regulations, nor is it possible at this time to estimate the impact of potential new legislation or regulations on our business.</w:t>
      </w:r>
    </w:p>
    <w:p>
      <w:pPr>
        <w:spacing w:after="0" w:line="13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Since nearly all of our revenue is derived from government payors, we are always subject to regulatory changes. Federal and state legislators routinely introduce and consider proposed legislation that would impact Medicare, Medicaid, and PACE funding and operations, and state and federal agencies also consider and implement regulations and guidance that impact our business. We cannot predict with certainty what impact any federal and state healthcare legislation or regulation will have on us, but such changes could impose new and/or more stringent regulatory requirements on our activities or result in reduced capitated payments, any of which could adversely affect our business, financial condition, and results of operations.</w:t>
      </w:r>
    </w:p>
    <w:p>
      <w:pPr>
        <w:spacing w:after="0" w:line="14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It is possible that future legislation enacted by Congress or state legislatures, or regulations promulgated by regulatory authorities at the federal or state level, could adversely affect our business or could change the operating environment of our community centers. It is possible that the changes to Medicare, Medicaid or other governmental healthcare program reimbursement policies may serve as precedent to possible changes in other government payors’ programs in a manner that adversely impacts the capitation payment arrangements with us. Similarly, changes in private payor reimbursement policies could lead to adverse changes in Medicare, Medicaid and other governmental healthcare programs, which could have a material adverse effect on our business, financial condition and results of operations.</w:t>
      </w:r>
    </w:p>
    <w:p>
      <w:pPr>
        <w:spacing w:after="0" w:line="14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we have structured our agreements and operations in material compliance with applicable healthcare laws and regulations, there can be no assurance that regulators will agree with our approach or that we will be able to successfully address changes in the current legislative and regulatory environment.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61"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3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Some of the states in which we currently operate have laws that prohibit business entities, such as us, from practicing medicine, employing physicians to practice medicine, exercising control over medical decisions by physicians or engaging in certain arrangements, such as fee-splitting, with physicians (such activities generally referred to as the “corporate practice of medicine”). In some states, these prohibitions are expressly stated in a statute or regulation, while in other states the prohibition is a matter of judicial or regulatory interpretation. For example, in Pennsylvania, the statutes that pertain to the employment of health care practitioners by health care centers do not explicitly include a PACE organization in the list of health care centers by which a health care practitioner may be employed. Other states in which we may operate in the future may also generally prohibit the corporate practice of medicine. While we endeavor to comply with state corporate practice of medicine laws and regulations as we interpret them, the laws and regulations in these areas are complex, changing, and often subject to varying interpretations. The interpretation and enforcement of these laws vary significantly from state to state.</w:t>
      </w:r>
    </w:p>
    <w:p>
      <w:pPr>
        <w:spacing w:after="0" w:line="1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Penalties for violations of the corporate practice of medicine vary by state and may result in physicians being subject to disciplinary action, as well as forfeiture of revenues from payors for services rendered. For business entities, such as us, violations may also bring both civil and, in more extreme cases, criminal liability for engaging in medical practice without a license.</w:t>
      </w:r>
    </w:p>
    <w:p>
      <w:pPr>
        <w:spacing w:after="0" w:line="15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Some of the relevant laws, regulations and agency interpretations in states with corporate practice of medicine restrictions have been subject to limited judicial and regulatory interpretation. State laws or regulations prohibiting the corporate practice of medicine may contemplate the employment of physicians by certain types of entities, but may not provide a specific exemption for PACE organizations. State laws and regulations are subject to change. Regulatory authorities and other parties may assert that our employment of physicians in some states means that we are engaged in the prohibited corporate practice of medicine. If this were to occur, we could be subject to civil and/or criminal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agreements with physicians could be found legally invalid and unenforceable (in whole or in part) or we could be required to restructure our arrangements with respect to the physicians that care for our participants, in each case in one or more of the jurisdictions in which we operate. Any of these outcomes may have a material adverse effect on our business, results of operations, financial condition, cash flows and reputation.</w:t>
      </w:r>
    </w:p>
    <w:p>
      <w:pPr>
        <w:spacing w:after="0" w:line="149"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PHI/PII is subject to HIPAA, CCPA and other federal and state privacy and security regulations, and our failure to comply with those laws and regulations or to adequately secure the information we hold could result in significant liability or reputational harm and, in turn, a material adverse effect on our participant base and revenue.</w:t>
      </w:r>
    </w:p>
    <w:p>
      <w:pPr>
        <w:spacing w:after="0" w:line="14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Numerous state and federal laws and regulations govern the collection, dissemination, use, disclosure, destruction, retention, privacy, confidentiality, security, availability, integrity and other Processing of PHI/​PII.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 A business associate is any person or entity (other than members of a covered entity’s workforce) that performs a service for or on behalf of a covered entity involving the use or disclosure of protected health information.</w:t>
      </w:r>
    </w:p>
    <w:p>
      <w:pPr>
        <w:spacing w:after="0" w:line="14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HIPAA requires covered entities, such as ourselves, and their business associates 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5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HIPAA imposes mandatory penalties for certain violations. Under a notice of enforcement discretion issued by HHS in 2019, penalties for violations of HIPAA and its implementing regulations start at $100 (not adjusted for inflation) per violation and are not to exceed approximately $63,000 (not adjusted for inflation) per violation, subject to a cap of approximately $1.9 million (not adjusted for inflation)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4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3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HIPAA further requires that individuals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 reported to HHS without unreasonable delay, and in no case later than 60 calendar days after discovery, and HHS will automatically investigate the breach and post the name of the entity on its public breach portal. If a breach involves fewer than 500 people, the covered entity must record it in a log and notify HHS at least annually. Breaches affecting more than 500 residents in the same state or jurisdiction must also be reported to the local media.</w:t>
      </w:r>
    </w:p>
    <w:p>
      <w:pPr>
        <w:spacing w:after="0" w:line="16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to HIPAA, numerous other federal and state laws and regulations protect the confidentiality, privacy, availability, integrity and security of individually identifiable information. State statutes and regulations vary from state to state, and these laws and regulations in many cases are more restrictive than, and may not be preempted by, HIPAA and its implementing rules. These laws and regulations are often uncertain, contradictory, and subject to changing or differing interpretations, and we expect new laws, rules and regulations regarding privacy, data protection, and information security to be proposed and enacted in the future. For example, the CCPA provides certain exceptions for PHI, but is still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to certain PII we Process in the ordinary course of our business. The effects of the CCPA are wide-ranging and afford consumers certain rights with respect to PII, including a private right of action for data breaches involving certain personal information of California residents. The California voters also passed, on November 3, 2020, the California Privacy Rights Act, or CPRA, which will come into effect on January 1, 2023, and will expand the rights of consumers under the CCPA and create a new enforcement agency.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Other states, including Colorado and Virginia, have enacted similar privacy laws that impose new obligations or limitations in areas affecting our business and we continue to assess the impact of this state legislation on our business as additional information and guidance becomes available. Efforts at the federal level to enact similar laws have been ongoing.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 If we or these third parties are found to have violated such laws, rules or regulations, it could result in regulatory investigations, litigation awards or settlements,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78"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also publish statements to our participants that describe how we handle and protect PHI. If federal or state regulatory authorities, such as the FTC,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The FTC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 Any of the foregoing consequences could seriously harm our business and our financial results.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 and growth prospects.</w:t>
      </w:r>
    </w:p>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June 30, 2022, we had total outstanding debt of (i) $71.2 million principal amount under the Term Loan Facility (as defined in Note 8, “Long-term Debt” to the consolidated financial statements), and (ii) $2.4 million principal amount under the convertible term loan. Our indebtedness, or any additional indebtedness we may incur, could require us to divert funds identified for other purposes for debt service, impairing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or on terms satisfactory to us or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indebtedness and the cash flow needed to satisfy our debt have important consequences, including:</w:t>
      </w:r>
    </w:p>
    <w:p>
      <w:pPr>
        <w:spacing w:after="0" w:line="225" w:lineRule="exact"/>
        <w:rPr>
          <w:sz w:val="20"/>
          <w:szCs w:val="20"/>
          <w:color w:val="auto"/>
        </w:rPr>
      </w:pPr>
    </w:p>
    <w:p>
      <w:pPr>
        <w:jc w:val="both"/>
        <w:ind w:left="1220" w:right="79" w:hanging="495"/>
        <w:spacing w:after="0" w:line="266" w:lineRule="auto"/>
        <w:tabs>
          <w:tab w:leader="none" w:pos="12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otherwise available for financing our capital expenditures and pursuing our growth strategies by requiring us to dedicate a portion of our cash flows from operations to the repayment of debt and the interest on this debt;</w:t>
      </w:r>
    </w:p>
    <w:p>
      <w:pPr>
        <w:spacing w:after="0" w:line="17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rising interest rates; and</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in the event of a downturn in our business.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15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expect to use cash flow from operations to meet current and future financial obligations, including funding our operations, debt service requirements and capital expenditures necessary to grow and maintain our businesses.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3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2021 Credit Agreement restrict our current and future operations, particularly our ability to respond to changes or to take certain actions.</w:t>
      </w:r>
    </w:p>
    <w:p>
      <w:pPr>
        <w:spacing w:after="0" w:line="11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2021 Credit Agreement (as defined in Note 8, “Long-term Debt” to the consolidated financial statements) contains a number of restrictive covenants that impose significant operating and financial restrictions on us and may limit our ability to engage in acts that may be in our long-term best interests, including restrictions on our ability to:</w:t>
      </w:r>
    </w:p>
    <w:p>
      <w:pPr>
        <w:spacing w:after="0" w:line="176" w:lineRule="exact"/>
        <w:rPr>
          <w:sz w:val="20"/>
          <w:szCs w:val="20"/>
          <w:color w:val="auto"/>
        </w:rPr>
      </w:pPr>
    </w:p>
    <w:p>
      <w:pPr>
        <w:ind w:left="1180" w:hanging="482"/>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other contingent obligations;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acquisitions, loans, guarantees and advances;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liquidate or dissolve;</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or otherwise dispose of our assets;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equity interests or make other payments in respect of capital stock; and</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alter the business we conduct.</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restrictive covenants in the 2021 Credit Agreement require us to satisfy certain financial condition tests. Our ability to satisfy those tests can be affected by events beyond our control.</w:t>
      </w:r>
    </w:p>
    <w:p>
      <w:pPr>
        <w:spacing w:after="0" w:line="13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 breach of the covenants or restrictions under the 2021 Credit Agreement could result in an event of default under such document. Such a default may allow the creditors to accelerate the related debt and terminate all commitments to extend credit thereunder and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187" w:lineRule="exact"/>
        <w:rPr>
          <w:sz w:val="20"/>
          <w:szCs w:val="20"/>
          <w:color w:val="auto"/>
        </w:rPr>
      </w:pPr>
    </w:p>
    <w:p>
      <w:pPr>
        <w:ind w:left="1180" w:hanging="482"/>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20" w:right="79" w:hanging="495"/>
        <w:spacing w:after="0" w:line="282"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161" w:lineRule="exact"/>
        <w:rPr>
          <w:rFonts w:ascii="Times New Roman" w:cs="Times New Roman" w:eastAsia="Times New Roman" w:hAnsi="Times New Roman"/>
          <w:sz w:val="18"/>
          <w:szCs w:val="18"/>
          <w:color w:val="auto"/>
        </w:rPr>
      </w:pPr>
    </w:p>
    <w:p>
      <w:pPr>
        <w:ind w:left="1220" w:hanging="495"/>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These restrictions, along with restrictions that may be contained in agreements evidencing or governing other future indebtedness, may affect our ability to grow in accordance with our growth strategy.</w:t>
      </w:r>
    </w:p>
    <w:p>
      <w:pPr>
        <w:spacing w:after="0" w:line="131"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failure to raise additional capital or generate cash flows necessary to expand our operations and invest in participant services in the future could reduce our ability to compete successfully and harm our results of operations.</w:t>
      </w:r>
    </w:p>
    <w:p>
      <w:pPr>
        <w:spacing w:after="0" w:line="9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operational flexibility and our ability to incur additional indebtedness, force us to maintain specified liquidity or other ratios or restrict our ability to pay dividends or make acquisitions. In addition, the covenants in our 2021 Credit Agreement may limit our ability to obtain additional debt, and any failure to adhere to these covenants could result in penalties or defaults that could further restrict our liquidity or limit our ability to obtain financing. If we need additional capital and cannot raise it on acceptable terms, or at all, we may not be able to, among other things:</w:t>
      </w:r>
    </w:p>
    <w:p>
      <w:pPr>
        <w:spacing w:after="0" w:line="192" w:lineRule="exact"/>
        <w:rPr>
          <w:sz w:val="20"/>
          <w:szCs w:val="20"/>
          <w:color w:val="auto"/>
        </w:rPr>
      </w:pPr>
    </w:p>
    <w:p>
      <w:pPr>
        <w:ind w:left="1180" w:hanging="482"/>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enhance our participant services;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business either by increasing enrollment or building de novo centers;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225" w:lineRule="exact"/>
        <w:rPr>
          <w:sz w:val="20"/>
          <w:szCs w:val="20"/>
          <w:color w:val="auto"/>
        </w:rPr>
      </w:pPr>
    </w:p>
    <w:p>
      <w:pPr>
        <w:ind w:left="60" w:right="1319" w:firstLine="324"/>
        <w:spacing w:after="0" w:line="459" w:lineRule="auto"/>
        <w:rPr>
          <w:sz w:val="20"/>
          <w:szCs w:val="20"/>
          <w:color w:val="auto"/>
        </w:rPr>
      </w:pPr>
      <w:r>
        <w:rPr>
          <w:rFonts w:ascii="Times New Roman" w:cs="Times New Roman" w:eastAsia="Times New Roman" w:hAnsi="Times New Roman"/>
          <w:sz w:val="18"/>
          <w:szCs w:val="18"/>
          <w:color w:val="auto"/>
        </w:rPr>
        <w:t xml:space="preserve">In addition, if we issue additional equity to raise capital, your interest in the Company will be diluted. </w:t>
      </w:r>
      <w:r>
        <w:rPr>
          <w:rFonts w:ascii="Times New Roman" w:cs="Times New Roman" w:eastAsia="Times New Roman" w:hAnsi="Times New Roman"/>
          <w:sz w:val="18"/>
          <w:szCs w:val="18"/>
          <w:b w:val="1"/>
          <w:bCs w:val="1"/>
          <w:color w:val="auto"/>
        </w:rPr>
        <w:t>Risks Related to Our Common Stock</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Principal Shareholders control us, and their interests may conflict with ours or yours in the future.</w:t>
      </w:r>
    </w:p>
    <w:p>
      <w:pPr>
        <w:spacing w:after="0" w:line="18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Principal Shareholders own approximately 86% of our common stock, which means that, based on their combined percentage voting power held, the Principal Shareholders together control the vote of all matters submitted to a vote of our shareholders, which enables them to control the election of the members of the Board and all other corporate decisions. This concentration of ownership may delay, deter or prevent acts that would be favored by our other shareholders. The interests of the Principal Shareholders may not always coincide with our interests or the interests of our other shareholders. Even when the Principal Shareholders cease to own shares of our stock representing a majority of the total voting power, for so long as the Principal Shareholders continue to own a significant percentage of our stock, the Principal Shareholders will still be able to significantly influence the composition of our Board and the approval of actions requiring shareholder approval. Accordingly, for such period of time, the Principal Shareholders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the Principal Shareholders continue to own a significant percentage of our stock, the Principal Shareholders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 In addition, this concentration of ownership may adversely affect the trading price of our common stock because investors may perceive disadvantages in owning shares in a company with significant stockholders.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addition, we are party to a Director Nomination Agreement (defined herein) with the Principal Shareholders that provides the Principal Shareholders the right to designate: (i) all of the nominees for election to our Board for so long as the Principal Shareholders collectively beneficially own at least 40% of the Original Amount (as defined therein);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If TCO Group Holdings, L.P., the investment vehicle through which the Principal Shareholders hold their investment is dissolved, then each of the Principal Shareholders will be permitted to nominate (i) up to three directors so long as it owns at least 25% of the Original Amount,</w:t>
      </w:r>
    </w:p>
    <w:p>
      <w:pPr>
        <w:spacing w:after="0" w:line="4" w:lineRule="exact"/>
        <w:rPr>
          <w:sz w:val="20"/>
          <w:szCs w:val="20"/>
          <w:color w:val="auto"/>
        </w:rPr>
      </w:pPr>
    </w:p>
    <w:p>
      <w:pPr>
        <w:jc w:val="both"/>
        <w:ind w:left="60" w:right="59" w:hanging="10"/>
        <w:spacing w:after="0" w:line="252"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directors so long as it owns at least 15% of the Original Amount and (iii) one director so long as it owns at least 5% of the Original Amount. The Principal Shareholders may also assign such right to their affiliates. The Director Nomination Agreement also provides for certain consent rights for each of the Principal Shareholders so long as such shareholder owns at least 5% of the Original Amount, including for any increase to the size of our Board. Additionally, the Director Nomination Agreement prohibits us from increasing or decreasing the size of our Board without the prior written consent of the Principal Shareholders for so long as either of our Principal Shareholders holds at least 5% of the total outstanding voting power.</w:t>
      </w:r>
    </w:p>
    <w:p>
      <w:pPr>
        <w:spacing w:after="0" w:line="16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Principal Shareholders and their affiliates engage in a broad spectrum of activities, including investments in the healthcare industry generally. In the ordinary course of their business activities, the Principal Shareholders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certificate of incorporation provides that neither the Principal Shareholders, any of their affiliates or any director who is not employed by us (including any non-employee director who serves as one of our officers in both her or his director and officer capacities) or its affiliates have any duty to refrain from engaging, directly or indirectly, in the same business activities or similar business activities or lines of business in which we operate. The Principal Shareholders also may pursue acquisition opportunities that may be complementary to our business, and, as a result, those acquisition opportunities may not be available to us. In addition, the Principal Shareholders may have an interest in pursuing acquisitions, divestitures and other transactions that, in their judgment, could enhance their investment, even though such transactions might involve risks to you.</w:t>
      </w:r>
    </w:p>
    <w:p>
      <w:pPr>
        <w:spacing w:after="0" w:line="145"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we qualify for, and intend to continue relying on, exemptions from certain corporate governance requirements. Therefore, you do not have the same protections as those afforded to stockholders of companies that are subject to such governance requirements.</w:t>
      </w:r>
    </w:p>
    <w:p>
      <w:pPr>
        <w:spacing w:after="0" w:line="13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Principal Shareholders control a majority of the voting power of our outstanding common stock. As a result, we are a “controlled company” within the meaning of the corporate governance standards of the Nasdaq Global Select Market (“Nasdaq”). Under these rules, a company of which more than 50% of the voting power for the election of directors is held by an individual, group or another company is a “controlled company” and may elect not to comply with certain corporate governance requirements, including:</w:t>
      </w:r>
    </w:p>
    <w:p>
      <w:pPr>
        <w:spacing w:after="0" w:line="183" w:lineRule="exact"/>
        <w:rPr>
          <w:sz w:val="20"/>
          <w:szCs w:val="20"/>
          <w:color w:val="auto"/>
        </w:rPr>
      </w:pPr>
    </w:p>
    <w:p>
      <w:pPr>
        <w:ind w:left="1220" w:hanging="495"/>
        <w:spacing w:after="0"/>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consist of independent directors;</w:t>
      </w:r>
    </w:p>
    <w:p>
      <w:pPr>
        <w:spacing w:after="0" w:line="225" w:lineRule="exact"/>
        <w:rPr>
          <w:rFonts w:ascii="Times New Roman" w:cs="Times New Roman" w:eastAsia="Times New Roman" w:hAnsi="Times New Roman"/>
          <w:sz w:val="18"/>
          <w:szCs w:val="18"/>
          <w:color w:val="auto"/>
        </w:rPr>
      </w:pPr>
    </w:p>
    <w:p>
      <w:pPr>
        <w:jc w:val="both"/>
        <w:ind w:left="1220" w:right="79" w:hanging="495"/>
        <w:spacing w:after="0" w:line="275"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389" w:lineRule="exact"/>
        <w:rPr>
          <w:rFonts w:ascii="Times New Roman" w:cs="Times New Roman" w:eastAsia="Times New Roman" w:hAnsi="Times New Roman"/>
          <w:sz w:val="18"/>
          <w:szCs w:val="18"/>
          <w:color w:val="auto"/>
        </w:rPr>
      </w:pPr>
    </w:p>
    <w:p>
      <w:pPr>
        <w:ind w:left="1220" w:right="79" w:hanging="495"/>
        <w:spacing w:after="0" w:line="282"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161" w:lineRule="exact"/>
        <w:rPr>
          <w:rFonts w:ascii="Times New Roman" w:cs="Times New Roman" w:eastAsia="Times New Roman" w:hAnsi="Times New Roman"/>
          <w:sz w:val="18"/>
          <w:szCs w:val="18"/>
          <w:color w:val="auto"/>
        </w:rPr>
      </w:pPr>
    </w:p>
    <w:p>
      <w:pPr>
        <w:ind w:left="1220" w:right="79" w:hanging="495"/>
        <w:spacing w:after="0" w:line="282"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currently utilize and intend to continue utilizing these exemptions as long as they are available to us. As a result of these exemptions, we do not have a majority of independent directors on our Board, our Compensation, Nominating and Governance Committee does not consist entirely of independent directors and our Compensation, Nominating and Governance Committee may not be subject to annual performance evaluations. Accordingly, you do not have the same protections afforded to shareholders of companies that are subject to all of the corporate governance requirements of Nasdaq.</w:t>
      </w:r>
    </w:p>
    <w:p>
      <w:pPr>
        <w:spacing w:after="0" w:line="156" w:lineRule="exact"/>
        <w:rPr>
          <w:sz w:val="20"/>
          <w:szCs w:val="20"/>
          <w:color w:val="auto"/>
        </w:rPr>
      </w:pPr>
    </w:p>
    <w:p>
      <w:pPr>
        <w:ind w:left="60" w:right="1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qualify as an “emerging growth company” and a “smaller reporting company” and we have elected to comply with reduced public company reporting requirements, which could make our common stock less attractive to investors.</w:t>
      </w:r>
    </w:p>
    <w:p>
      <w:pPr>
        <w:spacing w:after="0" w:line="9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a “smaller reporting company” as defined by the Exchange Act. For as long as we continue to qualify as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(iii) exemptions from the requirements of holding a nonbinding advisory vote on executive compensation and shareholder approval of any golden parachute payments not previously approved, and (iv) an extended transition period to comply with new or revised accounting standards applicable to public companies. Additionally, as long as we qualify as a smaller reporting company, we are required to present only the two most recent fiscal years of audited financial statements in our Annual Reports on Form 10-K.</w:t>
      </w:r>
    </w:p>
    <w:p>
      <w:pPr>
        <w:spacing w:after="0" w:line="15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after the first sale of our common stock pursuant to an effective registration statement under the Securities Act of 1933, as amended (the “Securities Act”), which first occurred in March 2021. However, if certain events occur prior to the end of such five-year period, including if we become a “large accelerated filer,” our annual gross revenue exceeds $1.07 billion or we issue more than $1.0 billion of non-convertible debt in any three-year period, we would cease to be an emerging growth company prior to the end of such five-year period. Additionally, even after we no longer qualify as an “emerging growth company,” we may still qualify as a “smaller reporting company” if the market value of our common stock held by non-affiliates is below $250 million (or $700 million if our annual revenue is less than $100 million) as of December 31 in any given year, which would allow us to continue taking advantage of these exemptions.</w:t>
      </w:r>
    </w:p>
    <w:p>
      <w:pPr>
        <w:spacing w:after="0" w:line="16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proxy statement for fiscal year 2023 will include reduced disclosure regarding executive compensation. In addition, we have chosen to take advantage of the extended transition period to comply with new or revised accounting standards applicable to public companies. As a result, the information that we provide to holders of our common stock may be different than you might receive from other public reporting companies in which you hold equity interests. We cannot predict if investors will find our common stock less attractive as a result of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144"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distract our management, which could make it difficult to manage our business, particularly after we no longer qualify as an “emerging growth company” or a “smaller reporting company.”</w:t>
      </w:r>
    </w:p>
    <w:p>
      <w:pPr>
        <w:spacing w:after="0" w:line="13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a new public company, we incur legal, accounting and other expenses that we did not previously incur. We are subject to the reporting requirements of the Exchange Act and the Sarbanes-Oxley Act, the listing requirements of Nasdaq and other applicable securities rules and regulations. Compliance with these rules and regulations has increased our legal and financial compliance costs, made some activities more difficult, time-consuming and costly and increase demand on our systems and resources, particularly after we no longer qualify as an “emerging growth company” or “smaller reporting company.”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Furthermore, the need to continue establishing the corporate infrastructure demanded of a public company may divert our management’s attention from implementing our business strategy, which could prevent us from improving our business, financial condition and results of operations. We have made, and will continue to make, changes to our internal controls and procedures for financial reporting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accounting systems to meet our reporting obligations as a public company. However, the measures we take may not be sufficient to satisfy our obligations as a public company. These additional obligations could have a material adverse effect on our business, financial condition and results of operations.</w:t>
      </w:r>
    </w:p>
    <w:p>
      <w:pPr>
        <w:spacing w:after="0" w:line="14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in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14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are obligated to develop and maintain proper and effective internal controls over financial reporting in order to comply with Section 404 of the Sarbanes-Oxley Act. We may not complete our analysis of our internal controls over financial reporting in a timely manner, or these internal controls may not be determined to be effective, which may adversely affect investor confidence in us and, as a result, the value of our common stock. In addition, because of our status as an emerging growth company, you will not be able to depend on any attestation from our independent registered public accountants as to our internal controls over financial reporting for the foreseeable future.</w:t>
      </w:r>
    </w:p>
    <w:p>
      <w:pPr>
        <w:spacing w:after="0" w:line="14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by Section 404 of the Sarbanes-Oxley Act to furnish a report by management on, among other things, the effectiveness of our internal controls over financial reporting in our annual reports. This assessment includes disclosure of any material weaknesses identified by management in our internal controls over financial reporting. We are also required to disclose changes made in our internal controls and procedures on a quarterly basis. To comply with these requirements, we have and may further need to undertake various costly and time-consuming actions, such as implementing new controls and procedures and hiring additional accounting or internal audit staff. The process of designing and implementing internal controls over financial reporting required to comply with this requirement is time-consuming, costly and complicated. If during the evaluation and testing process we identify one or more other material weaknesses in our internal controls over financial reporting, our management will be unable to assert that our internal controls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Even if our management concludes that our internal controls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controls over financial reporting pursuant to Section 404 of the Sarbanes-Oxley Act until we no longer qualify as an “emerging growth company,” as defined in the JOBS Act or a “smaller reporting company” as defined by the Exchange Act. Accordingly, you will not be able to depend on any attestation concerning our internal controls over financial reporting from our independent registered public accountants for the foreseeable future.</w:t>
      </w:r>
    </w:p>
    <w:p>
      <w:pPr>
        <w:spacing w:after="0" w:line="15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existence of any material weaknesses or significant deficiency in internal controls over financial reporting would require management to devote significant time and incur significant expenses to remediate any such issue and management may not be able to remediate the issue in a timely manner. The existence of any material weaknesses or significant deficiency could cause us to reissue our financial statements, fail to meet reporting deadlines or undermine shareholders’ confidence in our reported financial statements, all of which could materially and adversely impact our stock price.</w:t>
      </w:r>
    </w:p>
    <w:p>
      <w:pPr>
        <w:spacing w:after="0" w:line="14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as to the timing of completion of our evaluation, testing and any remediation actions or the impact of the same on our operations. If we are not able to implement the requirements of Section 404 of the Sarbanes-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executive management team does not have extensive experience managing a public company.</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executive management team does not have extensive experience managing a publicly-traded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44" w:lineRule="exact"/>
        <w:rPr>
          <w:sz w:val="20"/>
          <w:szCs w:val="20"/>
          <w:color w:val="auto"/>
        </w:rPr>
      </w:pPr>
    </w:p>
    <w:p>
      <w:pPr>
        <w:jc w:val="both"/>
        <w:ind w:left="60" w:right="4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109"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color w:val="auto"/>
        </w:rPr>
        <w:t>In addition to the Principal Shareholders’ beneficial ownership of a combined 86% of our common stock, our Director Nomination Agreement, certificate of incorporation and bylaws and the Delaware General Corporation Law (the “DGCL”), contain provisions that could make it more difficult for a third party to acquire us without the consent of our Board or the Principal Shareholders, even if doing so might be beneficial to our shareholders. Among other things, these provisions:</w:t>
      </w:r>
    </w:p>
    <w:p>
      <w:pPr>
        <w:spacing w:after="0" w:line="164" w:lineRule="exact"/>
        <w:rPr>
          <w:sz w:val="20"/>
          <w:szCs w:val="20"/>
          <w:color w:val="auto"/>
        </w:rPr>
      </w:pPr>
    </w:p>
    <w:p>
      <w:pPr>
        <w:jc w:val="both"/>
        <w:ind w:left="1220" w:right="79" w:hanging="495"/>
        <w:spacing w:after="0" w:line="261" w:lineRule="auto"/>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179" w:lineRule="exact"/>
        <w:rPr>
          <w:rFonts w:ascii="Times New Roman" w:cs="Times New Roman" w:eastAsia="Times New Roman" w:hAnsi="Times New Roman"/>
          <w:sz w:val="18"/>
          <w:szCs w:val="18"/>
          <w:color w:val="auto"/>
        </w:rPr>
      </w:pPr>
    </w:p>
    <w:p>
      <w:pPr>
        <w:ind w:left="1220" w:hanging="495"/>
        <w:spacing w:after="0"/>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three-year terms;</w:t>
      </w:r>
    </w:p>
    <w:p>
      <w:pPr>
        <w:spacing w:after="0" w:line="225" w:lineRule="exact"/>
        <w:rPr>
          <w:rFonts w:ascii="Times New Roman" w:cs="Times New Roman" w:eastAsia="Times New Roman" w:hAnsi="Times New Roman"/>
          <w:sz w:val="18"/>
          <w:szCs w:val="18"/>
          <w:color w:val="auto"/>
        </w:rPr>
      </w:pPr>
    </w:p>
    <w:p>
      <w:pPr>
        <w:jc w:val="both"/>
        <w:ind w:left="1220" w:right="79" w:hanging="495"/>
        <w:spacing w:after="0" w:line="275" w:lineRule="auto"/>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shareholder action by written consent from and after the date on which the Principal Shareholders beneficially own, in the aggregate, less than 35% of our common stock then outstanding;</w:t>
      </w:r>
    </w:p>
    <w:p>
      <w:pPr>
        <w:spacing w:after="0" w:line="389" w:lineRule="exact"/>
        <w:rPr>
          <w:rFonts w:ascii="Times New Roman" w:cs="Times New Roman" w:eastAsia="Times New Roman" w:hAnsi="Times New Roman"/>
          <w:sz w:val="18"/>
          <w:szCs w:val="18"/>
          <w:color w:val="auto"/>
        </w:rPr>
      </w:pPr>
    </w:p>
    <w:p>
      <w:pPr>
        <w:jc w:val="both"/>
        <w:ind w:left="1220" w:right="79" w:hanging="495"/>
        <w:spacing w:after="0"/>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from and after the date on which the Principal Shareholders beneficially own less than 50% of our common stock then outstanding, any amendment, alteration, rescission or repeal of our bylaws by our shareholders will require the affirmative vote of the holders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in voting power of all the then-outstanding shares of our stock entitled to vote thereon, voting together as a single class; and</w:t>
      </w:r>
    </w:p>
    <w:p>
      <w:pPr>
        <w:spacing w:after="0" w:line="389" w:lineRule="exact"/>
        <w:rPr>
          <w:rFonts w:ascii="Times New Roman" w:cs="Times New Roman" w:eastAsia="Times New Roman" w:hAnsi="Times New Roman"/>
          <w:sz w:val="18"/>
          <w:szCs w:val="18"/>
          <w:color w:val="auto"/>
        </w:rPr>
      </w:pPr>
    </w:p>
    <w:p>
      <w:pPr>
        <w:jc w:val="both"/>
        <w:ind w:left="1220" w:right="79" w:hanging="495"/>
        <w:spacing w:after="0" w:line="261" w:lineRule="auto"/>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matters that can be acted upon by shareholders at shareholder meetings, provided, however, that at any time when a Principal Shareholder beneficially owns at least 5% of our common stock then outstanding, such advance notice procedure will not apply to such Principal Shareholder.</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contains a provision that provides us with protections similar to Section 203 of the DGCL, and prevents us from engaging in a business combination with a person (excluding the Principal Shareholders and any of their direct or indirect transferees and any group as to which such persons are a party) who acquires at least 85% of our common stock for a period of three years from the date such person acquired such common stock, unless Board or shareholder approval is obtained prior to the acquisition.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w:t>
      </w:r>
    </w:p>
    <w:p>
      <w:pPr>
        <w:spacing w:after="0" w:line="14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w:t>
      </w:r>
    </w:p>
    <w:p>
      <w:pPr>
        <w:spacing w:after="0" w:line="14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Pursuant to our certificate of incorporation,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w:t>
      </w:r>
    </w:p>
    <w:p>
      <w:pPr>
        <w:spacing w:after="0" w:line="1" w:lineRule="exact"/>
        <w:rPr>
          <w:sz w:val="20"/>
          <w:szCs w:val="20"/>
          <w:color w:val="auto"/>
        </w:rPr>
      </w:pPr>
    </w:p>
    <w:p>
      <w:pPr>
        <w:jc w:val="both"/>
        <w:ind w:left="60" w:right="59" w:hanging="10"/>
        <w:spacing w:after="0" w:line="250" w:lineRule="auto"/>
        <w:tabs>
          <w:tab w:leader="none" w:pos="2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concurrent jurisdiction for federal and state courts over all suits brought to enforce a duty or liability created by the Securities Act or the rules and regulations thereunder; accordingly, we cannot be certain that a court would enforce such provision. Our certificate of incorporation further provides that any person or entity purchasing or otherwise acquiring any interest in shares of our capital stock is deemed to have notice of and consented to the provisions of our certificate of incorporation described above; however, our shareholders will not be deemed to have waived our compliance with the federal securities laws and the rules and regulations thereunder. The forum selection provisions in our certificate of incorporation may have the effect of discouraging lawsuits against us or our directors and officers and may limit our shareholders’ ability to obtain a favorable judicial forum for disputes with us. If the enforceability of our forum selection provision were to be challenged, we may incur additional costs associated with resolving such a challenge. While we currently have no basis to expect any such challenge would be successful, if a court were to find our forum selection provision to be inapplicable or unenforceable, we may incur additional costs associated with having to litigate in other jurisdictions, which could have an adverse effect on our business, financial condition and results of operations and result in a diversion of the time and resources of our employees, management and Board.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are volatile.</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price of our common stock has significantly fluctuated since our IPO and 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295" w:lineRule="exact"/>
        <w:rPr>
          <w:sz w:val="20"/>
          <w:szCs w:val="20"/>
          <w:color w:val="auto"/>
        </w:rPr>
      </w:pPr>
    </w:p>
    <w:p>
      <w:pPr>
        <w:ind w:left="1180" w:hanging="482"/>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results of current audits, sanctions, investigations and litigation;</w:t>
      </w:r>
    </w:p>
    <w:p>
      <w:pPr>
        <w:spacing w:after="0" w:line="117"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solutions or services by us or our competitors;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22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 of us and our prospects;</w:t>
      </w:r>
    </w:p>
    <w:p>
      <w:pPr>
        <w:spacing w:after="0" w:line="225" w:lineRule="exact"/>
        <w:rPr>
          <w:rFonts w:ascii="Times New Roman" w:cs="Times New Roman" w:eastAsia="Times New Roman" w:hAnsi="Times New Roman"/>
          <w:sz w:val="18"/>
          <w:szCs w:val="18"/>
          <w:color w:val="auto"/>
        </w:rPr>
      </w:pPr>
    </w:p>
    <w:p>
      <w:pPr>
        <w:jc w:val="both"/>
        <w:ind w:left="1220" w:right="79" w:hanging="495"/>
        <w:spacing w:after="0" w:line="266" w:lineRule="auto"/>
        <w:tabs>
          <w:tab w:leader="none" w:pos="12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beyond our control such as inflationary pressures, increased interest rates, weather, public health events, such as the COVID-19 pandemic and Monkeypox, and war, including uncertainties surrounding the Russia and Ukraine conflict; and</w:t>
      </w:r>
    </w:p>
    <w:p>
      <w:pPr>
        <w:spacing w:after="0" w:line="175" w:lineRule="exact"/>
        <w:rPr>
          <w:rFonts w:ascii="Times New Roman" w:cs="Times New Roman" w:eastAsia="Times New Roman" w:hAnsi="Times New Roman"/>
          <w:sz w:val="18"/>
          <w:szCs w:val="18"/>
          <w:color w:val="auto"/>
        </w:rPr>
      </w:pPr>
    </w:p>
    <w:p>
      <w:pPr>
        <w:ind w:left="1180" w:hanging="4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on our indebtedness.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Such a lawsuit was filed against the Company on October 14, 2021 and amended on June 21, 2022. The outcome of this lawsuit is unknown. This and future lawsuits brought against us could incur substantial costs defending the lawsuit. Such lawsuits also divert the time and attention of our management from our business, which could significantly harm our profitability and reputation.</w:t>
      </w:r>
    </w:p>
    <w:p>
      <w:pPr>
        <w:spacing w:after="0" w:line="16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This could cause the market price of our common stock to drop significantly, even if our business is doing well.</w:t>
      </w:r>
    </w:p>
    <w:p>
      <w:pPr>
        <w:spacing w:after="0" w:line="11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2022, we had 135,532,811 outstanding shares of common stock. All of the shares of common stock sold in our IPO are available for sale in the public market. In addition, we have registered shares of common stock that we may issue under our equity compensation plans. Such shares can be freely sold in the public market upon issuance, subject to vesting, and Rule 144 under the Securities Act. The market price of our stock could decline if the holders of currently restricted shares sell them or are perceived by the market as intending to sell them.</w:t>
      </w:r>
    </w:p>
    <w:p>
      <w:pPr>
        <w:spacing w:after="0" w:line="14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party to a registration rights agreement with TCO Group Holdings, L.P., the investment vehicle through which the Principal Shareholders hold their investment, which requires us to effect the registration of the Principal Shareholders’ shares in certain circumstances. The Principal Shareholders are also entitled to participate in certain of our registered offerings, subject to the restrictions in the registration rights agreement. These registration rights would facilitate the resale of such securities into the public market, and any such resale would increase the number of shares of our common stock available for public trading.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number of shares issued in connection with an investment or acquisition could constitute a material portion of our then-outstanding common stock.</w:t>
      </w:r>
    </w:p>
    <w:p>
      <w:pPr>
        <w:spacing w:after="0" w:line="145"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common stock for the foreseeable future, you may not receive any return on investment unless you sell your common stock for a price greater than that which you paid for it.</w:t>
      </w:r>
    </w:p>
    <w:p>
      <w:pPr>
        <w:spacing w:after="0" w:line="13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w:t>
      </w:r>
    </w:p>
    <w:p>
      <w:pPr>
        <w:spacing w:after="0" w:line="14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stock price and trading volume could decline.</w:t>
      </w:r>
    </w:p>
    <w:p>
      <w:pPr>
        <w:spacing w:after="0" w:line="14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shares is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analysts have in the past downgraded, and may in the future downgrade our stock, or if our results of operations do not meet their expectations, our stock price could decline.</w:t>
      </w:r>
    </w:p>
    <w:p>
      <w:pPr>
        <w:spacing w:after="0" w:line="139"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1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158"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materially adversely affect the market price of our common stock.</w:t>
      </w:r>
    </w:p>
    <w:p>
      <w:pPr>
        <w:spacing w:after="0" w:line="11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including senior or subordinated notes, debt securities convertible into equity or shares of preferred stock. In addition, we may seek to expand operations in the future to other markets which we would expect to finance through a combination of additional issuances of equity, corporate indebtedness and/or cash from operations.</w:t>
      </w:r>
    </w:p>
    <w:p>
      <w:pPr>
        <w:spacing w:after="0" w:line="14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offerings. Thus, holders of our common stock bear the risk that our future offerings may reduce the market price of our common stock and dilute their stockholdings in us.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6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reputation and brand recognition, our business and results of operations will be harmed.</w:t>
      </w:r>
    </w:p>
    <w:p>
      <w:pPr>
        <w:spacing w:after="0" w:line="11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the InnovAge reputation and its brand recognition is critical to our relationships with our stakeholders and to our ability to attract new participants.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We have made efforts to protect our brand through trademark registration, but we cannot guarantee that these efforts will prevent third parties from infringing our trademarks or using trademarks confusingly similar to ours, nor can we guarantee we will be successful in obtaining or maintaining trademark registrations that we believe are important to our business. If we cannot stop third parties from using trademarks confusingly similar to ours, patients and others could be confused and our reputation could be harmed.</w:t>
      </w:r>
    </w:p>
    <w:p>
      <w:pPr>
        <w:spacing w:after="0" w:line="16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factors such as failing to meet the expectations of or provide quality medical care for our participants, adverse cyber or data security events, adverse publicity or litigation involving or surrounding us, one of our centers or our management, such as news articles and market rumors with respect to our ongoing audits, litigation and other processes described above, have and may in the future diminish our reputation or that of our management and harmed our brand, making it substantially more difficult for us to attract new participants. Similarly, because our existing participants and their families often act as references for us with prospective new participants, any existing participant or family member of a participant that questions the quality of our care could impair our ability to secure additional new participants. In addition, negative publicity resulting from any adverse government payor audit could further injure our brand and reputation. If we do not successfully enhance our reputation and brand recognition, our business may not grow and we could lose our relationships with participants, which would harm our business, results of operations and financial condition.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and expect to continue experiencing increased expenditures in the future.</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and expect to continue making significant investments in growing our business and increasing our participant base, expanding our operations, hiring additional employees and operating as a public company. As a result of these increased expenditures, we may not succeed in increasing our revenue sufficiently to maintain our current profit margins. To date, we have financed our operations principally from the sale of our equity, revenue from our participant services and the incurrence of indebtedness. We may not continue to generate positive cash flow from operations, access sufficient capital or sustain our current levels of profitability in any given period, and our limited operating history as a for-profit company may make it difficult for you to rely on our historical results as indicative of future performance.</w:t>
      </w:r>
    </w:p>
    <w:p>
      <w:pPr>
        <w:spacing w:after="0" w:line="16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rapidly changing and highly regulated industries, including increasing expenses as we continue to grow our business. Our operating expenses have and we expect them to continue to increase over the next several years as we continue to hire additional personnel, expand our operations and infrastructure, and continue to provide services to an increasing number of participants. In addition to the expected costs to grow our business, we also are incurring and expect to incur additional legal, accounting and other expenses as a newly public company. These investments may be more costly than we expect, and if we do not achieve the benefits anticipated from these investments, or if the realization of these benefits is delayed, our profitability could decline in future periods. If our growth rate were to decline significantly or become negative, it could adversely affect our financial condition and results of operations. If we are not able to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Accordingly, we may not be able to maintain our current levels of profitability, and we may incur losses in the future, which could negatively impact the value of our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disaster recovery systems or business continuity planning could limit our ability to operate our business effectively.</w:t>
      </w:r>
    </w:p>
    <w:p>
      <w:pPr>
        <w:spacing w:after="0" w:line="13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facilitate our ability to conduct our business. 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ransomware and other cybersecurity incidents and similar disruptions from unauthorized tampering or any weather-related disruptions in Denver, Colorado, where our headquarters is located. In addition, in the event that a significant number of our management personnel were unavailable in the event of a disaster, our ability to effectively conduct business could be adversely affected.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and guidance could result in unfavorable accounting charges or effects.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These principles are subject to interpretation by the Securities and Exchange Commission (the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 For example, during February 2016, the Financial Accounting Standards Board issued ASU 2016-02, Leases (Topic 842). The updated standard requires the recognition of a liability for lease obligations and a corresponding right-of-use asset on the balance sheet, and disclosures of certain information regarding leasing arrangements. In June 2020, FASB issued ASU 2020-05, Revenue from contracts with customers (Topic 606) and leases (Topic 842)-Effective dates for certain entities, which deferred the new lease standard effective date for the Company to December 15, 2022, with early adoption permitted. The Company will adopt this ASU in the fiscal year beginning July 1, 2022 and has not yet determined the effect of the standard on its ongoing financial reporting.</w:t>
      </w:r>
    </w:p>
    <w:p>
      <w:pPr>
        <w:spacing w:after="0" w:line="16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regarding the managed healthcare industry generally could adversely affect our results of operations or business.</w:t>
      </w:r>
    </w:p>
    <w:p>
      <w:pPr>
        <w:spacing w:after="0" w:line="11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Negative publicity regarding the managed healthcare industry generally, or the PACE program in particular, may result in increased regulation and legislative review of industry practices that further increase our costs of doing business and adversely affect our results of operations or business by:</w:t>
      </w:r>
    </w:p>
    <w:p>
      <w:pPr>
        <w:spacing w:after="0" w:line="176"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change our integrated healthcare services model;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regulatory, including compliance, burdens under which we operate, which, in turn, may negatively impact the manner in which we provide services and increase our costs of providing services;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75"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ability to market our products or services through the imposition of further regulatory restrictions or guidelines regarding the manner in which plans and providers market to PACE enrollees; or</w:t>
      </w:r>
    </w:p>
    <w:p>
      <w:pPr>
        <w:spacing w:after="0" w:line="3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ability to attract and retain participants.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operated an aggregate of 18 centers, of which 10 were owned and eight were leased, representing approximately 410,000 and 160,000 gross square feet, respectively. Our centers are located in 11 markets and five states.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in Denver, Colorado, where we own facilities totaling approximately 290,000 square feet across the state. We occupy approximately 45,000 square feet of a 69,000 square foot facility for administration, sales and marketing, technology and development and professional services in Denver, Colorado. We also own and lease properties for operational PACE centers in Denver, Colorado; Pueblo, Colorado; Loveland, Colorado; Albuquerque, New Mexico; San Bernardino, California; Sacramento, California; Philadelphia, Pennsylvania; Roanoke, Virginia; Richmond, Virginia; Newport News, Virginia; and Charlottesville, Virginia. We do not have any PACE centers or properties located outside of the United States.</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leases typically have terms of nine years, and generally provide for renewal or extension options for an average total potential term of approximately 25 years. Our lease obligations often include annual fixed rent escalators ranging between 2.0% and 3.0%. Generally, our leases are “modified gross” leases, which require us to pay the cost of insurance, taxes, maintenance and utilities, but not for costs related to the structure of the building. We generally cannot cancel these leases at our option.</w:t>
      </w:r>
    </w:p>
    <w:p>
      <w:pPr>
        <w:spacing w:after="0" w:line="143" w:lineRule="exact"/>
        <w:rPr>
          <w:sz w:val="20"/>
          <w:szCs w:val="20"/>
          <w:color w:val="auto"/>
        </w:rPr>
      </w:pPr>
    </w:p>
    <w:p>
      <w:pPr>
        <w:jc w:val="both"/>
        <w:ind w:left="60" w:right="59" w:firstLine="324"/>
        <w:spacing w:after="0" w:line="275" w:lineRule="auto"/>
        <w:rPr>
          <w:sz w:val="20"/>
          <w:szCs w:val="20"/>
          <w:color w:val="auto"/>
        </w:rPr>
      </w:pPr>
      <w:r>
        <w:rPr>
          <w:rFonts w:ascii="Times New Roman" w:cs="Times New Roman" w:eastAsia="Times New Roman" w:hAnsi="Times New Roman"/>
          <w:sz w:val="18"/>
          <w:szCs w:val="18"/>
          <w:color w:val="auto"/>
        </w:rPr>
        <w:t>We believe that our facilities and centers are adequate to meet our needs for the immediate future, and that, should it be needed, suitable additional space will be available to accommodate any such expansion of our operations.</w:t>
      </w: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and subject to claims that arise in the ordinary course of business.</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The Company continues to fully cooperate with the Attorney General and produce the requested information and documentation. We are currently unable to predict the outcome of this investigation.</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We are currently unable to predict the outcome of this matter.</w:t>
      </w:r>
    </w:p>
    <w:p>
      <w:pPr>
        <w:spacing w:after="0" w:line="188"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The Company continues to fully cooperate with the DOJ and produce the requested information and documentation. We are currently unable to predict the outcome of this investigation.</w:t>
      </w:r>
    </w:p>
    <w:p>
      <w:pPr>
        <w:spacing w:after="0" w:line="187"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On April 20, 2022, the Board of Directors of the Company received a books and records demand pursuant to Section 220 of the Delaware General Corporation Law, from a purported stockholder of the Company,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Because the results of legal proceedings and claims are inherently unpredictable and uncertain, we are currently unable to predict whether the legal proceedings we are involved in will, either individually or in the aggregate, have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5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Refer to Note 10 “Commitments and Contingencies” to the Consolidated Financial Statements included in this Annual Report for more information.</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left="700" w:right="199"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SHAREHOLDERS MATTERS AND ISSUER PURCHASES OF EQUITY SECURITIES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Market Information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“INNV.”</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September 12, 2022, there were approximately eight stockholders of record for our common stock. The actual number of stockholders is greater than this number of record holders, and includes stockholders who are beneficial owners, but whose shares are held in street name by economic banks, brokers and other financial institutions. This number of holders of record also does not include stockholders whose shares may be held in trust by other entities.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June 30, 2022, except as previously reported.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02"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 March 8, 2021, we completed the initial public offering (“IPO”) and issued and sold 18,995,901 shares of our common stock, including the partial exercise of the underwriters’ option to purchase additional shares, at a price to the public of $21.00 per share for net proceeds of approximately $373.6 million. As of June 30, 2022, we had used all of the net proceeds from our IPO. There was no material change in the expected use of such proceeds from that described in the final prospectus, dated March 3, 2021, filed with the SEC pursuant to Rule 424(b) relating to our Registration Statement on Form S-1 (File No. 333-252853) (“Registration Statement”), as amended.</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right="259" w:hanging="623"/>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30" w:lineRule="exact"/>
        <w:rPr>
          <w:sz w:val="20"/>
          <w:szCs w:val="20"/>
          <w:color w:val="auto"/>
        </w:rPr>
      </w:pPr>
    </w:p>
    <w:p>
      <w:pPr>
        <w:jc w:val="both"/>
        <w:ind w:left="60" w:right="59" w:firstLine="247"/>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summarizes the significant factors affecting the consolidated operating results, financial condition, liquidity and cash flows of our company as of and for the periods presented below. The following discussion and analysis should be read in conjunction with our consolidated financial statements and the related notes thereto included elsewhere in this Annual Report on Form 10-K. The discussion contains forward-looking statements that are based on the beliefs of management, as well as assumptions made by, and information currently available to, our management. Our historical results are not necessarily indicative of the results that may occur in the future and actual results could differ materially from those discussed in or implied by forward-looking statements as a result of various factors, including those discussed below and in the sections entitled “Risk Factors” and “Forward-Looking Statements” included in this Annual Report on Form 10-K.</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InnovAge Holding Corp. (“InnovAge”), formerly TCO Group Holdings, Inc., became a public company in March 2021. The Company serves approximately 6,650 PACE participants, making it the largest PACE provider in the U.S. based upon participants served, and operates 18 PACE centers across Colorado, California, New Mexico, Pennsylvania and Virginia.</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InnovAge aims to allow frail seniors to live life on their terms by aging in place, in their own homes and communities, for as long as safely possible. Through our Program of All-Inclusive Care for the Elderly (“PACE”), we manage, and in many cases directly provide,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the PACE center and third-party medical appointments; and care management. The Company manages its business as one reportable segment, PACE.</w:t>
      </w:r>
    </w:p>
    <w:p>
      <w:pPr>
        <w:spacing w:after="0" w:line="14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the leading healthcare delivery platform by number of participants focused on providing all-inclusive, capitated care to high-cost, dual-eligible seniors. Our programs are designed to directly address two of the most pressing challenges facing the U.S. healthcare industry: rising costs and poor outcomes. Our participant-centered care delivery approach is designed to improve the quality of care our participants receive, while keeping them in their homes for as long as safely possible and reducing over-utilization of high-cost care settings such as hospitals and nursing homes. Our participant-centered approach is led by our Interdisciplinary Care Teams (“IDTs”), who design, manage and coordinate each participant’s personalized care plan. We directly manage and are responsible for all healthcare needs and associated costs for our participants, including housing costs, where applicable.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participant experience and (iv) addressing social determinants of health.</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COVID-19 and Macroeconomic Conditions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COVID-19 pandemic altered the behavior of businesses and people, the effects of which continue on federal, state and local economies.</w:t>
      </w:r>
    </w:p>
    <w:p>
      <w:pPr>
        <w:spacing w:after="0" w:line="11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virus has and continues to disproportionately impact older adults, especially those with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illnesses, which describes our participants. The United States continues to experience supply chain issues with respect to personal protective equipment (“PPE”) and other medical supplies used to prevent transmission of COVID-19. During the years ended June 30, 2022 and 2021, we acquired significantly greater quantities of medical supplies at significantly higher</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prices than pre-pandemic rates to ensure the safety of our employees and our participants. These costs did not have a material effect on our business or expenses.</w:t>
      </w:r>
    </w:p>
    <w:p>
      <w:pPr>
        <w:spacing w:after="0" w:line="133"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Labor market</w:t>
      </w:r>
      <w:r>
        <w:rPr>
          <w:rFonts w:ascii="Times New Roman" w:cs="Times New Roman" w:eastAsia="Times New Roman" w:hAnsi="Times New Roman"/>
          <w:sz w:val="18"/>
          <w:szCs w:val="18"/>
          <w:color w:val="auto"/>
        </w:rPr>
        <w:t>. The COVID-19 pandemic has and continues to exacerbate difficulties to hire additional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causing certain of our centers to be understaffed or staffed with personnel that requires training. The labor shortage has also contributed to the increased wage pressure to retain and attract such healthcare professionals. The combination of increased wage pressure and labor shortage amongst healthcare personnel, and specifically, trained personnel, has impacted and may continue to impact our expenses and ability to adhere to the complex government laws and regulations that apply to our business.</w:t>
      </w:r>
    </w:p>
    <w:p>
      <w:pPr>
        <w:spacing w:after="0" w:line="14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Additionally, geopolitical events have contributed to adverse macroeconomic conditions, including but not limited to inflation, new or increased tariffs, changes to fiscal monetary policy, higher interest rates, potential global security issues and market volatility. None of these factors has had a material effect on our operations to date.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0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historical financial performance has been, and we expect our financial performance in the future to be, driven by the following factors:</w:t>
      </w:r>
    </w:p>
    <w:p>
      <w:pPr>
        <w:spacing w:after="0" w:line="119" w:lineRule="exact"/>
        <w:rPr>
          <w:sz w:val="20"/>
          <w:szCs w:val="20"/>
          <w:color w:val="auto"/>
        </w:rPr>
      </w:pPr>
    </w:p>
    <w:p>
      <w:pPr>
        <w:jc w:val="both"/>
        <w:ind w:left="1040" w:right="79" w:hanging="315"/>
        <w:spacing w:after="0" w:line="25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participants. </w:t>
      </w:r>
      <w:r>
        <w:rPr>
          <w:rFonts w:ascii="Times New Roman" w:cs="Times New Roman" w:eastAsia="Times New Roman" w:hAnsi="Times New Roman"/>
          <w:sz w:val="18"/>
          <w:szCs w:val="18"/>
          <w:color w:val="auto"/>
        </w:rPr>
        <w:t>We focus on providing all-inclusive care to frail, high-cost, dual-eligible seniors.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RAF score of 2.40 based on InnovAge data as of June 30, 2022, compared to an average RAF score of 1.08 for Medicare fee-for-service non-dual enrollees, as calculated in an analysis by Avalere Health in June 2020 of a cohort of individuals enrolled in Medicare Fee-for-Service in 2020; and (ii) we manage Medicaid spend in addition to Medicare. Our participants are managed on a capitated, or at-risk, basis, where InnovAge is financially responsible for all of their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growth trajectory. The Medicare portion of our capitated payment is risk-based on the underlying medical conditions and frailty of each participant.</w:t>
      </w:r>
    </w:p>
    <w:p>
      <w:pPr>
        <w:spacing w:after="0" w:line="152"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effectively implement remediation efforts in our centers as a result of our recent audits.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priority is to remediate the deficiencies raised in the audit processes in California, Colorado and New Mexico. As part of its actions to do so, the Company has worked with the appropriate authorities to make the necessary changes within the Company to increase care coordination and care documentation among our centers, including working to fill critical personnel gaps at our centers, standardizing the process of our IDTs, strengthening our home care network and reliability, improving timelines of scheduling and coordinating care with providers outside our centers, among others. For more information, see Item 1. “Business.” We expect that our ability effectively implement remediation initiatives will have an impact on our efforts to lift the sanctions imposed by regulatory agencies on our ability to increase enrollments at our centers in Sacramento, California and all our centers in Colorado, and our return to growth. For more information, see Item 1A. Risk Factors, “Risks Related to Our Business—Our business strategy may not realize expected returns.”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grow enrollment and capacity within existing centers. </w:t>
      </w:r>
      <w:r>
        <w:rPr>
          <w:rFonts w:ascii="Times New Roman" w:cs="Times New Roman" w:eastAsia="Times New Roman" w:hAnsi="Times New Roman"/>
          <w:sz w:val="18"/>
          <w:szCs w:val="18"/>
          <w:color w:val="auto"/>
        </w:rPr>
        <w:t>We believe all seniors should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the type of all-inclusive care offered by the PACE model. Several factors can affect our ability to grow enrollment and capacity within existing centers, including sanctions issued by regulators. Currently, the Centers for Medicare and Medicaid Services (“CMS”) and state agencies have suspended new enrollments at our Sacramento, California center and at our centers in the State of Colorado. See Item 1A.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040" w:right="79"/>
        <w:spacing w:after="0" w:line="260" w:lineRule="auto"/>
        <w:rPr>
          <w:sz w:val="20"/>
          <w:szCs w:val="20"/>
          <w:color w:val="auto"/>
        </w:rPr>
      </w:pPr>
      <w:r>
        <w:rPr>
          <w:rFonts w:ascii="Times New Roman" w:cs="Times New Roman" w:eastAsia="Times New Roman" w:hAnsi="Times New Roman"/>
          <w:sz w:val="18"/>
          <w:szCs w:val="18"/>
          <w:color w:val="auto"/>
        </w:rPr>
        <w:t>Risk Factors, “Risks Related to Our Business</w:t>
      </w:r>
      <w:r>
        <w:rPr>
          <w:rFonts w:ascii="Arial" w:cs="Arial" w:eastAsia="Arial" w:hAnsi="Arial"/>
          <w:sz w:val="18"/>
          <w:szCs w:val="18"/>
          <w:color w:val="auto"/>
        </w:rPr>
        <w:t>—</w:t>
      </w:r>
      <w:r>
        <w:rPr>
          <w:rFonts w:ascii="Times New Roman" w:cs="Times New Roman" w:eastAsia="Times New Roman" w:hAnsi="Times New Roman"/>
          <w:sz w:val="18"/>
          <w:szCs w:val="18"/>
          <w:color w:val="auto"/>
        </w:rPr>
        <w:t>We face inspections, reviews, audits and investigations under federal and state government programs and contracts. These audits require corrective actions and have resulted in adverse findings that have negatively affected and may continue to affect our business, including our results of operations, liquidity, financial condition and reputation.”</w:t>
      </w:r>
    </w:p>
    <w:p>
      <w:pPr>
        <w:spacing w:after="0" w:line="154" w:lineRule="exact"/>
        <w:rPr>
          <w:sz w:val="20"/>
          <w:szCs w:val="20"/>
          <w:color w:val="auto"/>
        </w:rPr>
      </w:pPr>
    </w:p>
    <w:p>
      <w:pPr>
        <w:jc w:val="both"/>
        <w:ind w:left="1040" w:right="79" w:hanging="315"/>
        <w:spacing w:after="0" w:line="254"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high participant satisfaction and retention. </w:t>
      </w:r>
      <w:r>
        <w:rPr>
          <w:rFonts w:ascii="Times New Roman" w:cs="Times New Roman" w:eastAsia="Times New Roman" w:hAnsi="Times New Roman"/>
          <w:sz w:val="18"/>
          <w:szCs w:val="18"/>
          <w:color w:val="auto"/>
        </w:rPr>
        <w:t>Our comprehensive individualized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and frequency of interaction with participants generates high levels of participant satisfaction. We have multiple touch points with participants and their families, which enhances participant receptivity to our services, leading to an 81% participant satisfaction rating as of January 1, 2022 and average participant tenure of 3.7 years as of June 30, 2022, measured as tenure from enrollment to disenrollment, among our centers that have been operated by us for at least five years. Furthermore, we experience low levels of voluntary disenrollment, averaging 5% annually over the last three fiscal years. Approximately 75% of our historical disenrollments have been involuntary, due primarily to participant death and otherwise to participants moving out of our service areas.</w:t>
      </w:r>
    </w:p>
    <w:p>
      <w:pPr>
        <w:spacing w:after="0" w:line="147"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Effectively managing the cost of care for our participants</w:t>
      </w:r>
      <w:r>
        <w:rPr>
          <w:rFonts w:ascii="Times New Roman" w:cs="Times New Roman" w:eastAsia="Times New Roman" w:hAnsi="Times New Roman"/>
          <w:sz w:val="18"/>
          <w:szCs w:val="18"/>
          <w:color w:val="auto"/>
        </w:rPr>
        <w:t>. We receive capitated payments to manage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totality of a participant’s medical care across all settings. Because our participants are among the most frail and medically complex individuals in the U.S. healthcare system, our external provider costs and cost of care, excluding depreciation and amortization, represented approximately 79% of our revenue in the year ended June 30, 2022.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spacing w:after="0" w:line="144"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Center-level Contribution Margin</w:t>
      </w:r>
      <w:r>
        <w:rPr>
          <w:rFonts w:ascii="Times New Roman" w:cs="Times New Roman" w:eastAsia="Times New Roman" w:hAnsi="Times New Roman"/>
          <w:sz w:val="18"/>
          <w:szCs w:val="18"/>
          <w:color w:val="auto"/>
        </w:rPr>
        <w:t>. As we serve more participants in existing centers, we leverage our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base at those centers and the value of a center to our business increases over time. At this time, the enrollment sanctions in place in Sacramento, California and Colorado limit our ability to grow our participant census and impact Center-level Contribution Margin. See Item 1A. Risk Factors, “Risks Related to Our Business</w:t>
      </w:r>
      <w:r>
        <w:rPr>
          <w:rFonts w:ascii="Arial" w:cs="Arial" w:eastAsia="Arial" w:hAnsi="Arial"/>
          <w:sz w:val="18"/>
          <w:szCs w:val="18"/>
          <w:color w:val="auto"/>
        </w:rPr>
        <w:t>—</w:t>
      </w:r>
      <w:r>
        <w:rPr>
          <w:rFonts w:ascii="Times New Roman" w:cs="Times New Roman" w:eastAsia="Times New Roman" w:hAnsi="Times New Roman"/>
          <w:sz w:val="18"/>
          <w:szCs w:val="18"/>
          <w:color w:val="auto"/>
        </w:rPr>
        <w:t>We face inspections, reviews, audits and investigations under federal and state government programs and contracts. These audits require corrective actions and have resulted in adverse findings that have negatively affected and may continue to affect our business, including our results of operations, liquidity, financial condition and reputation.”</w:t>
      </w:r>
    </w:p>
    <w:p>
      <w:pPr>
        <w:spacing w:after="0" w:line="156"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expand via acquisition or de novo centers within existing and new markets. </w:t>
      </w:r>
      <w:r>
        <w:rPr>
          <w:rFonts w:ascii="Times New Roman" w:cs="Times New Roman" w:eastAsia="Times New Roman" w:hAnsi="Times New Roman"/>
          <w:sz w:val="18"/>
          <w:szCs w:val="18"/>
          <w:color w:val="auto"/>
        </w:rPr>
        <w:t>Several factors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affect our ability to open de novo centers, including sanctions issued by regulators. On January 7, 2022, the Department of Health Care Services (“DHCS”) of the State of California notified us that it was suspending the State’s previously provided assurances that it would enter into a PACE program agreement with the Company (State Attestations) with respect to de novo centers in the State of California until such time as the corrective action plans (“CAPs”) and the remediation and validation processes for our Sacramento center have been successfully completed and the enrollment sanctions are lifted. </w:t>
      </w:r>
      <w:r>
        <w:rPr>
          <w:rFonts w:ascii="Times New Roman" w:cs="Times New Roman" w:eastAsia="Times New Roman" w:hAnsi="Times New Roman"/>
          <w:sz w:val="18"/>
          <w:szCs w:val="18"/>
          <w:color w:val="212529"/>
        </w:rPr>
        <w:t>In addition, on February 9, 2022, we received notice from the Cabinet for Health and Family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of the State of Kentucky informing us that </w:t>
      </w:r>
      <w:r>
        <w:rPr>
          <w:rFonts w:ascii="Times New Roman" w:cs="Times New Roman" w:eastAsia="Times New Roman" w:hAnsi="Times New Roman"/>
          <w:sz w:val="18"/>
          <w:szCs w:val="18"/>
          <w:color w:val="000000"/>
        </w:rPr>
        <w:t>they no longer intend to enter into an agreement with us to be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PACE provider in the State of Kentucky. On February 14, 2022, CMS denied our application to develop the previously announced PACE center in Terre Haute, Indiana, which was projected to open in fiscal year 2024 based on deficiencies detected during CMS’s 2021 audits of our Sacramento and Colorado PACE programs. In addition, we have committed to CMS and the Agency for Healthcare Administration in the State of Florida, that we will proactively pause remaining steps with respect to de novo centers to focus on remediating deficiencies raised in the audit processes.</w:t>
      </w:r>
    </w:p>
    <w:p>
      <w:pPr>
        <w:spacing w:after="0" w:line="155" w:lineRule="exact"/>
        <w:rPr>
          <w:rFonts w:ascii="Times New Roman" w:cs="Times New Roman" w:eastAsia="Times New Roman" w:hAnsi="Times New Roman"/>
          <w:sz w:val="18"/>
          <w:szCs w:val="18"/>
          <w:color w:val="auto"/>
        </w:rPr>
      </w:pPr>
    </w:p>
    <w:p>
      <w:pPr>
        <w:jc w:val="both"/>
        <w:ind w:left="1040" w:right="79" w:hanging="315"/>
        <w:spacing w:after="0" w:line="257"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tuck-in acquisitions. </w:t>
      </w:r>
      <w:r>
        <w:rPr>
          <w:rFonts w:ascii="Times New Roman" w:cs="Times New Roman" w:eastAsia="Times New Roman" w:hAnsi="Times New Roman"/>
          <w:sz w:val="18"/>
          <w:szCs w:val="18"/>
          <w:color w:val="auto"/>
        </w:rPr>
        <w:t>From fiscal year 2019 through fiscal year 2021, we acquired and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PACE organizations, expanding our InnovAge Platform to one new state and four new markets through those acquisitions. When integrating acquired programs, we work closely with key constituencies, including local governments, health systems and senior housing providers, to enable continuity of quality care for our participants. Once restrictions on our ability to enroll participants as a result of the audits of our centers in Sacramento, California and Colorado and on our ability to open</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82" w:lineRule="auto"/>
        <w:rPr>
          <w:sz w:val="20"/>
          <w:szCs w:val="20"/>
          <w:color w:val="auto"/>
        </w:rPr>
      </w:pPr>
      <w:r>
        <w:rPr>
          <w:rFonts w:ascii="Times New Roman" w:cs="Times New Roman" w:eastAsia="Times New Roman" w:hAnsi="Times New Roman"/>
          <w:sz w:val="18"/>
          <w:szCs w:val="18"/>
          <w:color w:val="auto"/>
        </w:rPr>
        <w:t>de novo centers as a result of actions taken by other states or us, are lifted or resolved, we believe there is a robust landscape of potential tuck-in acquisitions to supplement our organic growth.</w:t>
      </w:r>
    </w:p>
    <w:p>
      <w:pPr>
        <w:spacing w:after="0" w:line="133" w:lineRule="exact"/>
        <w:rPr>
          <w:sz w:val="20"/>
          <w:szCs w:val="20"/>
          <w:color w:val="auto"/>
        </w:rPr>
      </w:pPr>
    </w:p>
    <w:p>
      <w:pPr>
        <w:jc w:val="both"/>
        <w:ind w:left="1040" w:right="79" w:hanging="315"/>
        <w:spacing w:after="0" w:line="258"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Contracting with government payors</w:t>
      </w:r>
      <w:r>
        <w:rPr>
          <w:rFonts w:ascii="Times New Roman" w:cs="Times New Roman" w:eastAsia="Times New Roman" w:hAnsi="Times New Roman"/>
          <w:sz w:val="18"/>
          <w:szCs w:val="18"/>
          <w:color w:val="auto"/>
        </w:rPr>
        <w:t>. Our economic model relies on our capitated arrangements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payors, namely Medicare and Medicaid. We view the government not only as a payor but also as a key partner in our efforts to expand into new geographies and access more participants in our existing markets. Maintaining, supporting and growing these relationships, particularly as we enter new geographies, is critical to our long-term success.</w:t>
      </w:r>
    </w:p>
    <w:p>
      <w:pPr>
        <w:spacing w:after="0" w:line="142"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support growth</w:t>
      </w:r>
      <w:r>
        <w:rPr>
          <w:rFonts w:ascii="Times New Roman" w:cs="Times New Roman" w:eastAsia="Times New Roman" w:hAnsi="Times New Roman"/>
          <w:sz w:val="18"/>
          <w:szCs w:val="18"/>
          <w:color w:val="auto"/>
        </w:rPr>
        <w:t>. We intend to continue investing in our centers, value-based care model,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organization to support long-term growth. We expect our expenses to increase in absolute dollars for the foreseeable future to support our growth and due to additional costs we are incurring and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also expect to incur additional expenses for the foreseeable future in connection with current and future audits to our centers, remediation plans and current and potential legal and regulatory proceedings.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51"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Seasonality to our business</w:t>
      </w:r>
      <w:r>
        <w:rPr>
          <w:rFonts w:ascii="Times New Roman" w:cs="Times New Roman" w:eastAsia="Times New Roman" w:hAnsi="Times New Roman"/>
          <w:sz w:val="18"/>
          <w:szCs w:val="18"/>
          <w:color w:val="auto"/>
        </w:rPr>
        <w:t>. Our operational and financial results, including medical costs and per-participant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true-ups, will experience some variability depending upon the time of year in which they are measured. Medical costs vary most significantly as a result of (i) the weather, with certain illnesses, such as the influenza virus and possibly COVID-19,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RAF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nor control over the timing of such payments.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left="60" w:right="59" w:firstLine="324"/>
        <w:spacing w:after="0" w:line="264" w:lineRule="auto"/>
        <w:rPr>
          <w:sz w:val="20"/>
          <w:szCs w:val="20"/>
          <w:color w:val="auto"/>
        </w:rPr>
      </w:pPr>
      <w:r>
        <w:rPr>
          <w:rFonts w:ascii="Times New Roman" w:cs="Times New Roman" w:eastAsia="Times New Roman" w:hAnsi="Times New Roman"/>
          <w:sz w:val="18"/>
          <w:szCs w:val="18"/>
          <w:i w:val="1"/>
          <w:iCs w:val="1"/>
          <w:color w:val="auto"/>
        </w:rPr>
        <w:t>Capitation Revenue</w:t>
      </w:r>
      <w:r>
        <w:rPr>
          <w:rFonts w:ascii="Times New Roman" w:cs="Times New Roman" w:eastAsia="Times New Roman" w:hAnsi="Times New Roman"/>
          <w:sz w:val="18"/>
          <w:szCs w:val="18"/>
          <w:color w:val="auto"/>
        </w:rPr>
        <w:t>. In order to provide comprehensive services to manage the totality of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care across all settings, we receive fixed or capitated fees per participant that are paid monthly by Medicare, Medicaid, Veterans Affairs (“VA”) and private pay sources. The concentration of capitation revenue from our various payors was:</w:t>
      </w:r>
    </w:p>
    <w:p>
      <w:pPr>
        <w:spacing w:after="0" w:line="200" w:lineRule="exact"/>
        <w:rPr>
          <w:sz w:val="20"/>
          <w:szCs w:val="20"/>
          <w:color w:val="auto"/>
        </w:rPr>
      </w:pPr>
    </w:p>
    <w:p>
      <w:pPr>
        <w:spacing w:after="0" w:line="27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Medicaid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pay and other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820"/>
        <w:spacing w:after="0"/>
        <w:rPr>
          <w:sz w:val="20"/>
          <w:szCs w:val="20"/>
          <w:color w:val="auto"/>
        </w:rPr>
      </w:pPr>
      <w:r>
        <w:rPr>
          <w:rFonts w:ascii="Times New Roman" w:cs="Times New Roman" w:eastAsia="Times New Roman" w:hAnsi="Times New Roman"/>
          <w:sz w:val="16"/>
          <w:szCs w:val="16"/>
          <w:color w:val="auto"/>
        </w:rPr>
        <w:t>* denotes less than 1%</w:t>
      </w:r>
    </w:p>
    <w:p>
      <w:pPr>
        <w:spacing w:after="0" w:line="230"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Medicaid and Medicare capitation revenues are based on PMPM capitation rates under the PACE program. The PACE state contracts between us and the respective state Medicaid administering agency are amended annually each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this Annual Report on Form 10-K.</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primarily consists of revenues derived from fee-for-service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arrangements, state food grants, rent revenues and management fees. We generate fee-for-service revenue from providing home-care services to non-PACE patients in their homes, for which we bill the patient or their insurance plan on a fee-for-service basis. For a discussion of our revenue recognition policies, please see </w:t>
      </w:r>
      <w:r>
        <w:rPr>
          <w:rFonts w:ascii="Times New Roman" w:cs="Times New Roman" w:eastAsia="Times New Roman" w:hAnsi="Times New Roman"/>
          <w:sz w:val="18"/>
          <w:szCs w:val="18"/>
          <w:i w:val="1"/>
          <w:iCs w:val="1"/>
          <w:color w:val="auto"/>
        </w:rPr>
        <w:t>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and Estimates </w:t>
      </w:r>
      <w:r>
        <w:rPr>
          <w:rFonts w:ascii="Times New Roman" w:cs="Times New Roman" w:eastAsia="Times New Roman" w:hAnsi="Times New Roman"/>
          <w:sz w:val="18"/>
          <w:szCs w:val="18"/>
          <w:color w:val="auto"/>
        </w:rPr>
        <w:t>below and Note 2 “Summary of Significant Accounting Policies” to our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this Annual Report on Form 10-K.</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consist primarily of the costs for medical care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non-InnovAge providers. We separate external provider costs into four categories: inpatient (e.g., hospital), housing (e.g., assisted living), outpatient and pharmacy. In aggregate, external provider costs represent the largest portion of our expenses.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the costs we incur to operate our care delivery model. This includes costs related to IDTs, salaries, wages and benefits for center-level staff, participant transportation, medical supplies, occupancy, insurance and other operating costs. IDT employees include medical doctors, registered nurses, social workers, physical, occupational, and speech therapists, nursing assistants, and transportation workers.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is fixed relative to the number of participants we serve, such as occupancy and insurance expenses. The remainder of our cost of care, including our employee-related costs, is directly related to the number of participants cared for in a center. As a result, as revenue increases due to census growth, cost of care, excluding depreciation and amortization, typically decreases as a percentage of revenue. As we open new centers, we expect cost of care, excluding depreciation and amortization, to increase in absolute dollars due to higher census and facility related costs.</w:t>
      </w:r>
    </w:p>
    <w:p>
      <w:pPr>
        <w:spacing w:after="0" w:line="200" w:lineRule="exact"/>
        <w:rPr>
          <w:sz w:val="20"/>
          <w:szCs w:val="20"/>
          <w:color w:val="auto"/>
        </w:rPr>
      </w:pPr>
    </w:p>
    <w:p>
      <w:pPr>
        <w:spacing w:after="0" w:line="20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employee-related expenses,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and employee benefits 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further our growth without negatively affecting profitability.</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Expenses. </w:t>
      </w:r>
      <w:r>
        <w:rPr>
          <w:rFonts w:ascii="Times New Roman" w:cs="Times New Roman" w:eastAsia="Times New Roman" w:hAnsi="Times New Roman"/>
          <w:sz w:val="18"/>
          <w:szCs w:val="18"/>
          <w:color w:val="auto"/>
        </w:rPr>
        <w:t>Corporate, general and administrative expenses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employee-related expenses, including salaries and related costs. In addition, general and administrative expenses include all corporate technology and occupancy costs associated with our regional corporate offices. We expect our general and administrative expenses 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85"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are primarily attributable to our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leasehold improvements and our equipment and vehicles. Depreciation and amortization are recorded using the straight-line method over the shorter of estimated useful life or lease terms, to the extent the assets are being leased.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Loss. </w:t>
      </w:r>
      <w:r>
        <w:rPr>
          <w:rFonts w:ascii="Times New Roman" w:cs="Times New Roman" w:eastAsia="Times New Roman" w:hAnsi="Times New Roman"/>
          <w:sz w:val="18"/>
          <w:szCs w:val="18"/>
          <w:color w:val="auto"/>
        </w:rPr>
        <w:t>Equity loss relates to our equity method investment in InnovAge Sacramento, which began operations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2020 and subsequently became a consolidated entity effective January 1, 2021.</w:t>
      </w:r>
    </w:p>
    <w:p>
      <w:pPr>
        <w:spacing w:after="0" w:line="131" w:lineRule="exact"/>
        <w:rPr>
          <w:sz w:val="20"/>
          <w:szCs w:val="20"/>
          <w:color w:val="auto"/>
        </w:rPr>
      </w:pPr>
    </w:p>
    <w:p>
      <w:pPr>
        <w:jc w:val="both"/>
        <w:ind w:left="60" w:right="79" w:firstLine="324"/>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(Income). </w:t>
      </w:r>
      <w:r>
        <w:rPr>
          <w:rFonts w:ascii="Times New Roman" w:cs="Times New Roman" w:eastAsia="Times New Roman" w:hAnsi="Times New Roman"/>
          <w:sz w:val="18"/>
          <w:szCs w:val="18"/>
          <w:color w:val="auto"/>
        </w:rPr>
        <w:t>Other operating expenses (income) consists of the payment and re-measurement of contingent consideration to fair value relating to our acquisition of NewCourtland LIFE Program (“NewCourtland”).</w:t>
      </w:r>
    </w:p>
    <w:p>
      <w:pPr>
        <w:spacing w:after="0" w:line="388"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more information relating to the components of our results of operations,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this Annual Report on Form 10-K for more detailed information regarding our critical accounting policies.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0" w:type="dxa"/>
            <w:vAlign w:val="bottom"/>
          </w:tcPr>
          <w:p>
            <w:pPr>
              <w:spacing w:after="0"/>
              <w:rPr>
                <w:sz w:val="1"/>
                <w:szCs w:val="1"/>
                <w:color w:val="auto"/>
              </w:rPr>
            </w:pPr>
          </w:p>
        </w:tc>
      </w:tr>
      <w:tr>
        <w:trPr>
          <w:trHeight w:val="199"/>
        </w:trPr>
        <w:tc>
          <w:tcPr>
            <w:tcW w:w="65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4"/>
          </w:tcPr>
          <w:p>
            <w:pPr>
              <w:jc w:val="center"/>
              <w:ind w:left="51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Capitation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696,998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service revenue</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External provider costs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loss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InnovAge Holding Corp.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32" w:lineRule="exact"/>
        <w:rPr>
          <w:sz w:val="20"/>
          <w:szCs w:val="20"/>
          <w:color w:val="auto"/>
        </w:rPr>
      </w:pPr>
    </w:p>
    <w:p>
      <w:pPr>
        <w:ind w:left="5560"/>
        <w:spacing w:after="0"/>
        <w:tabs>
          <w:tab w:leader="none" w:pos="6480" w:val="left"/>
          <w:tab w:leader="none" w:pos="7260" w:val="left"/>
          <w:tab w:leader="none" w:pos="81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r>
        <w:rPr>
          <w:sz w:val="20"/>
          <w:szCs w:val="20"/>
          <w:color w:val="auto"/>
        </w:rPr>
        <w:tab/>
      </w:r>
      <w:r>
        <w:rPr>
          <w:rFonts w:ascii="Times New Roman" w:cs="Times New Roman" w:eastAsia="Times New Roman" w:hAnsi="Times New Roman"/>
          <w:sz w:val="16"/>
          <w:szCs w:val="16"/>
          <w:b w:val="1"/>
          <w:bCs w:val="1"/>
          <w:color w:val="auto"/>
        </w:rPr>
        <w:t>$ Change</w:t>
      </w:r>
      <w:r>
        <w:rPr>
          <w:sz w:val="20"/>
          <w:szCs w:val="20"/>
          <w:color w:val="auto"/>
        </w:rPr>
        <w:tab/>
      </w:r>
      <w:r>
        <w:rPr>
          <w:rFonts w:ascii="Times New Roman" w:cs="Times New Roman" w:eastAsia="Times New Roman" w:hAnsi="Times New Roman"/>
          <w:sz w:val="15"/>
          <w:szCs w:val="15"/>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-114935</wp:posOffset>
            </wp:positionV>
            <wp:extent cx="1097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-114935</wp:posOffset>
            </wp:positionV>
            <wp:extent cx="22974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Capitation revenue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$ 696,998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$ 635,322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service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09"/>
        </w:trPr>
        <w:tc>
          <w:tcPr>
            <w:tcW w:w="5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$ 698,640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$ 637,800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5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Capitation revenue. </w:t>
      </w:r>
      <w:r>
        <w:rPr>
          <w:rFonts w:ascii="Times New Roman" w:cs="Times New Roman" w:eastAsia="Times New Roman" w:hAnsi="Times New Roman"/>
          <w:sz w:val="18"/>
          <w:szCs w:val="18"/>
          <w:color w:val="auto"/>
        </w:rPr>
        <w:t>Capitation revenue was $697.0 million for the year ended June 30, 2022,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$61.7 million, or 9.7%, compared to $635.3 million for the year ended June 30, 2021. This increase was driven by (i) an increase in capitation rates and (ii) a 4.3% increase total in member months (as defined below under “Key Business Metrics and non-GAAP Measures – Total member months”). The increase in capitation rates was primarily driven by an annual increase in Medicaid capitation rates as determined by the States and Medicare capitation rates as a result of increased risk score and county rates.</w:t>
      </w:r>
    </w:p>
    <w:p>
      <w:pPr>
        <w:spacing w:after="0" w:line="14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was $1.6 million for the year ended June 30, 2022, a decrease of $0.8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33.7%, from $2.5 million for the year ended June 30, 2021. The decrease is primarily due to less fee-for-service revenue as a result of winding down our in-home care services and a decrease in food grant revenue as a result of fewer meals provided for the year ended June 30, 2022 when compared to the same period in 2021.</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18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52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6"/>
        </w:trPr>
        <w:tc>
          <w:tcPr>
            <w:tcW w:w="5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5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External provider costs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$ 383,046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$ 309,317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(30,680)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loss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(18,211)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$ 703,046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$ 650,137</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were $383.0 million for the year ended June 30, 2022,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$73.7 million, or 23.8%, compared to $309.3 million for the year ended June 30, 2021. The increase was primarily driven by (i) an increase of 18.8% in cost per participant and (ii) an increase of 4.3% in member months. The increase in cost per participant was primarily driven by the net effect of (i) an increase in inpatient and medical respite utilization and cost as a result of the Omicron COVID-19 surge, (ii) an increase in post-acute care utilization and cost, (iii) increased housing utilization, (iv) increased housing rates as mandated by certain states, and (v) an increase in outpatient and specialist care expenses, in part as a result of our participants seeking healthcare services that were delayed during the COVID-19 pandemic.</w:t>
      </w:r>
    </w:p>
    <w:p>
      <w:pPr>
        <w:spacing w:after="0" w:line="14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$180.2 million for the year ended June 30, 2022, an increase of $25.8 million, or 16.7%, compared to $154.4 million for the year ended June 30, 2021, primarily due to the net effect of (i) an increase of 4.3% in member months and (ii) an increase of 11.9% in cost per participant. The increase in cost per participant was driven by an increase in operational costs of reopening our centers following shutdowns as a result of COVID-19, pre-opening losses associated with de novo locations, increased labor costs associated with ongoing audit remediation and compliance efforts, and an increase in headcount and wage 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were $24.2 million for the year ended June 30, 2022,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 million, or 8.8%, compared to $22.2 million for the year ended June 30, 2021, primarily due to an increase in (i) employee compensation and benefits due to an increase in FTEs and (ii) costs associated with organizational realignment.</w:t>
      </w:r>
    </w:p>
    <w:p>
      <w:pPr>
        <w:spacing w:after="0" w:line="17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expenses. </w:t>
      </w:r>
      <w:r>
        <w:rPr>
          <w:rFonts w:ascii="Times New Roman" w:cs="Times New Roman" w:eastAsia="Times New Roman" w:hAnsi="Times New Roman"/>
          <w:sz w:val="18"/>
          <w:szCs w:val="18"/>
          <w:color w:val="auto"/>
        </w:rPr>
        <w:t>Corporate, general and administrative expenses were $101.7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June 30, 2022, a decrease of $30.7 million, or 23.2%, compared to $132.3 million for the year ended June 30, 2021. The decrease was primarily due to the fees incurred during fiscal year 2021 as a result of the July 27, 2020 transaction between us, Ignite Aggregator LP (an investment vehicle owned by certain funds advised by Apax Partners LLP) and our then-existing equity holders entering into a Securities Purchase Agreement (the “Apax Transaction”). In connection with the Apax Transaction, $45.4 million was recorded related to the cancellation of 16,994,975 common stock options outstanding under the Company’s 2016 Equity Incentive Plan and $13.1 million of transaction related costs were recorded as corporate, general and administrative expenses. Offsetting the decrease of $58.5 million related to the Apax Transaction were expenses related to (i) employee compensation and benefits as the result of an increase in FTEs, (ii) compliance-related expense, (iii) costs associated with organizational realignment, (iv) increased legal costs, (v) costs associated with executive severance and recruiting and (vi) increased costs associated with being a publicly traded company.</w:t>
      </w:r>
    </w:p>
    <w:p>
      <w:pPr>
        <w:spacing w:after="0" w:line="19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$13.9 million for the year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 increase of $1.6 million, or 13.3%, compared to $12.3 million for the year ended June 30, 2021. The increase in depreciation expense was a result of capital additions in the normal course of business.</w:t>
      </w:r>
    </w:p>
    <w:p>
      <w:pPr>
        <w:spacing w:after="0" w:line="17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loss. </w:t>
      </w:r>
      <w:r>
        <w:rPr>
          <w:rFonts w:ascii="Times New Roman" w:cs="Times New Roman" w:eastAsia="Times New Roman" w:hAnsi="Times New Roman"/>
          <w:sz w:val="18"/>
          <w:szCs w:val="18"/>
          <w:color w:val="auto"/>
        </w:rPr>
        <w:t>Equity loss was $1.3 million for the year ended June 30, 2021, which related to our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InnovAge Sacramento. InnovAge Sacramento began operations in July 2020 and was subsequently consolidated into operations effective January 1, 2021, therefore there were no equity earnings for the year ended June 30, 2022.</w:t>
      </w:r>
    </w:p>
    <w:p>
      <w:pPr>
        <w:spacing w:after="0" w:line="15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Other operating expenses were $18.2 million for the year ended June 30, 2021,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payment of $20.0 million, and related change in fair value of contingent consideration, made under the acquisition agreement of the NewCourtland LIFE Program during the year ended June 30, 2021. There were no such payments during the year ended June 30, 2022.</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17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53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6"/>
        </w:trPr>
        <w:tc>
          <w:tcPr>
            <w:tcW w:w="5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5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 (2,526)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 (16,787)</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85.0 %</w:t>
            </w: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(14,479)</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16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(10,871)</w:t>
            </w: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6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86.4 %</w:t>
            </w:r>
          </w:p>
        </w:tc>
      </w:tr>
      <w:tr>
        <w:trPr>
          <w:trHeight w:val="210"/>
        </w:trPr>
        <w:tc>
          <w:tcPr>
            <w:tcW w:w="5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(22,632)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87.5 %</w:t>
            </w:r>
          </w:p>
        </w:tc>
      </w:tr>
      <w:tr>
        <w:trPr>
          <w:trHeight w:val="20"/>
        </w:trPr>
        <w:tc>
          <w:tcPr>
            <w:tcW w:w="5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primarily of interest payments on our outstanding borrowings,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income earned on our cash and cash equivalents and restricted cash. Interest expense, net was $2.5 million for the year ended June 30, 2022, a decrease of $14.3 million, or 85.0%, compared to $16.8 million for the year ended June 30, 2021. The decrease was primarily due to a lower average outstanding debt balance. For additional information regarding our outstanding indebtedness, see Note 8 “Long-term Debt” to our consolidated financial statements.</w:t>
      </w:r>
    </w:p>
    <w:p>
      <w:pPr>
        <w:spacing w:after="0" w:line="14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We recognized a loss on extinguishment of debt of $14.5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2021 and no loss on extinguishment of debt for the year ended June 30, 2022. On July 27, 2020, we amended and restated our 2016 Credit Agreement, which led to an extinguishment of debt for certain lenders and a modification of debt for other lenders. The total debt structure extinguishment for certain lenders led to the write-off of $1.0 million in debt</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issuance costs. On March 8, 2021, we entered into the 2021 Credit Agreement, which led to an extinguishment of debt of $13.5 million, including $6.0 million of a prepayment penalty.</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equity method investment. </w:t>
      </w:r>
      <w:r>
        <w:rPr>
          <w:rFonts w:ascii="Times New Roman" w:cs="Times New Roman" w:eastAsia="Times New Roman" w:hAnsi="Times New Roman"/>
          <w:sz w:val="18"/>
          <w:szCs w:val="18"/>
          <w:color w:val="auto"/>
        </w:rPr>
        <w:t>We recognized a gain on equity method investment of $10.9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2021, which was related to InnovAge Sacramento becoming a consolidated entity as of January 1, 2021, and no gain on equity method investment for the year ended June 30, 2022.</w:t>
      </w:r>
    </w:p>
    <w:p>
      <w:pPr>
        <w:spacing w:after="0" w:line="17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Other expense was $0.3 million for the year ended June 30, 2022, a decrease of $1.9 million, or 86.4%,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$2.2 million for the year ended June 30, 2021, due primarily to an amendment of the warrants issued by the Company to Adventist Health System/West (“Sacramento Warrants”) resulting in additional expense of $2.3 million in 2021.</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(as defined below under “—</w:t>
      </w:r>
      <w:r>
        <w:rPr>
          <w:rFonts w:ascii="Times New Roman" w:cs="Times New Roman" w:eastAsia="Times New Roman" w:hAnsi="Times New Roman"/>
          <w:sz w:val="18"/>
          <w:szCs w:val="18"/>
          <w:i w:val="1"/>
          <w:iCs w:val="1"/>
          <w:color w:val="auto"/>
        </w:rPr>
        <w:t>Net Loss Attributable to Noncontrolling Interests</w:t>
      </w:r>
      <w:r>
        <w:rPr>
          <w:rFonts w:ascii="Times New Roman" w:cs="Times New Roman" w:eastAsia="Times New Roman" w:hAnsi="Times New Roman"/>
          <w:sz w:val="18"/>
          <w:szCs w:val="18"/>
          <w:color w:val="auto"/>
        </w:rPr>
        <w:t>”) and InnovAge Sacramento have elected to be taxed as partnerships, and no provision for income taxes for SH1 or InnovAge Sacramento is included in these consolidated financial statements</w:t>
      </w:r>
    </w:p>
    <w:p>
      <w:pPr>
        <w:spacing w:after="0" w:line="151"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4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years ended June 30, 2022 and 2021, we reported provision for income taxes of $0.7 million and $9.8 million, respectively. The decrease of $9.1 million is primarily due to (i) pretax book loss recognized during the year ended June 30, 2022, as compared to the pretax book loss recognized during the year ended June 30, 2021 and (ii) certain permanent differences between the financial and tax accounting treatment of (a) the Section 162(m) limitation on compensation of five highest paid officers, (b) transaction costs associated with the Apax Transaction in the prior year and</w:t>
      </w:r>
    </w:p>
    <w:p>
      <w:pPr>
        <w:spacing w:after="0" w:line="3" w:lineRule="exact"/>
        <w:rPr>
          <w:sz w:val="20"/>
          <w:szCs w:val="20"/>
          <w:color w:val="auto"/>
        </w:rPr>
      </w:pPr>
    </w:p>
    <w:p>
      <w:pPr>
        <w:ind w:left="60" w:right="59" w:hanging="10"/>
        <w:spacing w:after="0" w:line="260" w:lineRule="auto"/>
        <w:tabs>
          <w:tab w:leader="none" w:pos="33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our valuation allowance. There were no transactions during the year ended June 30, 2022, and thus considerably less of an addback for the permanent differences discussed.</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InnovAge Senior Housing Thornton, LLC (“SH1”)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is recorded in the consolidated statements of operations as net loss attributable to noncontrolling interests.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June 30, 2022 and 2021, we reported net loss of $8.0 million and $44.7 million, respectively, consisting of (i) loss from operations of $4.4 million and $12.3 million, respectively, (ii) other expense of $2.8 million and $22.6 million, respectively, and (iii) provision for income taxes of $0.7 million and $9.8 million, respectively, each as described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relating to our accounting policies, see Note 2 “Summary of Significant Accounting Policies” to our consolidated financial statements included in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 and Non-GAAP Measures</w:t>
      </w:r>
    </w:p>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1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Business Metrics: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Centers</w:t>
            </w:r>
            <w:r>
              <w:rPr>
                <w:rFonts w:ascii="Times New Roman" w:cs="Times New Roman" w:eastAsia="Times New Roman" w:hAnsi="Times New Roman"/>
                <w:sz w:val="25"/>
                <w:szCs w:val="25"/>
                <w:color w:val="auto"/>
                <w:vertAlign w:val="superscript"/>
              </w:rPr>
              <w:t>(a)</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Census</w:t>
            </w:r>
            <w:r>
              <w:rPr>
                <w:rFonts w:ascii="Times New Roman" w:cs="Times New Roman" w:eastAsia="Times New Roman" w:hAnsi="Times New Roman"/>
                <w:sz w:val="25"/>
                <w:szCs w:val="25"/>
                <w:color w:val="auto"/>
                <w:vertAlign w:val="superscript"/>
              </w:rPr>
              <w:t>(a)(b)</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6,650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Total Member Months</w:t>
            </w:r>
            <w:r>
              <w:rPr>
                <w:rFonts w:ascii="Times New Roman" w:cs="Times New Roman" w:eastAsia="Times New Roman" w:hAnsi="Times New Roman"/>
                <w:sz w:val="25"/>
                <w:szCs w:val="25"/>
                <w:color w:val="auto"/>
                <w:vertAlign w:val="superscript"/>
              </w:rPr>
              <w:t>(a)</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82,820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Center-level Contribution Margin</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135,372</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Center-level Contribution Margin as a % of revenue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Measures: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(c)</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34,253</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5"/>
                <w:szCs w:val="25"/>
                <w:color w:val="auto"/>
                <w:vertAlign w:val="superscript"/>
              </w:rPr>
              <w:t>(c)</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right="79" w:hanging="330"/>
        <w:spacing w:after="0" w:line="199" w:lineRule="auto"/>
        <w:tabs>
          <w:tab w:leader="none" w:pos="380" w:val="left"/>
        </w:tabs>
        <w:numPr>
          <w:ilvl w:val="0"/>
          <w:numId w:val="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InnovAge Sacramento, which the Company owns and controls through a joint venture and is consolidated in our financial statements.</w:t>
      </w:r>
    </w:p>
    <w:p>
      <w:pPr>
        <w:spacing w:after="0" w:line="2" w:lineRule="exact"/>
        <w:rPr>
          <w:rFonts w:ascii="Times New Roman" w:cs="Times New Roman" w:eastAsia="Times New Roman" w:hAnsi="Times New Roman"/>
          <w:sz w:val="29"/>
          <w:szCs w:val="29"/>
          <w:color w:val="auto"/>
          <w:vertAlign w:val="superscript"/>
        </w:rPr>
      </w:pPr>
    </w:p>
    <w:p>
      <w:pPr>
        <w:ind w:left="380" w:hanging="330"/>
        <w:spacing w:after="0" w:line="180" w:lineRule="auto"/>
        <w:tabs>
          <w:tab w:leader="none" w:pos="380" w:val="left"/>
        </w:tabs>
        <w:numPr>
          <w:ilvl w:val="0"/>
          <w:numId w:val="5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Participant numbers are approximate.</w:t>
      </w:r>
    </w:p>
    <w:p>
      <w:pPr>
        <w:spacing w:after="0" w:line="2" w:lineRule="exact"/>
        <w:rPr>
          <w:rFonts w:ascii="Times New Roman" w:cs="Times New Roman" w:eastAsia="Times New Roman" w:hAnsi="Times New Roman"/>
          <w:sz w:val="25"/>
          <w:szCs w:val="25"/>
          <w:color w:val="auto"/>
          <w:vertAlign w:val="superscript"/>
        </w:rPr>
      </w:pPr>
    </w:p>
    <w:p>
      <w:pPr>
        <w:jc w:val="both"/>
        <w:ind w:left="380" w:right="79" w:hanging="330"/>
        <w:spacing w:after="0" w:line="207" w:lineRule="auto"/>
        <w:tabs>
          <w:tab w:leader="none" w:pos="380" w:val="left"/>
        </w:tabs>
        <w:numPr>
          <w:ilvl w:val="0"/>
          <w:numId w:val="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EBITDA and Adjusted EBITDA margin are non-GAAP measures. For a definition and reconciliation of these non-GAAP measures to the most closely comparable GAAP measures for the period indicated, see below under “—Adjusted EBITDA.”</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Centers</w:t>
      </w:r>
    </w:p>
    <w:p>
      <w:pPr>
        <w:spacing w:after="0" w:line="202" w:lineRule="exact"/>
        <w:rPr>
          <w:sz w:val="20"/>
          <w:szCs w:val="20"/>
          <w:color w:val="auto"/>
        </w:rPr>
      </w:pPr>
    </w:p>
    <w:p>
      <w:pPr>
        <w:ind w:left="60" w:right="159" w:firstLine="324"/>
        <w:spacing w:after="0" w:line="453" w:lineRule="auto"/>
        <w:rPr>
          <w:sz w:val="20"/>
          <w:szCs w:val="20"/>
          <w:color w:val="auto"/>
        </w:rPr>
      </w:pPr>
      <w:r>
        <w:rPr>
          <w:rFonts w:ascii="Times New Roman" w:cs="Times New Roman" w:eastAsia="Times New Roman" w:hAnsi="Times New Roman"/>
          <w:sz w:val="18"/>
          <w:szCs w:val="18"/>
          <w:color w:val="auto"/>
        </w:rPr>
        <w:t xml:space="preserve">We define our centers as those centers open for business and attending to participants at the end of a particular period. </w:t>
      </w:r>
      <w:r>
        <w:rPr>
          <w:rFonts w:ascii="Times New Roman" w:cs="Times New Roman" w:eastAsia="Times New Roman" w:hAnsi="Times New Roman"/>
          <w:sz w:val="18"/>
          <w:szCs w:val="18"/>
          <w:b w:val="1"/>
          <w:bCs w:val="1"/>
          <w:i w:val="1"/>
          <w:iCs w:val="1"/>
          <w:color w:val="auto"/>
        </w:rPr>
        <w:t>Census</w:t>
      </w:r>
    </w:p>
    <w:p>
      <w:pPr>
        <w:spacing w:after="0" w:line="2"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Our census is comprised of our capitated participants for whom we are financially responsible for their total healthcare costs.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member months</w:t>
      </w:r>
    </w:p>
    <w:p>
      <w:pPr>
        <w:spacing w:after="0" w:line="18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Center-level Contribution Margin</w:t>
      </w:r>
    </w:p>
    <w:p>
      <w:pPr>
        <w:spacing w:after="0" w:line="20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We define Center-level Contribution Margin as total revenues less external provider costs and cost of care, excluding depreciation and amortization, which includes all medical and pharmacy costs. For purposes of evaluating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Center-level Contribution Margin on a center-by-center basis, we do not allocate our sales and marketing expense or corporate, general and administrative expenses across our centers. Center-level Contribution Margin was $135.4 million and $174.1 million for the years ended June 30, 2022 and 2021, respectively. The decrease in Center-level Contribution Margin for fiscal year 2022 was primarily due to a year-over-year increase in external provider costs and cost of care of 23.8% and 16.7%, respectively. This was slightly offset by a 9.5% increase in total revenue during the same period. For more information relating to Center-level Contribution Margin, see Note 14 “Segment Reporting” to our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income (loss) adjusted for interest expense, depreciation and amortization, and provision for income tax as well as addbacks for non-recurring expenses or exceptional items, including charges relating to management equity compensation, final determination of rates, executive severance and recruitment, litigation, M&amp;A transaction and integration, business optimization, electronic medical record (“EMR”) implementation, gain on consolidation of equity investee, financing-related fees and contingent consideration. For the years ended June 30, 2022 and 2021, our net loss was $8.0 million and $44.7 million, respectively, representing a year-over-year decline of 82.2%, and Adjusted EBITDA was $34.3 million and $85.3 million, respectively, representing a year-over-year decline of 59.9%.</w:t>
      </w:r>
    </w:p>
    <w:p>
      <w:pPr>
        <w:spacing w:after="0" w:line="14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to net income (loss), the most directly comparable GAAP measure, for each of the periods is as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(7,960)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Rate determination</w:t>
            </w:r>
            <w:r>
              <w:rPr>
                <w:rFonts w:ascii="Times New Roman" w:cs="Times New Roman" w:eastAsia="Times New Roman" w:hAnsi="Times New Roman"/>
                <w:sz w:val="25"/>
                <w:szCs w:val="25"/>
                <w:color w:val="auto"/>
                <w:vertAlign w:val="superscript"/>
              </w:rPr>
              <w:t>(a)</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Executive severance and recruitment</w:t>
            </w:r>
            <w:r>
              <w:rPr>
                <w:rFonts w:ascii="Times New Roman" w:cs="Times New Roman" w:eastAsia="Times New Roman" w:hAnsi="Times New Roman"/>
                <w:sz w:val="25"/>
                <w:szCs w:val="25"/>
                <w:color w:val="auto"/>
                <w:vertAlign w:val="superscript"/>
              </w:rPr>
              <w:t>(b)</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Class action litigation</w:t>
            </w:r>
            <w:r>
              <w:rPr>
                <w:rFonts w:ascii="Times New Roman" w:cs="Times New Roman" w:eastAsia="Times New Roman" w:hAnsi="Times New Roman"/>
                <w:sz w:val="25"/>
                <w:szCs w:val="25"/>
                <w:color w:val="auto"/>
                <w:vertAlign w:val="superscript"/>
              </w:rPr>
              <w:t>(c)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M&amp;A transaction and integration</w:t>
            </w:r>
            <w:r>
              <w:rPr>
                <w:rFonts w:ascii="Times New Roman" w:cs="Times New Roman" w:eastAsia="Times New Roman" w:hAnsi="Times New Roman"/>
                <w:sz w:val="25"/>
                <w:szCs w:val="25"/>
                <w:color w:val="auto"/>
                <w:vertAlign w:val="superscript"/>
              </w:rPr>
              <w:t>(d)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Business optimization</w:t>
            </w:r>
            <w:r>
              <w:rPr>
                <w:rFonts w:ascii="Times New Roman" w:cs="Times New Roman" w:eastAsia="Times New Roman" w:hAnsi="Times New Roman"/>
                <w:sz w:val="25"/>
                <w:szCs w:val="25"/>
                <w:color w:val="auto"/>
                <w:vertAlign w:val="superscript"/>
              </w:rPr>
              <w:t>(e)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EMR implementation</w:t>
            </w:r>
            <w:r>
              <w:rPr>
                <w:rFonts w:ascii="Times New Roman" w:cs="Times New Roman" w:eastAsia="Times New Roman" w:hAnsi="Times New Roman"/>
                <w:sz w:val="25"/>
                <w:szCs w:val="25"/>
                <w:color w:val="auto"/>
                <w:vertAlign w:val="superscript"/>
              </w:rPr>
              <w:t>(f)</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Gain on consolidation of equity investee</w:t>
            </w:r>
            <w:r>
              <w:rPr>
                <w:rFonts w:ascii="Times New Roman" w:cs="Times New Roman" w:eastAsia="Times New Roman" w:hAnsi="Times New Roman"/>
                <w:sz w:val="25"/>
                <w:szCs w:val="25"/>
                <w:color w:val="auto"/>
                <w:vertAlign w:val="superscript"/>
              </w:rPr>
              <w:t>(g)</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Financing-related</w:t>
            </w:r>
            <w:r>
              <w:rPr>
                <w:rFonts w:ascii="Times New Roman" w:cs="Times New Roman" w:eastAsia="Times New Roman" w:hAnsi="Times New Roman"/>
                <w:sz w:val="25"/>
                <w:szCs w:val="25"/>
                <w:color w:val="auto"/>
                <w:vertAlign w:val="superscript"/>
              </w:rPr>
              <w:t>(h)</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Contingent consideration</w:t>
            </w:r>
            <w:r>
              <w:rPr>
                <w:rFonts w:ascii="Times New Roman" w:cs="Times New Roman" w:eastAsia="Times New Roman" w:hAnsi="Times New Roman"/>
                <w:sz w:val="25"/>
                <w:szCs w:val="25"/>
                <w:color w:val="auto"/>
                <w:vertAlign w:val="superscript"/>
              </w:rPr>
              <w:t>(i)</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4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199" w:lineRule="auto"/>
        <w:tabs>
          <w:tab w:leader="none" w:pos="380" w:val="left"/>
        </w:tabs>
        <w:numPr>
          <w:ilvl w:val="0"/>
          <w:numId w:val="5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the year ended June 30, 2021, reflects the CMS settlement payment of approximately $2.2 million related to end-stage renal disease beneficiaries for calendar years 2010 through 2020.</w:t>
      </w:r>
    </w:p>
    <w:p>
      <w:pPr>
        <w:spacing w:after="0" w:line="2" w:lineRule="exact"/>
        <w:rPr>
          <w:rFonts w:ascii="Times New Roman" w:cs="Times New Roman" w:eastAsia="Times New Roman" w:hAnsi="Times New Roman"/>
          <w:sz w:val="29"/>
          <w:szCs w:val="29"/>
          <w:color w:val="auto"/>
          <w:vertAlign w:val="superscript"/>
        </w:rPr>
      </w:pPr>
    </w:p>
    <w:p>
      <w:pPr>
        <w:ind w:left="380" w:hanging="330"/>
        <w:spacing w:after="0" w:line="180" w:lineRule="auto"/>
        <w:tabs>
          <w:tab w:leader="none" w:pos="380" w:val="left"/>
        </w:tabs>
        <w:numPr>
          <w:ilvl w:val="0"/>
          <w:numId w:val="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Reflects charges related to executive severance and recruiting.</w:t>
      </w:r>
    </w:p>
    <w:p>
      <w:pPr>
        <w:spacing w:after="0" w:line="2" w:lineRule="exact"/>
        <w:rPr>
          <w:rFonts w:ascii="Times New Roman" w:cs="Times New Roman" w:eastAsia="Times New Roman" w:hAnsi="Times New Roman"/>
          <w:sz w:val="25"/>
          <w:szCs w:val="25"/>
          <w:color w:val="auto"/>
          <w:vertAlign w:val="superscript"/>
        </w:rPr>
      </w:pPr>
    </w:p>
    <w:p>
      <w:pPr>
        <w:ind w:left="380" w:right="79" w:hanging="330"/>
        <w:spacing w:after="0" w:line="191" w:lineRule="auto"/>
        <w:tabs>
          <w:tab w:leader="none" w:pos="380" w:val="left"/>
        </w:tabs>
        <w:numPr>
          <w:ilvl w:val="0"/>
          <w:numId w:val="5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Reflects charges related to litigation by shareholders. See Item 3, “Legal Proceedings” included in this Annual Report on Form 10-K.</w:t>
      </w:r>
    </w:p>
    <w:p>
      <w:pPr>
        <w:jc w:val="both"/>
        <w:ind w:left="380" w:right="79" w:hanging="330"/>
        <w:spacing w:after="0" w:line="208" w:lineRule="auto"/>
        <w:tabs>
          <w:tab w:leader="none" w:pos="380" w:val="left"/>
        </w:tabs>
        <w:numPr>
          <w:ilvl w:val="0"/>
          <w:numId w:val="5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the year ended June 30, 2021, this primarily represents (i) $45.4 million related to the cancellation of options and the redemption of shares and (ii) $13.1 million of transaction fees and expenses recognized in connection with the Apax Transaction.</w:t>
      </w:r>
    </w:p>
    <w:p>
      <w:pPr>
        <w:jc w:val="both"/>
        <w:ind w:left="380" w:right="79" w:hanging="330"/>
        <w:spacing w:after="0" w:line="217" w:lineRule="auto"/>
        <w:tabs>
          <w:tab w:leader="none" w:pos="380" w:val="left"/>
        </w:tabs>
        <w:numPr>
          <w:ilvl w:val="0"/>
          <w:numId w:val="5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Reflects charges related to business optimization initiatives. Such charges relate to one-time investments in projects designed to enhance our technology and compliance systems, improve and support the efficiency and effectiveness of our operations, and, for the fiscal year ended June 30, 2022, third party support to address efforts to remediate deficiencies in audits, including (i) $1.8 million paid to consultants and contractors performing audit and other related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spacing w:after="0" w:line="257" w:lineRule="auto"/>
        <w:rPr>
          <w:sz w:val="20"/>
          <w:szCs w:val="20"/>
          <w:color w:val="auto"/>
        </w:rPr>
      </w:pPr>
      <w:r>
        <w:rPr>
          <w:rFonts w:ascii="Times New Roman" w:cs="Times New Roman" w:eastAsia="Times New Roman" w:hAnsi="Times New Roman"/>
          <w:sz w:val="18"/>
          <w:szCs w:val="18"/>
          <w:color w:val="auto"/>
        </w:rPr>
        <w:t>services at sanctioned centers, (ii) $4.0 million of charges related to government investigations, and (iii) $3.0 million of costs associated with third party consultants to strengthen enterprise capabilities.</w:t>
      </w:r>
    </w:p>
    <w:p>
      <w:pPr>
        <w:ind w:left="380" w:hanging="330"/>
        <w:spacing w:after="0" w:line="186" w:lineRule="auto"/>
        <w:tabs>
          <w:tab w:leader="none" w:pos="380" w:val="left"/>
        </w:tabs>
        <w:numPr>
          <w:ilvl w:val="0"/>
          <w:numId w:val="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Reflects non-recurring expenses relating to the implementation of a new EMR vendor.</w:t>
      </w:r>
    </w:p>
    <w:p>
      <w:pPr>
        <w:spacing w:after="0" w:line="1" w:lineRule="exact"/>
        <w:rPr>
          <w:rFonts w:ascii="Times New Roman" w:cs="Times New Roman" w:eastAsia="Times New Roman" w:hAnsi="Times New Roman"/>
          <w:sz w:val="25"/>
          <w:szCs w:val="25"/>
          <w:color w:val="auto"/>
          <w:vertAlign w:val="superscript"/>
        </w:rPr>
      </w:pPr>
    </w:p>
    <w:p>
      <w:pPr>
        <w:ind w:left="380" w:hanging="330"/>
        <w:spacing w:after="0" w:line="186" w:lineRule="auto"/>
        <w:tabs>
          <w:tab w:leader="none" w:pos="38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Reflects non-recurring expense related to the gain on consolidation of InnovAge Sacramento.</w:t>
      </w:r>
    </w:p>
    <w:p>
      <w:pPr>
        <w:spacing w:after="0" w:line="2" w:lineRule="exact"/>
        <w:rPr>
          <w:rFonts w:ascii="Times New Roman" w:cs="Times New Roman" w:eastAsia="Times New Roman" w:hAnsi="Times New Roman"/>
          <w:sz w:val="24"/>
          <w:szCs w:val="24"/>
          <w:color w:val="auto"/>
          <w:vertAlign w:val="superscript"/>
        </w:rPr>
      </w:pPr>
    </w:p>
    <w:p>
      <w:pPr>
        <w:ind w:left="380" w:right="79" w:hanging="330"/>
        <w:spacing w:after="0" w:line="191" w:lineRule="auto"/>
        <w:tabs>
          <w:tab w:leader="none" w:pos="380" w:val="left"/>
        </w:tabs>
        <w:numPr>
          <w:ilvl w:val="0"/>
          <w:numId w:val="5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Reflects fees and expenses incurred in connection with amendments to our credit agreements. See Note 8 to the consolidated financial statements.</w:t>
      </w:r>
    </w:p>
    <w:p>
      <w:pPr>
        <w:ind w:left="380" w:right="79" w:hanging="330"/>
        <w:spacing w:after="0" w:line="191" w:lineRule="auto"/>
        <w:tabs>
          <w:tab w:leader="none" w:pos="380" w:val="left"/>
        </w:tabs>
        <w:numPr>
          <w:ilvl w:val="0"/>
          <w:numId w:val="5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Reflects the contingent consideration fair value adjustment made during fiscal year 2021 associated with our acquisition of NewCourtland.</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0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Adjusted EBITDA margin is Adjusted EBITDA expressed as a percentage of our total revenue less any exceptional, one-time revenue items. For the year ended June 30, 2022, our net loss margin was 1.1%, as compared to our net loss margin of 7.0% for the year ended June 30, 2021. For the year ended June 30, 2022, our Adjusted EBITDA margin was 4.9%, as compared to our Adjusted EBITDA margin for the year ended June 30, 2021 of 13.4%.</w:t>
      </w:r>
    </w:p>
    <w:p>
      <w:pPr>
        <w:spacing w:after="0" w:line="13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Our use of the term Adjusted EBITDA varies from others in our industry.</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cash flows from operations and through borrowings under our credit facilities, and most recently from the sale of common stock in our IPO that occurred in March 2021. As of the years ended June 30, 2022 and 2021, we had cash and cash equivalents of $184.4 million and $201.5 million, respectively, a decrease of $17.1 million primarily due to purchases of property and equipment offset by cash received from operations. In each case, our cash and cash equivalents primarily consist of highly liquid investments in demand deposit accounts and cash.</w:t>
      </w:r>
    </w:p>
    <w:p>
      <w:pPr>
        <w:spacing w:after="0" w:line="14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capital resources are generally used to fund (i) debt service requirements, the majority of which relate to the quarterly principal payments of the Term Loan Facility (as defined in Note 8 “Long-term Debt” to the consolidated financial statements) due 2026, (ii) capital and operating lease obligations, which are generally paid on a monthly basis and include maturities through 2025 and 2032, respectively, (iii) the operations of our business, including special projects such as our transition to a new EMR vendor, with respect to which we expect to incur non-recurring implementation costs over the next 12 months, and ongoing costs through 2026, and third party support to address remediation efforts, and (iv) income tax payments, which are generally due on a quarterly and annual basis. We also will continue investing in the effective implementation of corrective remediation plans (CAPs) and other corrective initiatives as a result of deficiencies found during audits at some of our centers, and our ability to continually provide necessary and quality services to our participants. In the long-term, we also expect to use capital resources for capital additions, which we expect to primarily relate to the development of de novo centers, to the extent and if they are opened. Collectively, these obligations are expected to represent a significant liquidity requirement of our Company on both a short-term (next 12 months) and long-term (beyond 12 months) basis. For additional information regarding our lease obligations, debt and commitments, see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Notes 7 “Leases,” 8 “Long-term Debt,” and 10 “Commitments and Contingencies,” respectively, to our Audited Consolidated Financial Statements.</w:t>
      </w:r>
    </w:p>
    <w:p>
      <w:pPr>
        <w:spacing w:after="0" w:line="13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cash and cash equivalents and our cash flows from operations, available funds and access to financing sources, including our 2021 Credit Agreement and Revolving Credit Facility (each as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subject to our ability to effectively remediate deficiencies identified in our Colorado and Sacramento centers, and the expansion of sales and marketing activities.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4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May 13, 2016, we entered into a credit agreement with Capital One Financial Corporation (together with all amendments thereto, the “2016 Credit Agreement”). In March 2020, we borrowed $25.0 million under the revolving credit facility to ensure sufficient funds available due to the uncertainty relating to the COVID-19 pandemic and for general corporate purposes. Those borrowings were repaid in full in connection with the entry into the 2021 Credit Agreement (as defined and discussed below) and the closing of our IPO.</w:t>
      </w:r>
    </w:p>
    <w:p>
      <w:pPr>
        <w:spacing w:after="0" w:line="14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March 8, 2021, concurrently with the closing of the IPO, the Company entered into a new credit agreement (the “2021 Credit Agreement”) that replaced the 2016 Credit Agreement. The 2021 Credit Agreement consists of a senior secured term loan (the “Term Loan Facility”) of $75.0 million principal amount and a revolving credit facility (the “Revolving Credit Facility”) of $100.0 million maximum borrowing capacity. Principal on the Term Loan Facility is paid each calendar quarter in an amount equal to 1.25% of the initial term loan on closing date. Proceeds of the Term Loan Facility, together with proceeds from the IPO, were used to repay amounts outstanding under the 2016 Credit Agreement.</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Any outstanding principal amounts under the 2021 Credit Agreement accrue interest at a variable interest rate. As of June 30, 2022, the interest rate on the Term Loan Facility was 3.83%. Under the terms of the 2021 Credit Agreement, the Revolving Credit Facility fee accrues at 0.25% of the average daily unused amount and is paid quarterly. As of June 30, 2022, we had no borrowings outstanding under the Revolving Credit Facility and, therefore, had full capacity thereunder, subject to applicable covenant compliance restrictions and any other conditions precedent to borrowing. As of June 30, 2022, we also had $2.4 million principal amount outstanding under our convertible term loan. Monthly principal and interest payments are approximately $0.02 million, and the loan bears interest at an annual rate of 6.68%. The remaining principal balance is due upon maturity, which is August 20, 2030.</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more information about our debt, see Note 8 “Long-term Debt” to our audited Consolidated Financial Statements.</w:t>
      </w:r>
    </w:p>
    <w:p>
      <w:pPr>
        <w:spacing w:after="0" w:line="18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primarily relate to long-term debt and lease obligations. Expected timing of those payments are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Beyond 12</w:t>
            </w:r>
          </w:p>
        </w:tc>
      </w:tr>
      <w:tr>
        <w:trPr>
          <w:trHeight w:val="215"/>
        </w:trPr>
        <w:tc>
          <w:tcPr>
            <w:tcW w:w="2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Next 12 Months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80" w:type="dxa"/>
            <w:vAlign w:val="bottom"/>
          </w:tcPr>
          <w:p>
            <w:pPr>
              <w:spacing w:after="0"/>
              <w:rPr>
                <w:sz w:val="18"/>
                <w:szCs w:val="18"/>
                <w:color w:val="auto"/>
              </w:rPr>
            </w:pPr>
          </w:p>
        </w:tc>
      </w:tr>
      <w:tr>
        <w:trPr>
          <w:trHeight w:val="223"/>
        </w:trPr>
        <w:tc>
          <w:tcPr>
            <w:tcW w:w="2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6"/>
        </w:trPr>
        <w:tc>
          <w:tcPr>
            <w:tcW w:w="4680" w:type="dxa"/>
            <w:vAlign w:val="bottom"/>
            <w:gridSpan w:val="2"/>
            <w:shd w:val="clear" w:color="auto" w:fill="CCEEFF"/>
          </w:tcPr>
          <w:p>
            <w:pPr>
              <w:ind w:left="20"/>
              <w:spacing w:after="0" w:line="246" w:lineRule="exact"/>
              <w:rPr>
                <w:sz w:val="20"/>
                <w:szCs w:val="20"/>
                <w:color w:val="auto"/>
              </w:rPr>
            </w:pPr>
            <w:r>
              <w:rPr>
                <w:rFonts w:ascii="Times New Roman" w:cs="Times New Roman" w:eastAsia="Times New Roman" w:hAnsi="Times New Roman"/>
                <w:sz w:val="18"/>
                <w:szCs w:val="18"/>
                <w:color w:val="auto"/>
              </w:rPr>
              <w:t>Long-term debt (excluding interest)</w:t>
            </w:r>
            <w:r>
              <w:rPr>
                <w:rFonts w:ascii="Times New Roman" w:cs="Times New Roman" w:eastAsia="Times New Roman" w:hAnsi="Times New Roman"/>
                <w:sz w:val="26"/>
                <w:szCs w:val="26"/>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69,784</w:t>
            </w:r>
          </w:p>
        </w:tc>
        <w:tc>
          <w:tcPr>
            <w:tcW w:w="180" w:type="dxa"/>
            <w:vAlign w:val="bottom"/>
            <w:shd w:val="clear" w:color="auto" w:fill="CCEEFF"/>
          </w:tcPr>
          <w:p>
            <w:pPr>
              <w:spacing w:after="0"/>
              <w:rPr>
                <w:sz w:val="21"/>
                <w:szCs w:val="21"/>
                <w:color w:val="auto"/>
              </w:rPr>
            </w:pPr>
          </w:p>
        </w:tc>
      </w:tr>
      <w:tr>
        <w:trPr>
          <w:trHeight w:val="243"/>
        </w:trPr>
        <w:tc>
          <w:tcPr>
            <w:tcW w:w="46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26,793</w:t>
            </w:r>
          </w:p>
        </w:tc>
        <w:tc>
          <w:tcPr>
            <w:tcW w:w="180" w:type="dxa"/>
            <w:vAlign w:val="bottom"/>
          </w:tcPr>
          <w:p>
            <w:pPr>
              <w:spacing w:after="0"/>
              <w:rPr>
                <w:sz w:val="21"/>
                <w:szCs w:val="21"/>
                <w:color w:val="auto"/>
              </w:rPr>
            </w:pPr>
          </w:p>
        </w:tc>
      </w:tr>
      <w:tr>
        <w:trPr>
          <w:trHeight w:val="243"/>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leases (excluding interest)</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180" w:type="dxa"/>
            <w:vAlign w:val="bottom"/>
            <w:shd w:val="clear" w:color="auto" w:fill="CCEEFF"/>
          </w:tcPr>
          <w:p>
            <w:pPr>
              <w:spacing w:after="0"/>
              <w:rPr>
                <w:sz w:val="21"/>
                <w:szCs w:val="21"/>
                <w:color w:val="auto"/>
              </w:rPr>
            </w:pPr>
          </w:p>
        </w:tc>
      </w:tr>
      <w:tr>
        <w:trPr>
          <w:trHeight w:val="210"/>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120,703</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107,632</w:t>
            </w:r>
          </w:p>
        </w:tc>
        <w:tc>
          <w:tcPr>
            <w:tcW w:w="18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Represents principal amounts related to the credit agreements.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hanging="330"/>
        <w:spacing w:after="0" w:line="266"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adopted ASU 2016-02, which requires lessees to recognize almost all leases on the balance sheet. We will be adopting this guidance for the fiscal year beginning July 1, 2022, the results of which are not reflected. See Note 2 “Summary of Significant Accounting Policies” to our Consolidated Financial Statements.</w:t>
      </w:r>
    </w:p>
    <w:p>
      <w:pPr>
        <w:spacing w:after="0" w:line="149" w:lineRule="exact"/>
        <w:rPr>
          <w:sz w:val="20"/>
          <w:szCs w:val="20"/>
          <w:color w:val="auto"/>
        </w:rPr>
      </w:pPr>
    </w:p>
    <w:p>
      <w:pPr>
        <w:jc w:val="both"/>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We currently intend to retain all available funds and any future earnings to fund the development and growth of our business and to repay indebtedness and, therefore, we do not anticipate paying any cash dividends in the foreseeable future.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Trends and Uncertainties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fiscal year 2022, the U.S. and global economies experienced adverse macroeconomic effects in part resulting from the ongoing effects of the COVID-19 pandemic. These effects included inflation and increase in wages due to labor shortages. In fiscal year 2022, in response to high levels of inflation, we began to implement various mitigation strategies to reduce costs of operation, including consolidating services and price negotiations with providers. The effects of inflation, after accounting for these mitigation strategies, were immaterial to our financial results for the fiscal year 2022. However, we expect inflation is likely to continue for most or all of fiscal year 2023, and even though we expect to continue mitigation efforts, there can be no assurance that our strategies will continue to achieve the same degree of success as in fiscal year 2022.</w:t>
      </w:r>
    </w:p>
    <w:p>
      <w:pPr>
        <w:spacing w:after="0" w:line="16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in fiscal year 2022, we experienced workforce and labor shortages, within all of our centers. We recognize that our participant-facing staff is critical to delivering quality care. As such, we made market adjustments to certain roles to increase retention and improve our ability to hire. These adjustments resulted in an increase in cost of care further impacted by additional staffing related to compliance and remediation efforts. This increase did not have a material effect on our financial results. We continue to assess key roles and benchmarks to market while monitoring trends in the labor market where we continue to see wage inflation in fiscal year 2023.</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Cash Flows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consolidated statements of cash flows for the year ended June 30, 2022 and 2021 are summarized as follows: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6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07"/>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(40,238)</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(19,541)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(6,318)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(122,542)</w:t>
            </w:r>
          </w:p>
        </w:tc>
      </w:tr>
      <w:tr>
        <w:trPr>
          <w:trHeight w:val="210"/>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(108,389)</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change in net cash provided by (used in) operating activities was primarily due to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of (i) a net loss of $8.0 million for the year ended June 30, 2022 compared to a net loss of $44.7 million in the prior period, as described further above, (ii) an increase of $18.2 million in the change in accounts payable and accrued expenses during fiscal year 2022 due to timing of payments, and the impact of the completion of HCPF’s reconciliation during fiscal year 2021, as described below, (iii) the $10.9 million gain on equity method investment recognized during 2021, as described further above, with no gain recognized in 2022, (iv) an increase of $7.2 million in the change in amounts due to Medicaid, (v) slightly offset by a $14.5 million loss on extinguishment of long-term debt recognized during 2021, as described further above, with no loss recognized in 2022.</w:t>
      </w:r>
    </w:p>
    <w:p>
      <w:pPr>
        <w:spacing w:after="0" w:line="14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fiscal year 2021, the Company and the Colorado Department of Health Care Policy &amp; Financing (“HCPF”) completed the reconciliation for fiscal years 2018 and 2019. The reconciliation resulted in a reduction of accounts receivable of $17.0 million and due to Medicaid of $13.6 million, which was recorded in fiscal year 2021. The Company does not expect adjustments related to the reconciliation to be significant in future periods.</w:t>
      </w:r>
    </w:p>
    <w:p>
      <w:pPr>
        <w:spacing w:after="0" w:line="137"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increase in net cash used in investing activities was primarily due to an increase in cash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growth-related capital expenditures and implementation of an integrated EMR system.</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decrease in net cash provided by financing activities was primarily due to the net effect of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cash provided of $370.5 million related to the net proceeds received from our IPO in 2021, (ii) offset by net cash outflows of $137.7 million due to net repayments on long-term debt in excess of proceeds from long-term debt during the year ended June 30, 2021 compared to net repayments of debt of $3.8 million during the year ended June 30, 2022, (iii) a decrease in cash provided of $77.6 million related to treasury stock purchases in 2021, and (iv) a decrease in cash provided of $29.2 million related to stock option cancellation payments during the year ended June 30, 2021.</w:t>
      </w: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shareholder advisory votes on golden parachute compensation.</w:t>
      </w:r>
    </w:p>
    <w:p>
      <w:pPr>
        <w:spacing w:after="0" w:line="1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4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Certain accounting policies involve significant judgments and assumptions by management, which have a material impact on the carrying value of assets and liabilities and the recognition of income and expenses. We consider these accounting policies to be critical accounting policies. The estimates and assumptions used by management are based on historical experience and other factors, which are believed to be reasonable under the circumstances.</w:t>
      </w:r>
    </w:p>
    <w:p>
      <w:pPr>
        <w:spacing w:after="0" w:line="13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“Summary of Significant Accounting Policies” to our audited Consolidated Financial Statements, we believe the following discussion addresses our most critical accounting policies, which are those that are most important to our financial condition and results of operations and require management to make subjective and complex judgments and estimates in the preparation of our consolidated financial statements.</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2014-09 (“ASU 2014-09”), and has since issued various amendments which provide additional clarification and implementation guidance, to Topic 606, </w:t>
      </w:r>
      <w:r>
        <w:rPr>
          <w:rFonts w:ascii="Times New Roman" w:cs="Times New Roman" w:eastAsia="Times New Roman" w:hAnsi="Times New Roman"/>
          <w:sz w:val="18"/>
          <w:szCs w:val="18"/>
          <w:i w:val="1"/>
          <w:iCs w:val="1"/>
          <w:color w:val="auto"/>
        </w:rPr>
        <w:t>Revenue from Contracts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which superseded revenue recognition guidance in ASC 605. ASU 2014-09 requires an entity to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amount of revenue to which it expects to be entitled for the transfer of promised goods or services to customers. This guidance became effective for annual reporting periods beginning July 1, 2020, and interim reporting periods within the annual reporting period beginning July 1, 2021. Effective July 1, 2020, the Company adopted ASU 2014-09 using the modified retrospective method applied to those contracts which were not completed as of June 30, 2020. As a result of electing the modified retrospective adoption approach, results for reporting periods beginning after July 1, 2020 are presented under ASC 606. There was no material impact upon the adoption of ASC 606, therefore the Company did not record any adjustments to retained earnings at July 1, 2020 or for any periods previously presented. Accordingly, comparative periods have not been adjusted and continue to be reported under FASB ASC Topic 605,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Management estimates related to revenue are discussed below in more detail.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Capitation revenue</w:t>
      </w:r>
    </w:p>
    <w:p>
      <w:pPr>
        <w:spacing w:after="0" w:line="229" w:lineRule="exact"/>
        <w:rPr>
          <w:sz w:val="20"/>
          <w:szCs w:val="20"/>
          <w:color w:val="auto"/>
        </w:rPr>
      </w:pPr>
    </w:p>
    <w:p>
      <w:pPr>
        <w:jc w:val="both"/>
        <w:ind w:left="60" w:right="59" w:firstLine="351"/>
        <w:spacing w:after="0" w:line="254" w:lineRule="auto"/>
        <w:rPr>
          <w:sz w:val="20"/>
          <w:szCs w:val="20"/>
          <w:color w:val="auto"/>
        </w:rPr>
      </w:pPr>
      <w:r>
        <w:rPr>
          <w:rFonts w:ascii="Times New Roman" w:cs="Times New Roman" w:eastAsia="Times New Roman" w:hAnsi="Times New Roman"/>
          <w:sz w:val="18"/>
          <w:szCs w:val="18"/>
          <w:color w:val="auto"/>
        </w:rPr>
        <w:t>Our PACE operating unit provides comprehensive health care services to participants on the basis of estimated PMPM amounts we expect to be entitled to receive from the capitated fees per participant that are paid monthly by Medicare, Medicaid, the VA, and private pay sources. We recognize capitation revenues based on the estimated PMPM transaction price to transfer the service for a distinct increment of the series (i.e. month). We recognize revenue in the month in which participants are entitled to receive comprehensive care benefits during the contract term. Medicaid and Medicare capitation revenues are based on PMPM capitation rates under the PACE program, and Medicare rates can fluctuate throughout the contract based on the acuity of each individual participant. In certain contracts, PMPM rates also include “risk adjustments” based on various factors.</w:t>
      </w:r>
    </w:p>
    <w:p>
      <w:pPr>
        <w:spacing w:after="0" w:line="192" w:lineRule="exact"/>
        <w:rPr>
          <w:sz w:val="20"/>
          <w:szCs w:val="20"/>
          <w:color w:val="auto"/>
        </w:rPr>
      </w:pPr>
    </w:p>
    <w:p>
      <w:pPr>
        <w:jc w:val="both"/>
        <w:ind w:left="60" w:right="59" w:firstLine="351"/>
        <w:spacing w:after="0" w:line="274" w:lineRule="auto"/>
        <w:rPr>
          <w:sz w:val="20"/>
          <w:szCs w:val="20"/>
          <w:color w:val="auto"/>
        </w:rPr>
      </w:pPr>
      <w:r>
        <w:rPr>
          <w:rFonts w:ascii="Times New Roman" w:cs="Times New Roman" w:eastAsia="Times New Roman" w:hAnsi="Times New Roman"/>
          <w:sz w:val="17"/>
          <w:szCs w:val="17"/>
          <w:color w:val="auto"/>
        </w:rPr>
        <w:t>For certain capitation payments, the Company is subject to retroactive premium risk adjustments based on various factors. The Company estimates the amount of the adjustment based on participant medical status and historical experience. Such estimates are then recorded monthly on a straight-line basis. We review our assumptions and adjust these estimates accordingly on a quarterly basis. Our consolidated financial statements could be materially impacted if actual risk scores are different from the estimated risk scores. If our accrual estimates for risk scores at June 30, 2022 were to differ by +/- 5%, the impact on revenues would be approximately $0.5 million. These adjustments are not expected to be material.</w:t>
      </w:r>
    </w:p>
    <w:p>
      <w:pPr>
        <w:spacing w:after="0" w:line="173" w:lineRule="exact"/>
        <w:rPr>
          <w:sz w:val="20"/>
          <w:szCs w:val="20"/>
          <w:color w:val="auto"/>
        </w:rPr>
      </w:pPr>
    </w:p>
    <w:p>
      <w:pPr>
        <w:jc w:val="both"/>
        <w:ind w:left="60" w:right="59" w:firstLine="351"/>
        <w:spacing w:after="0" w:line="258" w:lineRule="auto"/>
        <w:rPr>
          <w:sz w:val="20"/>
          <w:szCs w:val="20"/>
          <w:color w:val="auto"/>
        </w:rPr>
      </w:pPr>
      <w:r>
        <w:rPr>
          <w:rFonts w:ascii="Times New Roman" w:cs="Times New Roman" w:eastAsia="Times New Roman" w:hAnsi="Times New Roman"/>
          <w:sz w:val="18"/>
          <w:szCs w:val="18"/>
          <w:color w:val="auto"/>
        </w:rPr>
        <w:t>Certain third-party payor contracts include a Medicare Part D payment related to pharmacy claims, which is subject to risk sharing through accepted risk corridor provisions. Under certain agreements the fund risk allocation is established whereby we, as the contracted provider, receive only a portion of the risk and the associated surplus or deficit. We estimate and recognize an adjustment monthly to Part D capitation revenues related to these risk corridor provisions based upon pharmacy claims experience to date, as if the annual risk contract were to terminate at the end of the reporting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spacing w:after="0" w:line="14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test goodwill for impairment annually on April 1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 For purposes of the annual goodwill impairment assessment, the Company has identified three reporting units. There were no indicators of impairment identified and no goodwill impairments recorded during the years ended June 30, 2022 and 2021. In determining the fair value of our reporting units, we estimate a number of factors including anticipated future cash flows and discount rates. Although we believe these estimates are reasonable, actual results could differ from those estimates due to the inherent uncertainty involved in making such estimates.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7"/>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customer relationships represent the estimated values of customer relationships of acquired businesses and have definite lives. We amortize these intangible assets on a straight-line basis over their ten-year estimated useful life.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provides guidance for impairment related to definite life assets including, customer relationships, for which we reviewed for impairment in conjunction with long-lived assets. We test for recoverability of the customer relationships whenever events or changes in circumstances indicate that the carrying amount may not be recoverable. Changes in assumptions concerning future financial results or other underlying assumptions could have a significant impact on the determination of the fair value. Judgment is also required in determining the intangible asset’s useful life.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Reported and estimated claims</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Reported and estimated claims expenses are costs for third-party healthcare service providers that provide medical care to our participants for which we are contractually obligated to pay (through our full-risk capitation arrangements). The estimated reserve for unpaid claims liability is included in the liability for reported and estimated claims in the consolidated balance sheets and requires estimates including actual member utilization of health care services, unit cost trends, participant acuity, changes in net census, known outbreaks of disease, including COVID-19 or increased incidence of illness such as influenza and other factors. We periodically assess our estimates with an independent actuarial expert to ensure our estimates represent the best, most reasonable estimate given the data available to us at the time the estimates are made.</w:t>
      </w:r>
    </w:p>
    <w:p>
      <w:pPr>
        <w:spacing w:after="0" w:line="151" w:lineRule="exact"/>
        <w:rPr>
          <w:sz w:val="20"/>
          <w:szCs w:val="20"/>
          <w:color w:val="auto"/>
        </w:rPr>
      </w:pPr>
    </w:p>
    <w:p>
      <w:pPr>
        <w:jc w:val="both"/>
        <w:ind w:left="60" w:right="59" w:firstLine="369"/>
        <w:spacing w:after="0" w:line="266" w:lineRule="auto"/>
        <w:rPr>
          <w:sz w:val="20"/>
          <w:szCs w:val="20"/>
          <w:color w:val="auto"/>
        </w:rPr>
      </w:pPr>
      <w:r>
        <w:rPr>
          <w:rFonts w:ascii="Times New Roman" w:cs="Times New Roman" w:eastAsia="Times New Roman" w:hAnsi="Times New Roman"/>
          <w:sz w:val="18"/>
          <w:szCs w:val="18"/>
          <w:color w:val="auto"/>
        </w:rPr>
        <w:t>We have included incurred but not reported claims of approximately $38.5 million and $33.2 million on our balance sheet as of June 30, 2022 and 2021, respectively. Our recorded medical claims expense estimate is approximately within +/- 5-10% of actual medical claims expense incurred, or less than 1% of our total operating expense.</w:t>
      </w:r>
    </w:p>
    <w:p>
      <w:pPr>
        <w:spacing w:after="0" w:line="13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tables provide information about incurred and paid claims reporting and development as of June 30, 2022 (except as otherwise noted). The expenses recorded table reflects the amount of claims reported in our consolidated statements of operations as of the end of the applicable fiscal year based on our best and most reasonable estimates and actuarial assessment at the time of such determination. The cumulative actual incurred claims table represents the actual amount of claims incurred by the Company with the benefit of the passage of time. The variance between the expense recorded and the cumulative actual incurred claims ranges between approximately 1% and 3% of actual total incurred claims over the periods presented, and such variance may vary based on the factors described above in this section.</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14"/>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rPr>
              <w:t>Expenses Recorded for the Fiscal Years Ended June 30,</w:t>
            </w: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Claims incurred year:</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2018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123,821</w:t>
            </w:r>
          </w:p>
        </w:tc>
        <w:tc>
          <w:tcPr>
            <w:tcW w:w="6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2019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171,128</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60" w:type="dxa"/>
            <w:vAlign w:val="bottom"/>
          </w:tcPr>
          <w:p>
            <w:pPr>
              <w:spacing w:after="0"/>
              <w:rPr>
                <w:sz w:val="18"/>
                <w:szCs w:val="18"/>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234,070</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123,821</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171,128</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Pharmacy expense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External provider costs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452"/>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gridSpan w:val="25"/>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Cumulative Actual Incurred Claims for the Fiscal Years Ended June 30,</w:t>
            </w:r>
          </w:p>
        </w:tc>
      </w:tr>
      <w:tr>
        <w:trPr>
          <w:trHeight w:val="219"/>
        </w:trPr>
        <w:tc>
          <w:tcPr>
            <w:tcW w:w="2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Claims incurred year: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2018</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119,687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119,687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119,687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119,862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119,860</w:t>
            </w: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2019</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173,047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173,061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172,855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172,802</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2020</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6"/>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210,512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205,633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205,550</w:t>
            </w: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2021</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6"/>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6"/>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239,207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238,488</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6"/>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6"/>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6"/>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291,315</w:t>
            </w:r>
          </w:p>
        </w:tc>
      </w:tr>
      <w:tr>
        <w:trPr>
          <w:trHeight w:val="210"/>
        </w:trPr>
        <w:tc>
          <w:tcPr>
            <w:tcW w:w="2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119,687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292,734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503,260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737,557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1,028,015</w:t>
            </w:r>
          </w:p>
        </w:tc>
      </w:tr>
      <w:tr>
        <w:trPr>
          <w:trHeight w:val="20"/>
        </w:trPr>
        <w:tc>
          <w:tcPr>
            <w:tcW w:w="2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639"/>
        </w:trPr>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5"/>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Cumulative Actual Paid Claims for the Fiscal Years Ended June 30,</w:t>
            </w:r>
          </w:p>
        </w:tc>
      </w:tr>
      <w:tr>
        <w:trPr>
          <w:trHeight w:val="220"/>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Claims incurred year: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2018</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109,022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119,759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119,687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119,862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119,860</w:t>
            </w: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144,943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173,048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172,855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172,803</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2020</w:t>
            </w:r>
          </w:p>
        </w:tc>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5"/>
              </w:rPr>
              <w:t>179,616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205,601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205,550</w:t>
            </w: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205,356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238,476</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252,665</w:t>
            </w:r>
          </w:p>
        </w:tc>
      </w:tr>
      <w:tr>
        <w:trPr>
          <w:trHeight w:val="210"/>
        </w:trPr>
        <w:tc>
          <w:tcPr>
            <w:tcW w:w="27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109,022</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264,702</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472,351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703,674</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989,354</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claims-related liabilities</w:t>
            </w:r>
          </w:p>
        </w:tc>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2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2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28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spacing w:after="0"/>
              <w:rPr>
                <w:sz w:val="18"/>
                <w:szCs w:val="18"/>
                <w:color w:val="auto"/>
              </w:rPr>
            </w:pPr>
          </w:p>
        </w:tc>
        <w:tc>
          <w:tcPr>
            <w:tcW w:w="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380" w:type="dxa"/>
            <w:vAlign w:val="bottom"/>
            <w:gridSpan w:val="5"/>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38,454</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“Summary of Significant Accounting Policies—Recent Accounting Pronouncements” for more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had total outstanding borrowings of (i) $71.2 million principal amount under the Term Loan Facility (as defined in Note 8 to the consolidated financial statements) and (ii) $2.4 million principal amount under the convertible term loan.</w:t>
      </w:r>
    </w:p>
    <w:p>
      <w:pPr>
        <w:spacing w:after="0" w:line="13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are exposed to changes in interest rates as a result of our variable-rate borrowings under the 2021 Credit Agreement. Generally, the Company may designate specific borrowings under the 2021 Credit Agreement as either base rate borrowings or LIBOR rate borrowings. As of June 30, 2022, based on our secured net leverage ratio, the margins of our borrowings under the Term Loan Facility and Revolving Credit Facility (as defined in Note 8 to the consolidated financial statements) were (a) 0.75% for alternate base rate borrowings and (b) 1.75% for Eurodollar borrowings.</w:t>
      </w:r>
    </w:p>
    <w:p>
      <w:pPr>
        <w:spacing w:after="0" w:line="14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cash and cash equivalents and interest payments in respect of our debt are subject to market risk due to changes in interest rates. We had cash and cash equivalents of $184.4 million as of June 30, 2022, which are deposited with high credit quality financial institutions and are primarily in demand deposit accounts. We do not believe that an increase or decrease in interest rates of 100 basis points would have a material effect on our business, financial condition or results of operations.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0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 Index to Consolidated Financial Statements</w:t>
      </w:r>
    </w:p>
    <w:p>
      <w:pPr>
        <w:spacing w:after="0" w:line="133" w:lineRule="exact"/>
        <w:rPr>
          <w:sz w:val="20"/>
          <w:szCs w:val="20"/>
          <w:color w:val="auto"/>
        </w:rPr>
      </w:pPr>
    </w:p>
    <w:tbl>
      <w:tblPr>
        <w:tblLayout w:type="fixed"/>
        <w:tblInd w:w="710" w:type="dxa"/>
        <w:tblCellMar>
          <w:top w:w="0" w:type="dxa"/>
          <w:left w:w="0" w:type="dxa"/>
          <w:bottom w:w="0" w:type="dxa"/>
          <w:right w:w="0" w:type="dxa"/>
        </w:tblCellMar>
      </w:tblPr>
      <w:tr>
        <w:trPr>
          <w:trHeight w:val="189"/>
        </w:trPr>
        <w:tc>
          <w:tcPr>
            <w:tcW w:w="100" w:type="dxa"/>
            <w:vAlign w:val="bottom"/>
            <w:tcBorders>
              <w:top w:val="single" w:sz="8" w:color="auto"/>
              <w:left w:val="single" w:sz="8" w:color="auto"/>
            </w:tcBorders>
          </w:tcPr>
          <w:p>
            <w:pPr>
              <w:spacing w:after="0"/>
              <w:rPr>
                <w:sz w:val="16"/>
                <w:szCs w:val="16"/>
                <w:color w:val="auto"/>
              </w:rPr>
            </w:pPr>
          </w:p>
        </w:tc>
        <w:tc>
          <w:tcPr>
            <w:tcW w:w="6660" w:type="dxa"/>
            <w:vAlign w:val="bottom"/>
            <w:tcBorders>
              <w:top w:val="single" w:sz="8" w:color="auto"/>
              <w:right w:val="single" w:sz="8" w:color="auto"/>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660" w:type="dxa"/>
            <w:vAlign w:val="bottom"/>
            <w:tcBorders>
              <w:top w:val="single" w:sz="8" w:color="auto"/>
              <w:right w:val="single" w:sz="8" w:color="auto"/>
            </w:tcBorders>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78</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660" w:type="dxa"/>
            <w:vAlign w:val="bottom"/>
            <w:tcBorders>
              <w:right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Consolidated Balance Sheets as of June 30, 2022 and 2021</w:t>
            </w:r>
          </w:p>
        </w:tc>
        <w:tc>
          <w:tcPr>
            <w:tcW w:w="660" w:type="dxa"/>
            <w:vAlign w:val="bottom"/>
            <w:tcBorders>
              <w:right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660" w:type="dxa"/>
            <w:vAlign w:val="bottom"/>
            <w:tcBorders>
              <w:right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June 30, 2022 and 2021</w:t>
            </w:r>
          </w:p>
        </w:tc>
        <w:tc>
          <w:tcPr>
            <w:tcW w:w="660" w:type="dxa"/>
            <w:vAlign w:val="bottom"/>
            <w:tcBorders>
              <w:right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80</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660" w:type="dxa"/>
            <w:vAlign w:val="bottom"/>
            <w:tcBorders>
              <w:right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June 30, 2022 and</w:t>
            </w:r>
          </w:p>
        </w:tc>
        <w:tc>
          <w:tcPr>
            <w:tcW w:w="660" w:type="dxa"/>
            <w:vAlign w:val="bottom"/>
            <w:tcBorders>
              <w:right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00" w:type="dxa"/>
            <w:vAlign w:val="bottom"/>
            <w:tcBorders>
              <w:left w:val="single" w:sz="8" w:color="auto"/>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8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660" w:type="dxa"/>
            <w:vAlign w:val="bottom"/>
            <w:tcBorders>
              <w:right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June 30, 2022 and 2021</w:t>
            </w:r>
          </w:p>
        </w:tc>
        <w:tc>
          <w:tcPr>
            <w:tcW w:w="660" w:type="dxa"/>
            <w:vAlign w:val="bottom"/>
            <w:tcBorders>
              <w:right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82</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7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660" w:type="dxa"/>
            <w:vAlign w:val="bottom"/>
            <w:tcBorders>
              <w:right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60" w:type="dxa"/>
            <w:vAlign w:val="bottom"/>
            <w:tcBorders>
              <w:right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83</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8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InnovAge Holding Corp.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InnovAge Holding Corp. and subsidiaries (the "Company") as of June 30, 2022 and 2021, the related consolidated statements of operations, stockholders' equity, and cash flows, for each of the two years in the period ended June 30, 2022, and the related notes (collectively referred to as the "financial statements"). In our opinion, the financial statements present fairly, in all material respects, the financial position of the Company as of June 30, 2022 and 2021, and the results of its operations and its cash flows for each of the two years in the period ended June 30, 2022, in conformity with accounting principles generally accepted in the United States of America.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Denver, CO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13, 2022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InnovAge Holding Corp. and Subsidiaries</w:t>
      </w:r>
    </w:p>
    <w:p>
      <w:pPr>
        <w:spacing w:after="0" w:line="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5"/>
        </w:trPr>
        <w:tc>
          <w:tcPr>
            <w:tcW w:w="6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9"/>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184,429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201,466</w:t>
            </w: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($3,403 – June 30, 2022 and $4,350 – June 30, 2021)</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32,582</w:t>
            </w: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9,249</w:t>
            </w: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receivable</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r>
      <w:tr>
        <w:trPr>
          <w:trHeight w:val="196"/>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240,956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250,932</w:t>
            </w:r>
          </w:p>
        </w:tc>
      </w:tr>
      <w:tr>
        <w:trPr>
          <w:trHeight w:val="19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142,715</w:t>
            </w: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Deposits and other</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w:t>
            </w: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124,217</w:t>
            </w:r>
          </w:p>
        </w:tc>
      </w:tr>
      <w:tr>
        <w:trPr>
          <w:trHeight w:val="203"/>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6,518</w:t>
            </w:r>
          </w:p>
        </w:tc>
      </w:tr>
      <w:tr>
        <w:trPr>
          <w:trHeight w:val="196"/>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noncurrent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314,640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280,820</w:t>
            </w:r>
          </w:p>
        </w:tc>
      </w:tr>
      <w:tr>
        <w:trPr>
          <w:trHeight w:val="236"/>
        </w:trPr>
        <w:tc>
          <w:tcPr>
            <w:tcW w:w="66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555,596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531,752</w:t>
            </w:r>
          </w:p>
        </w:tc>
      </w:tr>
      <w:tr>
        <w:trPr>
          <w:trHeight w:val="183"/>
        </w:trPr>
        <w:tc>
          <w:tcPr>
            <w:tcW w:w="66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32,361</w:t>
            </w: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Reported and estimated claims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33,234</w:t>
            </w: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Due to Medicaid and Medicare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w:t>
            </w: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w:t>
            </w: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capital lease obligations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196"/>
        </w:trPr>
        <w:tc>
          <w:tcPr>
            <w:tcW w:w="6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78,565</w:t>
            </w:r>
          </w:p>
        </w:tc>
      </w:tr>
      <w:tr>
        <w:trPr>
          <w:trHeight w:val="203"/>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2"/>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15,700</w:t>
            </w: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w:t>
            </w:r>
          </w:p>
        </w:tc>
      </w:tr>
      <w:tr>
        <w:trPr>
          <w:trHeight w:val="20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03"/>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net of debt issuance costs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71,574</w:t>
            </w:r>
          </w:p>
        </w:tc>
      </w:tr>
      <w:tr>
        <w:trPr>
          <w:trHeight w:val="196"/>
        </w:trPr>
        <w:tc>
          <w:tcPr>
            <w:tcW w:w="66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201,852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173,787</w:t>
            </w:r>
          </w:p>
        </w:tc>
      </w:tr>
      <w:tr>
        <w:trPr>
          <w:trHeight w:val="19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(See Note 10)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Interests (See Note 5)</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16,986</w:t>
            </w: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500,000,000 authorized as of June 30, 2022 and 2021;</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135,532,811 and 135,516,513 issued shares as of June 30, 2022 and June 30, 2021, respectively</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5"/>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327,499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323,760</w:t>
            </w:r>
          </w:p>
        </w:tc>
      </w:tr>
      <w:tr>
        <w:trPr>
          <w:trHeight w:val="203"/>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10,663</w:t>
            </w:r>
          </w:p>
        </w:tc>
      </w:tr>
      <w:tr>
        <w:trPr>
          <w:trHeight w:val="196"/>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InnovAge Holding Corp.</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334,559</w:t>
            </w:r>
          </w:p>
        </w:tc>
      </w:tr>
      <w:tr>
        <w:trPr>
          <w:trHeight w:val="203"/>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6,420</w:t>
            </w:r>
          </w:p>
        </w:tc>
      </w:tr>
      <w:tr>
        <w:trPr>
          <w:trHeight w:val="196"/>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338,466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340,979</w:t>
            </w:r>
          </w:p>
        </w:tc>
      </w:tr>
      <w:tr>
        <w:trPr>
          <w:trHeight w:val="196"/>
        </w:trPr>
        <w:tc>
          <w:tcPr>
            <w:tcW w:w="6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555,596</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531,752</w:t>
            </w: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InnovAge Holding Corp. and Subsidiaries</w:t>
      </w:r>
    </w:p>
    <w:p>
      <w:pPr>
        <w:spacing w:after="0" w:line="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0" w:type="dxa"/>
            <w:vAlign w:val="bottom"/>
          </w:tcPr>
          <w:p>
            <w:pPr>
              <w:spacing w:after="0"/>
              <w:rPr>
                <w:sz w:val="1"/>
                <w:szCs w:val="1"/>
                <w:color w:val="auto"/>
              </w:rPr>
            </w:pPr>
          </w:p>
        </w:tc>
      </w:tr>
      <w:tr>
        <w:trPr>
          <w:trHeight w:val="199"/>
        </w:trPr>
        <w:tc>
          <w:tcPr>
            <w:tcW w:w="63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w w:val="97"/>
              </w:rPr>
              <w:t>per share amounts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Capitation revenue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696,998</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service revenue</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698,640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External provider costs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loss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703,046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InnovAge Holding Corp.</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basic</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135,519,970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123,618,702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135,519,970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123,618,702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basic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InnovAge Holding Corp. and Subsidiaries</w:t>
      </w:r>
    </w:p>
    <w:p>
      <w:pPr>
        <w:spacing w:after="0" w:line="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28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tcBorders>
              <w:bottom w:val="single" w:sz="8" w:color="auto"/>
            </w:tcBorders>
            <w:gridSpan w:val="4"/>
            <w:vMerge w:val="continue"/>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Interests Net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9"/>
              </w:rPr>
              <w:t>(Deficit)</w:t>
            </w:r>
          </w:p>
        </w:tc>
        <w:tc>
          <w:tcPr>
            <w:tcW w:w="80" w:type="dxa"/>
            <w:vAlign w:val="bottom"/>
          </w:tcPr>
          <w:p>
            <w:pPr>
              <w:spacing w:after="0"/>
              <w:rPr>
                <w:sz w:val="12"/>
                <w:szCs w:val="12"/>
                <w:color w:val="auto"/>
              </w:rPr>
            </w:pPr>
          </w:p>
        </w:tc>
        <w:tc>
          <w:tcPr>
            <w:tcW w:w="7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2"/>
                <w:szCs w:val="12"/>
                <w:color w:val="auto"/>
              </w:rPr>
            </w:pPr>
          </w:p>
        </w:tc>
        <w:tc>
          <w:tcPr>
            <w:tcW w:w="138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7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10"/>
          </w:tcPr>
          <w:p>
            <w:pPr>
              <w:ind w:left="600"/>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0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Balances,</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132,718,461</w:t>
            </w:r>
          </w:p>
        </w:tc>
        <w:tc>
          <w:tcPr>
            <w:tcW w:w="3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133</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36,338</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64,737</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102,030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6,735</w:t>
            </w:r>
          </w:p>
        </w:tc>
        <w:tc>
          <w:tcPr>
            <w:tcW w:w="4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107,750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78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right w:val="single" w:sz="8" w:color="CCEEFF"/>
            </w:tcBorders>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spacing w:after="0" w:line="119" w:lineRule="exact"/>
              <w:rPr>
                <w:sz w:val="20"/>
                <w:szCs w:val="20"/>
                <w:color w:val="auto"/>
              </w:rPr>
            </w:pPr>
            <w:r>
              <w:rPr>
                <w:rFonts w:ascii="Times New Roman" w:cs="Times New Roman" w:eastAsia="Times New Roman" w:hAnsi="Times New Roman"/>
                <w:sz w:val="13"/>
                <w:szCs w:val="13"/>
                <w:color w:val="auto"/>
              </w:rPr>
              <w:t>Treasury stock</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6"/>
                <w:szCs w:val="6"/>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16,095,819</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(77,603)</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(77,603)</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transaction</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Treasury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(16,197,849)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(77,780)</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(16,197,849)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77,796</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retirement</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(9,501)</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cancellation</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Time based</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awards- option</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(29,175)</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cancellation</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of warrant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Capital</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contribution</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Initial public</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offering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of offering</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18,995,901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370,449</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370,468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$28,445</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Consolidation</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 equity</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method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16,838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(43,986)</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(44,740)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(44,740)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135,516,513</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136</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323,760</w:t>
            </w:r>
          </w:p>
        </w:tc>
        <w:tc>
          <w:tcPr>
            <w:tcW w:w="20" w:type="dxa"/>
            <w:vAlign w:val="bottom"/>
          </w:tcPr>
          <w:p>
            <w:pPr>
              <w:spacing w:after="0"/>
              <w:rPr>
                <w:sz w:val="9"/>
                <w:szCs w:val="9"/>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22,819</w:t>
            </w:r>
          </w:p>
        </w:tc>
        <w:tc>
          <w:tcPr>
            <w:tcW w:w="40" w:type="dxa"/>
            <w:vAlign w:val="bottom"/>
          </w:tcPr>
          <w:p>
            <w:pPr>
              <w:spacing w:after="0"/>
              <w:rPr>
                <w:sz w:val="9"/>
                <w:szCs w:val="9"/>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357,965</w:t>
            </w:r>
          </w:p>
        </w:tc>
        <w:tc>
          <w:tcPr>
            <w:tcW w:w="40" w:type="dxa"/>
            <w:vAlign w:val="bottom"/>
          </w:tcPr>
          <w:p>
            <w:pPr>
              <w:spacing w:after="0"/>
              <w:rPr>
                <w:sz w:val="9"/>
                <w:szCs w:val="9"/>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574"/>
              <w:spacing w:after="0"/>
              <w:rPr>
                <w:sz w:val="20"/>
                <w:szCs w:val="20"/>
                <w:color w:val="auto"/>
              </w:rPr>
            </w:pPr>
            <w:r>
              <w:rPr>
                <w:rFonts w:ascii="Times New Roman" w:cs="Times New Roman" w:eastAsia="Times New Roman" w:hAnsi="Times New Roman"/>
                <w:sz w:val="11"/>
                <w:szCs w:val="11"/>
                <w:color w:val="auto"/>
                <w:w w:val="71"/>
              </w:rPr>
              <w:t>$</w:t>
            </w:r>
          </w:p>
        </w:tc>
        <w:tc>
          <w:tcPr>
            <w:tcW w:w="0" w:type="dxa"/>
            <w:vAlign w:val="bottom"/>
          </w:tcPr>
          <w:p>
            <w:pPr>
              <w:spacing w:after="0"/>
              <w:rPr>
                <w:sz w:val="1"/>
                <w:szCs w:val="1"/>
                <w:color w:val="auto"/>
              </w:rPr>
            </w:pPr>
          </w:p>
        </w:tc>
      </w:tr>
      <w:tr>
        <w:trPr>
          <w:trHeight w:val="200"/>
        </w:trPr>
        <w:tc>
          <w:tcPr>
            <w:tcW w:w="10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7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(587)</w:t>
            </w: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(16,399)</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(16,986)</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16,986</w:t>
            </w: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Restated</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135,516,513</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136</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323,760</w:t>
            </w:r>
          </w:p>
        </w:tc>
        <w:tc>
          <w:tcPr>
            <w:tcW w:w="20" w:type="dxa"/>
            <w:vAlign w:val="bottom"/>
          </w:tcPr>
          <w:p>
            <w:pPr>
              <w:spacing w:after="0"/>
              <w:rPr>
                <w:sz w:val="12"/>
                <w:szCs w:val="12"/>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40" w:type="dxa"/>
            <w:vAlign w:val="bottom"/>
          </w:tcPr>
          <w:p>
            <w:pPr>
              <w:spacing w:after="0"/>
              <w:rPr>
                <w:sz w:val="12"/>
                <w:szCs w:val="12"/>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340,979</w:t>
            </w:r>
          </w:p>
        </w:tc>
        <w:tc>
          <w:tcPr>
            <w:tcW w:w="40" w:type="dxa"/>
            <w:vAlign w:val="bottom"/>
          </w:tcPr>
          <w:p>
            <w:pPr>
              <w:spacing w:after="0"/>
              <w:rPr>
                <w:sz w:val="12"/>
                <w:szCs w:val="12"/>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16,986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0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7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40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135,516,513</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136</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323,760</w:t>
            </w:r>
          </w:p>
        </w:tc>
        <w:tc>
          <w:tcPr>
            <w:tcW w:w="20" w:type="dxa"/>
            <w:vAlign w:val="bottom"/>
          </w:tcPr>
          <w:p>
            <w:pPr>
              <w:spacing w:after="0"/>
              <w:rPr>
                <w:sz w:val="9"/>
                <w:szCs w:val="9"/>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40" w:type="dxa"/>
            <w:vAlign w:val="bottom"/>
          </w:tcPr>
          <w:p>
            <w:pPr>
              <w:spacing w:after="0"/>
              <w:rPr>
                <w:sz w:val="9"/>
                <w:szCs w:val="9"/>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340,979</w:t>
            </w:r>
          </w:p>
        </w:tc>
        <w:tc>
          <w:tcPr>
            <w:tcW w:w="40" w:type="dxa"/>
            <w:vAlign w:val="bottom"/>
          </w:tcPr>
          <w:p>
            <w:pPr>
              <w:spacing w:after="0"/>
              <w:rPr>
                <w:sz w:val="9"/>
                <w:szCs w:val="9"/>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16,986</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7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Stock-based</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vMerge w:val="restart"/>
            <w:shd w:val="clear" w:color="auto" w:fill="CCEEFF"/>
          </w:tcPr>
          <w:p>
            <w:pPr>
              <w:spacing w:after="0"/>
              <w:rPr>
                <w:sz w:val="6"/>
                <w:szCs w:val="6"/>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vMerge w:val="restart"/>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vMerge w:val="restart"/>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to</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value</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(6,521)</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135,532,811</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136</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327,499</w:t>
            </w:r>
          </w:p>
        </w:tc>
        <w:tc>
          <w:tcPr>
            <w:tcW w:w="20" w:type="dxa"/>
            <w:vAlign w:val="bottom"/>
          </w:tcPr>
          <w:p>
            <w:pPr>
              <w:spacing w:after="0"/>
              <w:rPr>
                <w:sz w:val="9"/>
                <w:szCs w:val="9"/>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40" w:type="dxa"/>
            <w:vAlign w:val="bottom"/>
          </w:tcPr>
          <w:p>
            <w:pPr>
              <w:spacing w:after="0"/>
              <w:rPr>
                <w:sz w:val="9"/>
                <w:szCs w:val="9"/>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338,466</w:t>
            </w:r>
          </w:p>
        </w:tc>
        <w:tc>
          <w:tcPr>
            <w:tcW w:w="40" w:type="dxa"/>
            <w:vAlign w:val="bottom"/>
          </w:tcPr>
          <w:p>
            <w:pPr>
              <w:spacing w:after="0"/>
              <w:rPr>
                <w:sz w:val="9"/>
                <w:szCs w:val="9"/>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15,278</w:t>
            </w:r>
          </w:p>
        </w:tc>
        <w:tc>
          <w:tcPr>
            <w:tcW w:w="80" w:type="dxa"/>
            <w:vAlign w:val="bottom"/>
          </w:tcPr>
          <w:p>
            <w:pPr>
              <w:spacing w:after="0"/>
              <w:rPr>
                <w:sz w:val="9"/>
                <w:szCs w:val="9"/>
                <w:color w:val="auto"/>
              </w:rPr>
            </w:pPr>
          </w:p>
        </w:tc>
        <w:tc>
          <w:tcPr>
            <w:tcW w:w="700" w:type="dxa"/>
            <w:vAlign w:val="bottom"/>
            <w:vMerge w:val="restart"/>
          </w:tcPr>
          <w:p>
            <w:pPr>
              <w:jc w:val="right"/>
              <w:ind w:right="574"/>
              <w:spacing w:after="0"/>
              <w:rPr>
                <w:sz w:val="20"/>
                <w:szCs w:val="20"/>
                <w:color w:val="auto"/>
              </w:rPr>
            </w:pPr>
            <w:r>
              <w:rPr>
                <w:rFonts w:ascii="Times New Roman" w:cs="Times New Roman" w:eastAsia="Times New Roman" w:hAnsi="Times New Roman"/>
                <w:sz w:val="11"/>
                <w:szCs w:val="11"/>
                <w:color w:val="auto"/>
                <w:w w:val="71"/>
              </w:rPr>
              <w:t>$</w:t>
            </w:r>
          </w:p>
        </w:tc>
        <w:tc>
          <w:tcPr>
            <w:tcW w:w="0" w:type="dxa"/>
            <w:vAlign w:val="bottom"/>
          </w:tcPr>
          <w:p>
            <w:pPr>
              <w:spacing w:after="0"/>
              <w:rPr>
                <w:sz w:val="1"/>
                <w:szCs w:val="1"/>
                <w:color w:val="auto"/>
              </w:rPr>
            </w:pPr>
          </w:p>
        </w:tc>
      </w:tr>
      <w:tr>
        <w:trPr>
          <w:trHeight w:val="160"/>
        </w:trPr>
        <w:tc>
          <w:tcPr>
            <w:tcW w:w="10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7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10000"/>
          </w:cols>
          <w:pgMar w:left="1220" w:top="513" w:right="679"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InnovAge Holding Corp. and Subsidiaries</w:t>
      </w:r>
    </w:p>
    <w:p>
      <w:pPr>
        <w:spacing w:after="0" w:line="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jc w:val="right"/>
              <w:ind w:right="23"/>
              <w:spacing w:after="0" w:line="12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5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(7,960)</w:t>
            </w:r>
          </w:p>
        </w:tc>
        <w:tc>
          <w:tcPr>
            <w:tcW w:w="560" w:type="dxa"/>
            <w:vAlign w:val="bottom"/>
            <w:gridSpan w:val="2"/>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disposal of assets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uncollectible accounts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6,181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on equity method investment</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extinguishment of long-term debt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in equity of nonconsolidated entities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Deposits and other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17,381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Reported and estimated claims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Due to Medicaid and Medicare</w:t>
            </w:r>
          </w:p>
        </w:tc>
        <w:tc>
          <w:tcPr>
            <w:tcW w:w="3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27,302</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(38,238)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intangible assets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cost method investment</w:t>
            </w:r>
          </w:p>
        </w:tc>
        <w:tc>
          <w:tcPr>
            <w:tcW w:w="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(40,238)</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Distributions to owners</w:t>
            </w:r>
          </w:p>
        </w:tc>
        <w:tc>
          <w:tcPr>
            <w:tcW w:w="5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contributions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on capital lease obligations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Principal payments on long-term debt</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(512,660)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 of financing costs and debt premiums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initial public offering of common stock</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370,468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stock purchases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under acquisition agreements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related to option cancellation</w:t>
            </w:r>
          </w:p>
        </w:tc>
        <w:tc>
          <w:tcPr>
            <w:tcW w:w="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(29,175)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(6,318)</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116,224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 IN CASH, CASH EQUIVALENTS &amp; RESTRICTED CASH</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(19,254)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89,135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203,700</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3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184,446</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5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w:t>
            </w:r>
          </w:p>
        </w:tc>
        <w:tc>
          <w:tcPr>
            <w:tcW w:w="560" w:type="dxa"/>
            <w:vAlign w:val="bottom"/>
            <w:gridSpan w:val="2"/>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5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560" w:type="dxa"/>
            <w:vAlign w:val="bottom"/>
            <w:gridSpan w:val="2"/>
            <w:shd w:val="clear" w:color="auto" w:fill="CCEEFF"/>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5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2,135</w:t>
            </w:r>
          </w:p>
        </w:tc>
        <w:tc>
          <w:tcPr>
            <w:tcW w:w="560" w:type="dxa"/>
            <w:vAlign w:val="bottom"/>
            <w:gridSpan w:val="2"/>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purchased under capital leases</w:t>
            </w:r>
          </w:p>
        </w:tc>
        <w:tc>
          <w:tcPr>
            <w:tcW w:w="5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8,067</w:t>
            </w:r>
          </w:p>
        </w:tc>
        <w:tc>
          <w:tcPr>
            <w:tcW w:w="560" w:type="dxa"/>
            <w:vAlign w:val="bottom"/>
            <w:gridSpan w:val="2"/>
            <w:shd w:val="clear" w:color="auto" w:fill="CCEEFF"/>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Business</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InnovAge Holding Corp. (formerly, TCO Group Holdings, Inc.) (the “Company”)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and Total Community Options Foundation, Inc. and Johnson Adult Day Program, Inc, both not-for-profit organizations, separated from Total Community Options, Inc. In connection with our initial public offering (“IPO”), which occurred in March 2021, we changed the name of our company from TCO Group Holdings, Inc. to InnovAge Holding Corp.</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InnovAge Holding Corp. and its subsidiaries, which are headquartered in Denver, Colorado, have a record of innovation, quality, and sensitivity to the needs of participants and staff. The Company oversees, and in many cases directly provides, a broad range of medical and ancillary services for seniors in need of care and support to safely live independently in their homes and communities, including in-home care services (skilled, unskilled and personal care);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the Company served approximately 6,650 PACE participants, making it the largest PACE provider in the United States of America (the U.S.) based upon participants served, and operates 18 PACE centers across Colorado, California, New Mexico, Pennsylvania and Virginia.</w:t>
      </w:r>
    </w:p>
    <w:p>
      <w:pPr>
        <w:spacing w:after="0" w:line="13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8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On March 3, 2021, the Company’s Registration Statement on Form S-1 with respect to the Company’s IPO of shares of common stock, par value $0.001 per share, was declared effective by the Securities and Exchange Commission (“SEC”). The Company’s common stock began trading on March 4, 2021 on the Nasdaq Stock Market LLC (“NASDAQ”) under the ticker symbol “INNV”.</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March 8, 2021, we completed our IPO in which we issued and sold 16,666,667 shares of our common stock at an offering price of $21.00 per share. In addition, the underwriters had the option to purchase 2,500,000 additional shares of common stock, and on March 9, 2021, the underwriters exercised the option to purchase 2,329,234 shares of common stock. We received net proceeds of $370.5 million, after deducting underwriting discounts and commissions of $23.9 million and deferred offering costs of $4.5 million. Deferred, direct offering costs were capitalized and consisted of fees and expenses incurred in connection with the sale of our common stock in the IPO, including the legal, accounting, printing and other offering related costs. Upon completion of the IPO, these deferred offering costs were reclassified from current assets to stockholders’ equity and recorded against the net proceeds from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121" w:lineRule="exact"/>
        <w:rPr>
          <w:sz w:val="20"/>
          <w:szCs w:val="20"/>
          <w:color w:val="auto"/>
        </w:rPr>
      </w:pPr>
    </w:p>
    <w:p>
      <w:pPr>
        <w:jc w:val="both"/>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 (GAAP). The consolidated financial statements include the accounts of the Company, its wholly owned subsidiaries, and variable interest entities (VIEs) for which it is the primary beneficiary and entities for which it is the controlling general partner. All intercompany accounts and transactions have been eliminated in consolidation.</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Prior Period Financial Statements</w:t>
      </w:r>
    </w:p>
    <w:p>
      <w:pPr>
        <w:spacing w:after="0" w:line="121" w:lineRule="exact"/>
        <w:rPr>
          <w:sz w:val="20"/>
          <w:szCs w:val="20"/>
          <w:color w:val="auto"/>
        </w:rPr>
      </w:pPr>
    </w:p>
    <w:p>
      <w:pPr>
        <w:jc w:val="both"/>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Subsequent to the issuance of the Company’s consolidated financial statements as of and for the year ended June 30, 2021, we identified an error in our consolidated balance sheet and statement of stockholders’ equity as of June 30, 2021 related to the presentation of redeemable noncontrolling interests. The Company incorrectly recorded redeemable noncontrolling interests of $17.0 million as permanent equity rather than temporary equity as of June 30, 2021. As a result, the Company is restating the June 30, 2021 condensed consolidated financial statements to reflect this reclassification from permanent to temporary equity and to record the related adjustments to redemption value as of June 30, 2021. Management has evaluated the materiality of this misstatement and concluded that it is not material to the prior period.</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effect of the restatement on the consolidated balance sheet as of June 30, 2021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Restated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gridSpan w:val="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 (See Note 5)</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InnovAge Holding Corp.</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335,146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357,965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340,979</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The effect of the restatement on the consolidated statement of stockholders’ equity as of June 30, 2021 is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86"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Permanent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1800" w:type="dxa"/>
            <w:vAlign w:val="bottom"/>
            <w:tcBorders>
              <w:top w:val="single" w:sz="8" w:color="CCEEFF"/>
              <w:bottom w:val="single" w:sz="8" w:color="auto"/>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As Previously Reported</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Consolidation of equity method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(44,740)</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Adjustment to redemption value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22,819</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357,965</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9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Adjustments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Consolidation of equity method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 (44,740)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redemption value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Balances, June 30,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6"/>
              </w:rPr>
              <w:t>As Restated</w:t>
            </w:r>
          </w:p>
        </w:tc>
        <w:tc>
          <w:tcPr>
            <w:tcW w:w="2020" w:type="dxa"/>
            <w:vAlign w:val="bottom"/>
            <w:tcBorders>
              <w:bottom w:val="single" w:sz="8" w:color="CCEEFF"/>
            </w:tcBorders>
            <w:gridSpan w:val="3"/>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Consolidation of equity method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(44,740)</w:t>
            </w:r>
          </w:p>
        </w:tc>
        <w:tc>
          <w:tcPr>
            <w:tcW w:w="0" w:type="dxa"/>
            <w:vAlign w:val="bottom"/>
          </w:tcPr>
          <w:p>
            <w:pPr>
              <w:spacing w:after="0"/>
              <w:rPr>
                <w:sz w:val="1"/>
                <w:szCs w:val="1"/>
                <w:color w:val="auto"/>
              </w:rPr>
            </w:pPr>
          </w:p>
        </w:tc>
      </w:tr>
      <w:tr>
        <w:trPr>
          <w:trHeight w:val="243"/>
        </w:trPr>
        <w:tc>
          <w:tcPr>
            <w:tcW w:w="2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Adjustment to redemption value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340,979</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ind w:left="60" w:right="59" w:firstLine="243"/>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the allowance for uncollectible accounts; useful lives of property and equipment and the valuation of goodwill and intangible assets; risk-score adjustments to participant revenues; reported and estimated claims; accruals; the determination of assumptions for stock-based compensation costs; deferred taxes, including the determination of a need for a valuation allowance; valuation of the contingent consideration; legal contingencies, including medical malpractice claims; the determination of fair value of net assets acquired in a business combination; and other fair value measurements. Actual results may differ from previously estimated amounts.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and financial instruments issued by major financial institutions that have an original maturity of less than three months. Amounts are reported in the consolidated balance sheets at cost, which approximates fair value.</w:t>
      </w:r>
    </w:p>
    <w:p>
      <w:pPr>
        <w:spacing w:after="0" w:line="14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deposited with high credit quality financial institutions and are primarily in demand deposit accounts. The FDIC insurance coverage is $250,000 on the aggregate of interest bearing and non-interest bearing accounts.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Cost method investments do not have a readily determinable fair value and are carried at cost, less impairment plus or minus any changes resulting from observable price changes in orderly transactions for the identical or similar investment of the same issuer.</w:t>
      </w:r>
    </w:p>
    <w:p>
      <w:pPr>
        <w:spacing w:after="0" w:line="14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entities that it does not control, but in which it has the ability to exercise significant influence over operating and financial policies. The Company’s investments in these nonconsolidated entities is reflected in the Company’s consolidated balance sheets under the equity method, and the Company’s proportionate net income (loss), if any, is included in the Company’s consolidated statements of operations as equity income (loss).</w:t>
      </w:r>
    </w:p>
    <w:p>
      <w:pPr>
        <w:spacing w:after="0" w:line="14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There were no write-downs in the fiscal years ended June 30, 2022 or 2021. See Note 5 “Investments” for more information.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Restricted cash includes (1) cash held in certificates of deposit of $0.0 million and $2.2 million as of June 30, 2022 and 2021, respectively, and (2) cash held for participants who have established a personal-needs account to pay for nonmedical personal expenses, payment of which only occurs upon participant authorization, in the amount of approximately $0.02 million as of both June 30, 2022 and 2021. The Company records a related deposit liability for any participant contributions to these personal-needs accounts in accounts payable and accrued expenses in the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provides comprehensive health care services to participants on the basis of capitated or fixed fees per participant that are paid monthly by Medicare, Medicaid, the VA, and private pay sources. 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Accounts are written off as bad debts when they are deemed uncollectible based upon individual credit evaluations and specific circumstances underlying the accounts. See additional information in Note 3 “Revenue Recognition”.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and amortization are recorded using the straight-line method over the shorter of estimated useful lives or lease terms, if the assets are being leased.</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June 30:</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0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3"/>
        </w:trPr>
        <w:tc>
          <w:tcPr>
            <w:tcW w:w="39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- 40 years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122,076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 years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vehicles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 years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233,345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176,260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Depreciation of $13.3 million and $11.6 million was recorded during the fiscal years ended June 30, 2022 and 2021, respectively. Land is not depreciated, and construction in progress is not depreciated until ready for service. Costs of enhancements or modifications that substantially extend the capacity or useful life of an asset are capitalized and depreciated accordingly. Ordinary repairs and maintenance are expensed as incurred.</w:t>
      </w:r>
    </w:p>
    <w:p>
      <w:pPr>
        <w:spacing w:after="0" w:line="13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costs of acquiring or developing internal-use software, including directly related payroll costs for internal resources, are capitalized. Software maintenance and training costs are expensed in the period incurred.</w:t>
      </w:r>
    </w:p>
    <w:p>
      <w:pPr>
        <w:spacing w:after="0" w:line="13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is capitalized on construction projects, including internal-use software development projects, while in progress. During the fiscal years ended June 30, 2022 and 2021, the Company capitalized interest of approximately $0.9 million and $1.0 million, respectively.</w:t>
      </w:r>
    </w:p>
    <w:p>
      <w:pPr>
        <w:spacing w:after="0" w:line="13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When property and equipment are retired or otherwise disposed of, the cost and accumulated depreciation are removed from the consolidated balance sheets, and the resulting gain or loss, if any, is reflected in the consolidated statements of operations. Long-lived assets are evaluated for impairment whenever events or changes in circumstances indicate the carrying value of an asset may not be recoverable. No impairment charges were recorded in the fiscal years ended June 30, 2022 or 2021.</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0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tests goodwill for impairment annually on April 1st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a significant portion of the business, or other factors. Impairment of goodwill is evaluated at the reporting unit level. A reporting unit is defined as an operating segment (i.e. before aggregation or combination), or one level below an operating segment (i.e. a component). A component of an operating segment is a reporting unit if the component constitutes a business for which discrete financial information is available and segment management regularly reviews the operating results of that component. The Company has three reporting units for evaluating goodwill impairment.</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ASC 350, Intangibles — Goodwill and Other (“ASC 350”), allows entities to first use a qualitative approach to test goodwill for impairment. When the reporting units where the Company performs the quantitative goodwill impairment are tested, the Company compares the fair value of the reporting unit, which the Company primarily determines using an income approach based on the present value of discounted cash flows, to the respective carrying value, which includes goodwill. If the fair value of the reporting unit exceeds its carrying value, the goodwill is not considered impaired. If the carrying value is higher than the fair value, the difference would be recognized as an impairment loss. There were no goodwill impairments recorded during the years ended June 30, 2022 and 2021.</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Customer relationships represent the estimated values of customer relationships of acquired businesses and have definite lives. The Company amortizes these intangible assets on a straight-line basis over their ten-year estimated useful life. Intangible assets are reviewed for impairment in conjunction with long-lived assets. There were no intangible asset impairments recorded during the years ended June 30, 2022 and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Reported and Estimated Claims</w:t>
      </w:r>
    </w:p>
    <w:p>
      <w:pPr>
        <w:spacing w:after="0" w:line="20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Reported and estimated claims consist of unpaid claims reported as of the balance sheet date and estimates of claims incurred on or before June 30 that have not been reported by that date (IBNR). Such estimates are developed using actuarial methods and are based on many variables, including the utilization of health care services, historical payment patterns, cost trends, and other factors. These complex estimation methods and the resulting reserves are continually reviewed and updated, and any adjustments deemed necessary to contemplate new or updated information are reflected in current operations.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contingent consideration at the time of agreement and records changes in the fair value of contingent consideration each reporting period in the consolidated statements of operations as a component of other operating expense (income).</w:t>
      </w:r>
    </w:p>
    <w:p>
      <w:pPr>
        <w:spacing w:after="0" w:line="14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June 30, 2021, we paid contingent consideration relating to our acquisition of NewCourtland, as defined and described in Note 5 “Investments”. There were no amounts outstanding related to contingent consideration as of June 30, 2022.</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Debt issuance costs are those costs that have been incurred in connection with the issuance of long-term debt and are offset against long-term debt in the consolidated balance sheets. Such costs are being amortized over the term of the underlying debt using the straight-line method, as the difference between that and the effective interest method are immaterial.</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Treasury stock purchases are accounted for under the cost method where the entire cost of the acquired stock is recorded as treasury stock. Gains and losses on the subsequent reissuance of shares are credited or charged to paid-in-capital in excess of par value using the average-cost method.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 Medicaid and Medicare capitation revenues are based on PMPM capitation rates under the PACE program. For a discussion of our revenue recognition policies, please see Note 3 “Revenue Recognition”.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 Claims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a liability for medical malpractice claims based on estimated probable losses and costs associated with settling these claims and a receivable to reflect the estimated insurance recoveries, if any. See Note 10 “Commitments and Contingencies”.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Company’s purchased services and contracts expenses include media advertising, tactical advertising, and promotion costs. The creative portion of these activities is expensed as incurred. Production costs of advertising and promotional materials are expensed when the advertising is first run, unless such costs support direct-response advertising campaigns. In that case, these costs are capitalized and amortized over the period estimated to benefit from the campaign. Total advertising expenses were $6.7 million and $6.5 million for the fiscal years ended June 30, 2022 and 2021, respectively.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long-term equity incentive plans that provide for stock-based compensation, including the granting of stock options, profits interest units and restricted stock units to employees, directors, consultants, or advisers, as determined by each of the respective plans.</w:t>
      </w:r>
    </w:p>
    <w:p>
      <w:pPr>
        <w:spacing w:after="0" w:line="135"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utilizes the Black-Scholes option-pricing model to determine the fair value of the stock options on the date of grant. This model derives the fair value of the options based on certain assumptions related to expected stock price volatility, expected option life, risk-free interest rate, and dividend yield. The Company uses the Monte Carlo option model to determine the fair value of the granted profits interests units.</w:t>
      </w:r>
    </w:p>
    <w:p>
      <w:pPr>
        <w:spacing w:after="0" w:line="13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For service-vesting awards, we recognize stock-based compensation expense over the requisite service period, which is generally the vesting period of the respective award, on a straight-line basis. If the award was, in substance, multiple awards, we recognize stock-based compensation expense over the requisite service period for each separately vesting portion of the awards. For performance-vesting awards, we recognize stock-based compensation expense when it is probable that the performance condition will be achieved. We analyze if a performance condition is probable for each reporting period through the settlement date for awards subject to performance vesting. Stock-based compensation is included in corporate, general and administrative expenses on our consolidated statements of operations.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Shares issued pursuant to our equity incentive plans are issued from authorized but unissued shares or from shares, if any, held by the Company as treasury stock. See Note 11 “Stock-based Compensation”.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InnovAge Sacramento have elected to be taxed as partnerships, and no provision for income taxes for SH1 or InnovAge Sacramento is included in these consolidated financial statements.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(VIE)</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 VIE is defined as a legal entity whose equity owners do not have sufficient equity at risk or whose equity owners lack certain decision-making and economic rights. The primary beneficiary is identified as the variable interest holder that has both the power to direct the activities of the VIE that most significantly affect the entity’s economic performance and the obligation to absorb losses or the right to receive benefits from the entity. The primary beneficiary is required to consolidate the VIE. SH1 and PWD, each as defined and described in Note 5 “Investments”, are considered to be VIEs. The Company is not considered the primary beneficiary of PWD but is considered the primary beneficiary of SH1.</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ASU 2019-12, Income Taxes Topic 740-Simplifying the Accounting for Income Taxes (“ASU 2019-12”), which intended to simplify various aspects related to accounting for income taxes. ASU 2019-12 removes certain exceptions to the general principles in Topic 740 and also clarifies and amends existing guidance to improve consistent application of Topic 740. This guidance is effective for companies with fiscal years beginning after December 15, 2020, including interim periods therein, and early adoption is permitted. The Company adopted ASU 2019-12 during the quarter ended September 30, 2021 and it did not have a material effect on the Company’s condensed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Leases (ASU 2016-02), which was intended to increase transparency and comparability among organizations by recognizing lease assets and liabilities on the balance sheet and disclosing key information about leasing arrangements. Under the new guidance, lessees will be required to recognize a right-of-use asset and a lease liability, measured on a discounted basis, at the commencement date for all leases with terms greater than 12 months. Additionally, this guidance will require disclosures to help investors and other financial statement users to better understand the amount, timing, and uncertainty of cash flows arising from leases, including qualitative and quantitative requirements. The guidance should be applied under a modified retrospective transition approach for leases existing at the beginning of the earliest comparative period presented in the adoption-period financial statements. Any leases that expire before the initial application date will not require any accounting adjustment. In June 2020, FASB issued ASU 2020-05 Revenue from contracts with customers (Topic 606) and leases (Topic 842)—Effective dates for certain entities which deferred the new lease standard effective date for the Company to December 15, 2022, with early adoption permitted. The Company will adopt this ASU in the fiscal year beginning July 1, 2022 and has not yet determined the effect of the standard on its ongoing financial reporting.</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April 2019, the FASB issued ASU 2019-04, </w:t>
      </w:r>
      <w:r>
        <w:rPr>
          <w:rFonts w:ascii="Times New Roman" w:cs="Times New Roman" w:eastAsia="Times New Roman" w:hAnsi="Times New Roman"/>
          <w:sz w:val="18"/>
          <w:szCs w:val="18"/>
          <w:i w:val="1"/>
          <w:iCs w:val="1"/>
          <w:color w:val="auto"/>
        </w:rPr>
        <w:t>Codification Improvements to Topic 326,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815, Derivatives and Hedging, and Topic 825, Financial Instruments</w:t>
      </w:r>
      <w:r>
        <w:rPr>
          <w:rFonts w:ascii="Times New Roman" w:cs="Times New Roman" w:eastAsia="Times New Roman" w:hAnsi="Times New Roman"/>
          <w:sz w:val="18"/>
          <w:szCs w:val="18"/>
          <w:color w:val="auto"/>
        </w:rPr>
        <w:t>, which requires entities to 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The ASU is effective for private companies to fiscal years beginning after December 15, 2022, including interim periods within those fiscal years. The Company will adopt this guidance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annual and interim reporting periods beginning July 1, 2023. The Company has not determined the effect of the standard on its consolidated financial statements.</w:t>
      </w:r>
    </w:p>
    <w:p>
      <w:pPr>
        <w:spacing w:after="0" w:line="13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that any other recently issued accounting guidance will have a significant effect on our condensed consolidated financial statements.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Capitation Revenue and Accounts Receivable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15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3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w:t>
      </w:r>
    </w:p>
    <w:p>
      <w:pPr>
        <w:spacing w:after="0" w:line="14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disaggregates capitation revenue from the following sources for the year ended June 30:</w:t>
      </w:r>
    </w:p>
    <w:p>
      <w:pPr>
        <w:spacing w:after="0" w:line="300"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Medicaid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pay and other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w:t>
      </w:r>
    </w:p>
    <w:p>
      <w:pPr>
        <w:spacing w:after="0" w:line="13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corridor provisions compare costs targeted in the Company’s bid to actual prescription drug costs. The Company estimates and records a monthly adjustment to Medicare Part D revenues associated with these risk-sharing corridor provisions. Medicare Part D comprised (i) 12% of capitation revenues for each of the years ended June 30, 2022 and 2021, and (ii) 23% and 21% of external provider costs for the year ended June 30, 2022 and 2021, respectively.</w:t>
      </w:r>
    </w:p>
    <w:p>
      <w:pPr>
        <w:spacing w:after="0" w:line="15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comprehensive health care services to participants on the basis of capitated or fixed fees per participant that are paid monthly by Medicare, Medicaid, the VA, and private pay sources. The concentration of net receivables from participants and third-party payers as of June 30, 2022 and 2021 was as follows:</w:t>
      </w:r>
    </w:p>
    <w:p>
      <w:pPr>
        <w:spacing w:after="0" w:line="14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Medicaid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pay and other</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0"/>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$3.4 million as of June 30, 2022, compared to $4.4 million as of June 30, 2021. Accounts are written off as bad debts when they are deemed uncollectible based upon individual credit evaluations and specific circumstances underlying the accounts.</w:t>
      </w:r>
    </w:p>
    <w:p>
      <w:pPr>
        <w:spacing w:after="0" w:line="14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fiscal year 2021, the Company and the Colorado Department of Health Care Policy &amp; Financing (“HCPF”) completed the reconciliation for fiscal years 2018 and 2019. The reconciliation resulted in a reduction of accounts receivable of $17.0 million and due to Medicaid of $13.6 million, which was recorded in fiscal year 2021. The Company does not expect adjustments related to the reconciliation to be significant in future periods.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Service Revenue and Accounts Receivable</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service revenue is comprised of rents earned related to Senior Housing and other fee for service revenue.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related to other service revenue were not significant as of both June 30, 2022 and June 30, 2021.</w:t>
      </w:r>
    </w:p>
    <w:p>
      <w:pPr>
        <w:spacing w:after="0" w:line="16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10, “Commitments and Contingencies”.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Equity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Owner Transaction and Treasury Stock</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July 27, 2020, the Company, Ignite Aggregator LP (“Purchaser”), and the former equity holders of the Company (“Sellers”) entered into a Securities Purchase Agreement (the “Agreement”), effective July 27, 2020. Under the terms of the Agreement, the Sellers sold a portion of their equity interest to the Purchaser. The Purchaser and the Sellers then contributed their equity interests in the Company to a newly formed limited partnership, TCO Group Holdings, L.P. (the “LP”) resulting in the Company being wholly owned by the LP.</w:t>
      </w:r>
    </w:p>
    <w:p>
      <w:pPr>
        <w:spacing w:after="0" w:line="14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Concurrently with the entry into the Agreement, the Company amended and restated its 2016 Credit Agreement (as defined below), see Note 8 “Long-term Debt” for further discussion. A portion of the proceeds were used by the Company to repurchase 16,095,819 shares of its common stock from certain members of management, our Board of Directors and our equity partner, at $4.82 per share. As a result of the repurchase, $77.6 million was recorded as Treasury stock. In March 2021, the Company retired all outstanding shares of Treasury stock.</w:t>
      </w:r>
    </w:p>
    <w:p>
      <w:pPr>
        <w:spacing w:after="0" w:line="15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Additionally, as part of the Agreement, the Company executed an Option Cancellation Agreement (the “Cancellation Agreement”), which canceled the Company’s common stock option awards of 16,994,975 granted under the 2016 Equity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Incentive Plan for $74.6 million. Such cancellation resulted in a settlement of the awards. Vesting of the contingent performance-based awards was not deemed probable at the time of the settlement resulting in the settlement of the contingent performance-based awards being recorded as Corporate, general and administrative. Vesting of the time vesting awards was deemed probable at the time of the settlement resulting in a portion of the settlement of the time vesting awards being recorded as Corporate, general and administrative expense and the remainder being recorded as a reduction to Additional paid-in capital. Of the total settlement, $45.4 million was recorded as Corporate, general and administrative expense and $32.4 million was recorded as a reduction to Additional paid-in capital. The Cancellation Agreement resulted in the option holders receiving the same amount of cash that they would have received had they exercised their options, participated in the repurchase described above and sold their remaining shares.</w:t>
      </w:r>
    </w:p>
    <w:p>
      <w:pPr>
        <w:spacing w:after="0" w:line="161"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part of the transaction, the Company incurred $22.6 million in transaction costs, of which $13.1 million was recognized as Corporate, general and administrative expense and $9.5 million was recognized as a distribution to owner as the costs were paid on behalf of the owners.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Contribution</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October 15, 2020, Finback Pace, LP contributed $20.0 million for an investment in the LP, which in turn contributed the funds to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Investments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holds cost method and equity method investments as of June 30:</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investments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4,645</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5,493</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Nonconsolidated Entities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Method Investments</w:t>
      </w:r>
    </w:p>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two investments that are accounted for using the cost method.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years ended June 30, 2022 and 2021, there were no observable price changes or impairments recorded.</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JetDoc</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 The balance of the Company’s investment in Jetdoc is $2.0 million which represents the maximum exposure to loss.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Dispatch Health</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The balance of the Company’s investment is $2.6 million which represents the maximum exposure to loss. The investment does not have a readily determinable fair value and the Company has elected to record the investment at cost, less impairment, if any, plus or minus any changes resulting from observable price changes in orderly transactions for the identical or similar investment of the same issuer. During the period ended June 30, 2022 and 2021, there were no observable price changes.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Pinewood Lodge</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Pinewood Lodge, LLP (“PWD”)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and is included in equity method investments in the accompanying consolidated balance sheets. The equity earnings of PWD are insignificant. As of June 30, 2022, the balance of the Company’s investment in PWD was $0.8 million, which represents the maximum exposure to loss.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20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26.41% and 13.69%, respectively. The Company made an additional contribution of $52,000 to obtain an additional 0.1% membership interest in the joint venture. With the acquisition of the additional 0.1% membership interest, the Company obtained control of InnovAge Sacramento effective January 1, 2021. Accordingly, beginning January 1, 2021, the results of InnovAge Sacramento are included in our consolidated results of operations.</w:t>
      </w:r>
    </w:p>
    <w:p>
      <w:pPr>
        <w:spacing w:after="0" w:line="15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June 30, 2022, none of the conditions specified in the JV Agreement had been met.</w:t>
      </w:r>
    </w:p>
    <w:p>
      <w:pPr>
        <w:spacing w:after="0" w:line="14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At the consummation of the JV Agreement, the Company issued to Adventist, warrants (the “Sacramento Warrants”) to purchase 5% of the Company’s issued and outstanding common stock, par value $0.001 at an exercise price equal to the fair market value per share at the time of exercise of this warrant. The Sacramento Warrants originally fully vested on the exercise date, which was defined as the date on which Adventist had made aggregate capital contributions in an amount greater than $25.0 million to one or more joint venture entities in which Adventist and the Company hold equity (the “Investment Threshold”).</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February 9, 2021, the Company entered into an amendment agreement with our joint venture partner Adventist to amend the Sacramento Warrants. The amendment removed the Investment Threshold requirement and granted Adventist the right to purchase up to $15.0 million of the Company’s common stock at an exercise price equal to the IPO price. The warrant was exercisable for one year beginning on the date of the consummation of the IPO. The warrant expired in March 2022 without being exercised.</w:t>
      </w:r>
    </w:p>
    <w:p>
      <w:pPr>
        <w:spacing w:after="0" w:line="14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Sacramento Warrants were initially determined to be equity-based payments to nonemployees and as such the measurement date for these warrants was considered to be the date when the Investment Threshold is reached. At the time of the amendment, due to the removal of the Investment Threshold, the warrants were evaluated under ASC 815-40, </w:t>
      </w:r>
      <w:r>
        <w:rPr>
          <w:rFonts w:ascii="Times New Roman" w:cs="Times New Roman" w:eastAsia="Times New Roman" w:hAnsi="Times New Roman"/>
          <w:sz w:val="18"/>
          <w:szCs w:val="18"/>
          <w:i w:val="1"/>
          <w:iCs w:val="1"/>
          <w:color w:val="auto"/>
        </w:rPr>
        <w:t>Contracts in an Entity’s Own Equity</w:t>
      </w:r>
      <w:r>
        <w:rPr>
          <w:rFonts w:ascii="Times New Roman" w:cs="Times New Roman" w:eastAsia="Times New Roman" w:hAnsi="Times New Roman"/>
          <w:sz w:val="18"/>
          <w:szCs w:val="18"/>
          <w:color w:val="auto"/>
        </w:rPr>
        <w:t>, which resulted in a liability classification from the date of the amendment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our IPO, due to the variable amount of shares which could be issued. Upon completion of the IPO, the number of shares to be issued were no longer variable, which resulted in the warrants being recorded in equity. In 2021, we recorded a charge of $2.3 million, representing the fair value of the warrants from inception through the date of completion of the IPO, in other income (expense) in the condensed consolidated statement of operations.</w:t>
      </w:r>
    </w:p>
    <w:p>
      <w:pPr>
        <w:spacing w:after="0" w:line="15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Effective January 1, 2021, we obtained control of InnovAge Sacramento through acquisition of an additional 0.1% membership interest, which we consider to be a step acquisition, whereby the Company re-measured the previously held equity method investment to fair value. This resulted in a gain on consolidation of $10.9 million, which is recorded in gain on equity method investment in the condensed consolidated statement of operations. The fair value of the previously held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equity investments was determined using a discounted cash flow model. This resulted in a gain on consolidation of $10.9 million during the year ended June 30, 2021.</w:t>
      </w:r>
    </w:p>
    <w:p>
      <w:pPr>
        <w:spacing w:after="0" w:line="13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accounted for the transaction as a business combination, which requires that we record the assets acquired and liabilities assumed at fair value. The amount by which the purchase price exceeds the fair value of the net assets acquired is recorded as goodwill. The fair value of the assets acquired and net liabilities assumed in the step acquisition of InnovAge Sacramento are as follows as of January 1, 2021:</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Due to Medicaid and Medicare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results of InnovAge Sacramento for the six months ended December 31, 2020. The results of InnovAge Sacramento are consolidated beginning January 1, 2021.</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3"/>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199"/>
        </w:trPr>
        <w:tc>
          <w:tcPr>
            <w:tcW w:w="5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members’ interest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Company’s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 of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members’ interest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Company’s interest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interest in net loss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Entities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Housing</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InnovAge Senior Housing Thornton, LLC (“SH1”) is a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assets and liabilities of SH1 as of June 30:</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Deposits and other, net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long-term debt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liabilities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Effective January 1, 2021, we obtained control of InnovAge Sacramento through acquisition of an additional 0.1% membership interest, which we consider to be a step acquisition, whereby the Company re-measured the previously held equity method investment to fair value.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Payment Pursuant to Acquisition Agreement</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fiscal year ended June 30, 2019, the Company finalized the acquisition of NewCourtland LIFE Program (“NewCourtland”) in Pennsylvania. The Company paid a base purchase price of $30 million, subject to certain net working capital and closing adjustments plus deferred cash consideration of up to $20 million. On March 8, 2021, we completed our IPO, which satisfied the condition that the Company sell equity securities pursuant to an effective registration statement. Accordingly, $20.0 million of contingent consideration was paid under the terms of the acquisition agreement during the year ended June 30, 2021.</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0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Pursuant to ASC 350, “Intangibles — Goodwill and Other,” we review the recoverability of goodwill annually as of April 1 or whenever significant events or changes occur which might impair the recovery of recorded amounts. For purposes of the annual goodwill impairment assessment, the Company has identified three reporting units. In September of 2021, we were notified that CMS and the State of California had suspended new enrollments at our Sacramento center based on deficiencies detected in an audit related to the provision of participant services. In February 2022, we were notified by the States of Kentucky and Indiana that they have taken actions to suspend our ability to open de novo centers in those states. We considered these events to be triggering events, which required us to perform quantitative procedures as part of a Step 1 goodwill impairment analysis to assess whether it was more-likely-than-not that the fair value of the Company was greater than the net book value during the quarter periods in which the events occurred.</w:t>
      </w:r>
    </w:p>
    <w:p>
      <w:pPr>
        <w:spacing w:after="0" w:line="22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a result of the above interim assessment and our annual impairment test, we concluded that there was no goodwill impairment. If assumptions or estimates in the fair value calculations change or if future cash flows vary from what was expected, including those assumptions relating to the duration and severity of the financial impact of the enrollment suspension at Sacramento, California and Colorado or new regulatory sanctions or other actions are imposed on the Company, this may impact the impairment analysis and could reduce the underlying cash flows used to estimate fair values and result in a decline in fair value that may trigger future impairment charges.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goodwill impairments recorded during the years ended June 30, 2022 and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summarizes the changes in goodwill for the fiscal years ended June 30:</w:t>
      </w:r>
    </w:p>
    <w:p>
      <w:pPr>
        <w:spacing w:after="0" w:line="205"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8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124,217</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w:t>
            </w:r>
          </w:p>
        </w:tc>
        <w:tc>
          <w:tcPr>
            <w:tcW w:w="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8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intangible assets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8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Intangible assets with a finite useful life continue to be amortized over their useful lives. The Company recorded amortization expense of $0.7 million for both years ended June 30, 2022 and 2021.</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expected future annual amortization expense for the next 5 years ended June 30,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years ended June 30, 2022 and 2021.</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includes property under various capital leases. These leases have expiration dates ranging from August 2022 to November 2027, varying interest rates, and generally include an option to purchase the equipment at fair value at the end of the underlying lease period. The Company’s capital leases included the following:</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74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capital leases</w:t>
            </w:r>
          </w:p>
        </w:tc>
        <w:tc>
          <w:tcPr>
            <w:tcW w:w="1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Certain of the Company’s property and equipment is leased under operating leases. Total rental expense under operating leases was $4.9 million and $4.5 million for the year ended June 30, 2022 and 2021,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related to (i) capital leases having initial terms of more than one year and (ii) non-cancelable operating leases as of June 30, 2022 were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48"/>
        </w:trPr>
        <w:tc>
          <w:tcPr>
            <w:tcW w:w="50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2"/>
                <w:szCs w:val="12"/>
                <w:color w:val="auto"/>
              </w:rPr>
            </w:pPr>
          </w:p>
        </w:tc>
        <w:tc>
          <w:tcPr>
            <w:tcW w:w="2020" w:type="dxa"/>
            <w:vAlign w:val="bottom"/>
            <w:gridSpan w:val="8"/>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Capital Leases Minimum Lease</w:t>
            </w:r>
          </w:p>
        </w:tc>
        <w:tc>
          <w:tcPr>
            <w:tcW w:w="0" w:type="dxa"/>
            <w:vAlign w:val="bottom"/>
          </w:tcPr>
          <w:p>
            <w:pPr>
              <w:spacing w:after="0"/>
              <w:rPr>
                <w:sz w:val="1"/>
                <w:szCs w:val="1"/>
                <w:color w:val="auto"/>
              </w:rPr>
            </w:pPr>
          </w:p>
        </w:tc>
      </w:tr>
      <w:tr>
        <w:trPr>
          <w:trHeight w:val="173"/>
        </w:trPr>
        <w:tc>
          <w:tcPr>
            <w:tcW w:w="50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0" w:type="dxa"/>
            <w:vAlign w:val="bottom"/>
          </w:tcPr>
          <w:p>
            <w:pPr>
              <w:spacing w:after="0"/>
              <w:rPr>
                <w:sz w:val="15"/>
                <w:szCs w:val="15"/>
                <w:color w:val="auto"/>
              </w:rPr>
            </w:pPr>
          </w:p>
        </w:tc>
        <w:tc>
          <w:tcPr>
            <w:tcW w:w="98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maturities</w:t>
            </w: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components of our long-term debt are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9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50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Senior secured borrowings: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6"/>
          </w:tcPr>
          <w:p>
            <w:pPr>
              <w:jc w:val="right"/>
              <w:ind w:right="411"/>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193"/>
        </w:trPr>
        <w:tc>
          <w:tcPr>
            <w:tcW w:w="508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 Loan Facility</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term loan</w:t>
            </w: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77,367</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0" w:type="dxa"/>
            <w:vAlign w:val="bottom"/>
          </w:tcPr>
          <w:p>
            <w:pPr>
              <w:spacing w:after="0"/>
              <w:rPr>
                <w:sz w:val="1"/>
                <w:szCs w:val="1"/>
                <w:color w:val="auto"/>
              </w:rPr>
            </w:pPr>
          </w:p>
        </w:tc>
      </w:tr>
      <w:tr>
        <w:trPr>
          <w:trHeight w:val="210"/>
        </w:trPr>
        <w:tc>
          <w:tcPr>
            <w:tcW w:w="50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Noncurrent maturities</w:t>
            </w:r>
          </w:p>
        </w:tc>
        <w:tc>
          <w:tcPr>
            <w:tcW w:w="11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68,210</w:t>
            </w:r>
          </w:p>
        </w:tc>
        <w:tc>
          <w:tcPr>
            <w:tcW w:w="1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2016 Credit Agreement</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originally entered into a senior secured borrowing agreement (the “2016 Credit Agreement”) on May 13, 2016, that consisted of a senior secured term loan for $75.0 million and a revolving credit facility for $20.0 million. The 2016 Credit Agreement was subsequently amended (i) on May 2, 2019 to increase the senior secured term loan to $190.0 million and a revolving credit facility for $30.0 million and a delayed draw term loan facility (“DDTL”) for $45.0 million and (ii) on July 27, 2020, to increase the senior secured term loan to $300.0 million, the revolving credit facility to $40.0 million and to terminate the DDTL. The structure of the July 27, 2020 amendment to the 2016 Credit Agreement led to an extinguishment of debt for certain lenders and a modification of debt for other lenders. The total debt structure extinguishment for certain lenders was $57.1 million, and the write off of $1.0 million in debt issuance costs was recorded in loss on extinguishment of debt for the year ended June 30, 2021. The total debt structure that was modified was $250.0 million, while the new debt issued was $50.0 million, which resulted in $9.1 million of capitalized debt issuance costs.</w:t>
      </w:r>
    </w:p>
    <w:p>
      <w:pPr>
        <w:spacing w:after="0" w:line="3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Concurrent with the Company’s entry into the 2021 Credit Agreement (defined below), the Company terminated and repaid in full all outstanding indebtedness under the 2016 Agreement.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Credit Agreement</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March 8, 2021, concurrently with the closing of the IPO, the Company entered into a new credit agreement (the “2021 Credit Agreement”) that replaced the 2016 Credit Agreement. The 2021 Credit Agreement consists of a senior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secured term loan (the “Term Loan Facility”) of $75.0 million principal amount and a revolving credit facility (the “Revolving Credit Facility”) of $100.0 million maximum borrowing capacity. The maturity date of each of the Term Loan Facility and the Revolving Credit Facility is March 8, 2026. Loans under the 2021 Credit Agreement are secured by substantially all of the Company’s assets.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June 30, 2022 and 2021, the interest rate on the Term Loan Facility was 3.83% and 1.84%, respectively. Under the terms of the 2021 Credit Agreement, the Revolving Credit Facility fee accrues at 0.25% of the average daily unused amount and is paid quarterly.</w:t>
      </w:r>
    </w:p>
    <w:p>
      <w:pPr>
        <w:spacing w:after="0" w:line="13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June 30, 2020, the Company borrowed and repaid $25.0 million under the revolving credit facility at an interest rate of 3.94%, to ensure sufficient funds available during the unknown time of the COVID-19 pandemic and for general corporate purposes. The Company repaid all outstanding amounts on the Revolving Credit Facility during the year ended June 30, 2021. As of June 30, 2022, we had no borrowings outstanding under the facility. The remaining capacity under the Revolving Credit Facility as of June 30, 2022 was $100.0 million, subject to (i) any issued amounts under our letters of credit, which as of June 30, 2022 was $2.6 million, and (ii) applicable covenant compliance restrictions and any other conditions precedent to borrowing.</w:t>
      </w:r>
    </w:p>
    <w:p>
      <w:pPr>
        <w:spacing w:after="0" w:line="14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The Company was in compliance with the covenants of the 2021 Credit Agreement as of June 30, 2022 and 2021, respectively.</w:t>
      </w:r>
    </w:p>
    <w:p>
      <w:pPr>
        <w:spacing w:after="0" w:line="160" w:lineRule="exact"/>
        <w:rPr>
          <w:sz w:val="20"/>
          <w:szCs w:val="20"/>
          <w:color w:val="auto"/>
        </w:rPr>
      </w:pPr>
    </w:p>
    <w:p>
      <w:pPr>
        <w:jc w:val="both"/>
        <w:ind w:left="60" w:right="59" w:firstLine="162"/>
        <w:spacing w:after="0" w:line="266" w:lineRule="auto"/>
        <w:rPr>
          <w:sz w:val="20"/>
          <w:szCs w:val="20"/>
          <w:color w:val="auto"/>
        </w:rPr>
      </w:pPr>
      <w:r>
        <w:rPr>
          <w:rFonts w:ascii="Times New Roman" w:cs="Times New Roman" w:eastAsia="Times New Roman" w:hAnsi="Times New Roman"/>
          <w:sz w:val="18"/>
          <w:szCs w:val="18"/>
          <w:color w:val="auto"/>
        </w:rPr>
        <w:t>The deferred financing costs of $2.0 million are amortized over the term of the underlying debt and unamortized amounts have been offset against long-term debt in the consolidated balance sheets. Total amortization of deferred financing costs was $0.4 million and $1.1 million for the year ended June 30, 2022 and 2021, respectively.</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Term Loan</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On June 29, 2015, SH1 entered into a convertible term loan. Monthly principal and interest payments of $0.02 million commenced on September 1, 2015, and the loan bears interest at an annual rate of 6.68%. The remaining principal balance is due upon maturity, which is August 20, 2030. The loan is secured by a deed of trust to Public Trustee, assignment of leases and rents, security agreements, and SH1’s fixture filing.</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Aggregate maturities of our debt as of June 30, 2022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184"/>
        </w:trPr>
        <w:tc>
          <w:tcPr>
            <w:tcW w:w="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9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June 30:</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30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6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w:t>
      </w:r>
    </w:p>
    <w:p>
      <w:pPr>
        <w:spacing w:after="0" w:line="181" w:lineRule="exact"/>
        <w:rPr>
          <w:sz w:val="20"/>
          <w:szCs w:val="20"/>
          <w:color w:val="auto"/>
        </w:rPr>
      </w:pPr>
    </w:p>
    <w:p>
      <w:pPr>
        <w:ind w:left="700" w:right="7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Unadjusted quoted prices in active markets for identical assets or liabilities that the entity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ability to access at the measurement date</w:t>
      </w:r>
    </w:p>
    <w:p>
      <w:pPr>
        <w:spacing w:after="0" w:line="128" w:lineRule="exact"/>
        <w:rPr>
          <w:sz w:val="20"/>
          <w:szCs w:val="20"/>
          <w:color w:val="auto"/>
        </w:rPr>
      </w:pPr>
    </w:p>
    <w:p>
      <w:pPr>
        <w:ind w:left="700" w:right="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Quoted prices in markets that are not active or inputs that are observable, either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substantially the full term of the assets or liabilities</w:t>
      </w:r>
    </w:p>
    <w:p>
      <w:pPr>
        <w:spacing w:after="0" w:line="114" w:lineRule="exact"/>
        <w:rPr>
          <w:sz w:val="20"/>
          <w:szCs w:val="20"/>
          <w:color w:val="auto"/>
        </w:rPr>
      </w:pPr>
    </w:p>
    <w:p>
      <w:pPr>
        <w:ind w:left="700" w:right="7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to the valuation techniques that are significant to the fair value measurements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assets or liabilities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Recurring Measurements</w:t>
      </w:r>
    </w:p>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Effective August 7, 2018, the Company finalized the acquisition of NewCourtland in Pennsylvania. The Company paid a base purchase price of $30.0 million, subject to certain net working capital and closing adjustments plus contingent consideration of up to $20.0 million. On March 8, 2021, we completed our IPO, which satisfied one of the conditions outlined in the Securities Purchase Agreement. Accordingly, $20.0 million of contingent consideration was paid under the terms of the Securities Purchase Agreement. There are no amounts of contingent consideration outstanding after the $20.0 million payment. Changes in fair value resulted in immaterial amounts recorded in other operating (income) expense within the consolidated statement for the fiscal years ended June 30, 2021.</w:t>
      </w:r>
    </w:p>
    <w:p>
      <w:pPr>
        <w:spacing w:after="0" w:line="14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June 30, 2022, the Company’s redeemable noncontrolling interest was recorded at carrying value of $15.3 million.</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in and out of Level 3 during the fiscal years ended June 30, 2022 and 2021. The Company’s policy is to recognize transfers as of the actual date of the event or change in circumstances.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is involved in or subject to legal proceedings related to its business.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spacing w:after="0" w:line="180" w:lineRule="exact"/>
        <w:rPr>
          <w:sz w:val="20"/>
          <w:szCs w:val="20"/>
          <w:color w:val="auto"/>
        </w:rPr>
      </w:pPr>
    </w:p>
    <w:p>
      <w:pPr>
        <w:jc w:val="both"/>
        <w:ind w:left="60" w:right="59" w:firstLine="389"/>
        <w:spacing w:after="0" w:line="254" w:lineRule="auto"/>
        <w:rPr>
          <w:sz w:val="20"/>
          <w:szCs w:val="20"/>
          <w:color w:val="auto"/>
        </w:rPr>
      </w:pPr>
      <w:r>
        <w:rPr>
          <w:rFonts w:ascii="Times New Roman" w:cs="Times New Roman" w:eastAsia="Times New Roman" w:hAnsi="Times New Roman"/>
          <w:sz w:val="18"/>
          <w:szCs w:val="18"/>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We are currently unable to predict the outcome of this matter.</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The Company continues to fully cooperate with the DOJ and produce the requested information and documentation. We are currently unable to predict the outcome of this investigation.</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April 20, 2022, the Board of Directors of the Company received a books and records demand pursuant to Section 220 of the Delaware General Corporation Law, from a purported stockholder of the Company,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20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 summary of our aggregate share-based compensation expense is set forth below. Stock-based compensation expense is included in corporate, general and administrative expenses on our consolidated statements of operations.</w:t>
      </w:r>
    </w:p>
    <w:p>
      <w:pPr>
        <w:spacing w:after="0" w:line="16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32" w:lineRule="exact"/>
        <w:rPr>
          <w:sz w:val="20"/>
          <w:szCs w:val="20"/>
          <w:color w:val="auto"/>
        </w:rPr>
      </w:pPr>
    </w:p>
    <w:p>
      <w:pPr>
        <w:ind w:left="6460"/>
        <w:spacing w:after="0"/>
        <w:tabs>
          <w:tab w:leader="none" w:pos="74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-114935</wp:posOffset>
            </wp:positionV>
            <wp:extent cx="11741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-112395</wp:posOffset>
            </wp:positionV>
            <wp:extent cx="1174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w:t>
            </w:r>
          </w:p>
        </w:tc>
        <w:tc>
          <w:tcPr>
            <w:tcW w:w="1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45,387</w:t>
            </w:r>
          </w:p>
        </w:tc>
      </w:tr>
      <w:tr>
        <w:trPr>
          <w:trHeight w:val="216"/>
        </w:trPr>
        <w:tc>
          <w:tcPr>
            <w:tcW w:w="5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Profits interests units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16"/>
        </w:trPr>
        <w:tc>
          <w:tcPr>
            <w:tcW w:w="58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58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47,051</w:t>
            </w:r>
          </w:p>
        </w:tc>
      </w:tr>
      <w:tr>
        <w:trPr>
          <w:trHeight w:val="20"/>
        </w:trPr>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58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72"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2021 relates to stock-based compensation expense recognized as a result of the Cancellation Agreement.</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maintained the 2016 Equity Incentive Plan pursuant to which various stock-based awards were granted to employees, directors, consultants, and advisers. The total number of shares of the Company’s common stock that was authorized under the 2016 Equity Incentive Plan was 17,836,636, of which a total of 16,994,976 awards were granted. On July 27, 2020, the Company, Ignite Aggregator LP (the “LP”), and the equity holders of the Company entered into a Securities Purchase Agreement, and in conjunction therewith, the Company amended and restated the 2016 Credit Agreement. A portion of the proceeds from the 2016 Credit Agreement were used by the Company to repurchase 16,095,819 shares of its common stock from the certain members of management, the Board of Directors, and members of our equity partner. Additionally, as part of the 2016 Credit Agreement, the Company executed the Cancellation Agreement with each of the 2016 Equity Incentive Plan option holders, pursuant to which the Company’s 16,994,976 common stock options which were granted under the 2016 Equity Incentive Plan, were cancelled. The Cancellation Agreement resulted in the option holders receiving the same amount of cash that they would have received had they exercised their options, participated in the repurchase described above and sold their remaining shares. The 2016 Equity Incentive Plan was cancelled and replaced with the 2020 Equity Incentive Plan, as described below.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LP maintains the 2020 Equity Incentive Plan pursuant to which interests in the LP in the form of Class B Units (profits interests) may be granted to employees, directors, consultants, and advisers. A maximum number of 16,162,177 Class B Units are authorized for grant under the 2020 Equity Incentive Plan. As of June 30, 2022, a total of 13,009,137 profits interests units have been granted under the 2020 Equity Incentive Plan.</w:t>
      </w:r>
    </w:p>
    <w:p>
      <w:pPr>
        <w:spacing w:after="0" w:line="13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These profits interests represented profits interest ownership in the LP tied solely to the accretion, if any, in the value of the LP following the date of issuance of such profits interests. Profits interests participated in any increase of LP value related to their profits interests after the hurdle value had been achieved and the LP profits interests received the agreed-upon return on their invested capital. The hurdle value per unit is $5.49 for both the performance-based and time-based units.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profits interests unit contains the following material terms:</w:t>
      </w:r>
    </w:p>
    <w:p>
      <w:pPr>
        <w:spacing w:after="0" w:line="185" w:lineRule="exact"/>
        <w:rPr>
          <w:sz w:val="20"/>
          <w:szCs w:val="20"/>
          <w:color w:val="auto"/>
        </w:rPr>
      </w:pPr>
    </w:p>
    <w:p>
      <w:pPr>
        <w:jc w:val="both"/>
        <w:ind w:left="1040" w:right="79" w:hanging="315"/>
        <w:spacing w:after="0" w:line="266"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profits interests receive distributions (other than tax distributions) only upon a liquidity event, as defined, that exceed a threshold equivalent to the fair value of the LP, as determined by the Company’s Board of Directors, at the grant date.</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units vest over a period of continuous employment or service (service-vesting units) while the other portion of the units only vest based on the level of aggregate multiple of invested capital and internal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82" w:lineRule="auto"/>
        <w:rPr>
          <w:sz w:val="20"/>
          <w:szCs w:val="20"/>
          <w:color w:val="auto"/>
        </w:rPr>
      </w:pPr>
      <w:r>
        <w:rPr>
          <w:rFonts w:ascii="Times New Roman" w:cs="Times New Roman" w:eastAsia="Times New Roman" w:hAnsi="Times New Roman"/>
          <w:sz w:val="18"/>
          <w:szCs w:val="18"/>
          <w:color w:val="auto"/>
        </w:rPr>
        <w:t>rate of return achieved by Ignite Aggregator LP, one of the limited partners of the LP, upon a change of control of the Company (performance-vesting units).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performance-vesting units are subject to a market condition, which the Company incorporated as part of its determination of the grant date fair value of the units.</w:t>
      </w:r>
    </w:p>
    <w:p>
      <w:pPr>
        <w:spacing w:after="0" w:line="13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used the Monte Carlo option model to determine the fair value of the granted profits interests units at the time of the grant. As these awards were granted prior to our IPO, the stock price was based on the price realized in the equity owner transaction. Expected stock price volatility was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The assumptions under the Monte Carlo model related to the profits interests units, presented on a weighted-average basis, are provided below:</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 - time vesting units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0.16 %</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5.49</w:t>
            </w:r>
          </w:p>
        </w:tc>
      </w:tr>
    </w:tbl>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profits interests activity for the year ended June 30, 2022, was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color w:val="auto"/>
        </w:rPr>
        <w:t>Time-based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21590</wp:posOffset>
            </wp:positionV>
            <wp:extent cx="30086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Outstanding balance,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-119380</wp:posOffset>
            </wp:positionV>
            <wp:extent cx="451739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Outstanding balance, June 30, 2022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color w:val="auto"/>
        </w:rPr>
        <w:t>Performance-based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21590</wp:posOffset>
            </wp:positionV>
            <wp:extent cx="30086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Outstanding balance,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-119380</wp:posOffset>
            </wp:positionV>
            <wp:extent cx="451739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Outstanding balance, June 30, 2022</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15"/>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grant date fair value</w:t>
            </w:r>
          </w:p>
        </w:tc>
      </w:tr>
      <w:tr>
        <w:trPr>
          <w:trHeight w:val="343"/>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6,587,261</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(2,807,201)$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(1,621,988)$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0"/>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2,158,072</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72"/>
        </w:trPr>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15"/>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grant date fair value</w:t>
            </w:r>
          </w:p>
        </w:tc>
      </w:tr>
      <w:tr>
        <w:trPr>
          <w:trHeight w:val="343"/>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6,223,262</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(4,005,397)$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34"/>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0"/>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2,217,865</w:t>
            </w:r>
          </w:p>
        </w:tc>
        <w:tc>
          <w:tcPr>
            <w:tcW w:w="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020" w:space="720"/>
            <w:col w:w="3279"/>
          </w:cols>
          <w:pgMar w:left="1440" w:top="513" w:right="1440" w:bottom="1440" w:gutter="0" w:footer="0" w:header="0"/>
          <w:type w:val="continuous"/>
        </w:sect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total unrecognized compensation cost related to profits interests units outstanding as of June 30, 2022 was $4.8 million, comprised (i) $3.5 million related to time-based unit awards expected to be recognized over a weighted-average period of 1.8 years and (ii) $1.3 million related to performance-based unit awards, which will be recorded when it is probable that the performance-based criteria will be met.</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Omnibus Incentive Plan</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March 2021, the compensation committee of our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w:t>
      </w:r>
    </w:p>
    <w:p>
      <w:pPr>
        <w:sectPr>
          <w:pgSz w:w="11900" w:h="16838" w:orient="portrait"/>
          <w:cols w:equalWidth="0" w:num="1">
            <w:col w:w="9019"/>
          </w:cols>
          <w:pgMar w:left="1440" w:top="513" w:right="1440" w:bottom="1440" w:gutter="0" w:footer="0" w:header="0"/>
          <w:type w:val="continuous"/>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plan to its employees which generally vest (i) on March 4, 2023, the second anniversary of the grant date, (ii) over a three-year period with one-third vesting on each anniversary of the date of grant, or (iii) at other dates. Certain other vesting periods have also been used. The grant date fair value of restricted stock units is based on the closing market price of our common stock on the date of grant. Certain awards under this plan vest upon achieving specific share price performance criteria and are determined to have performance-based vesting conditions.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time-based vesting restricted stock units activity for the year ended June 30, 2022, was as follows:</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 - time based</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48,470</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(18,517)</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464,805</w:t>
            </w:r>
          </w:p>
        </w:tc>
        <w:tc>
          <w:tcPr>
            <w:tcW w:w="4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476,768</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time-based restricted stock units outstanding as of June 30, 2022, was $3.0 million and is expected to be recognized over a weighted-average period of 1.9 years.</w:t>
      </w:r>
    </w:p>
    <w:p>
      <w:pPr>
        <w:spacing w:after="0" w:line="121"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summary of performance-based vesting restricted stock units activity for the year ended June 30, 2022, was as follows: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 - performance based</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performance-based restricted stock units and performance-based stock options granted during the year ended June 30, 2022, was based upon a Monte Carlo option pricing model using the assumptions in the following table:</w:t>
      </w:r>
    </w:p>
    <w:p>
      <w:pPr>
        <w:spacing w:after="0" w:line="237"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1.56 %</w:t>
            </w: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values</w:t>
            </w: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shd w:val="clear" w:color="auto" w:fill="CCEEFF"/>
          </w:tcPr>
          <w:p>
            <w:pPr>
              <w:spacing w:after="0"/>
              <w:rPr>
                <w:sz w:val="21"/>
                <w:szCs w:val="2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spacing w:after="0"/>
              <w:rPr>
                <w:sz w:val="21"/>
                <w:szCs w:val="21"/>
                <w:color w:val="auto"/>
              </w:rPr>
            </w:pPr>
          </w:p>
        </w:tc>
      </w:tr>
    </w:tbl>
    <w:p>
      <w:pPr>
        <w:spacing w:after="0" w:line="198"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restricted stock units outstanding as of June 30, 2022, was $1.1 million and is expected to be recognized over a weighted-average period of 3.3 years.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time-based vesting stock option activity for the year ended June 30, 2022, was as follows:</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 options - time based</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costs related to time-based vesting stock options outstanding as of June 30, 2022, was $0.6 million and is expected to be recognized over a weighted-average period of 2.5 years.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the time-based stock options granted during the year ended June 30, 2022, was based upon the Black-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Scholes option pricing model using the assumptions in the following table:</w:t>
      </w: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r>
      <w:tr>
        <w:trPr>
          <w:trHeight w:val="24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expected life (years) - time vesting units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0.83 %</w:t>
            </w:r>
          </w:p>
        </w:tc>
      </w:tr>
      <w:tr>
        <w:trPr>
          <w:trHeight w:val="24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21"/>
                <w:szCs w:val="21"/>
                <w:color w:val="auto"/>
              </w:rPr>
            </w:pPr>
          </w:p>
        </w:tc>
      </w:tr>
      <w:tr>
        <w:trPr>
          <w:trHeight w:val="24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spacing w:after="0"/>
              <w:rPr>
                <w:sz w:val="21"/>
                <w:szCs w:val="2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performance-based vesting stock option activity for the year ended June 30, 2022, was as follows:</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 options - performance based</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performance-based stock options granted during the year ended June 30, 2022, was based upon a Monte Carlo option pricing model using the assumptions in the table above under the ‘Restricted Stock Units’ heading.</w:t>
      </w:r>
    </w:p>
    <w:p>
      <w:pPr>
        <w:spacing w:after="0" w:line="13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stock options outstanding as of June 30, 2022, was $2.0 million and is expected to be recognized over a weighted-average period of 3.4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0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years ended June 30, 2022 and 2021 was (10.0%) and (27.9%), respectively, which differed from the amount computed by applying the applicable U.S. federal statutory corporate income tax rate of 21% in each period as a result of the following factors: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w w:val="98"/>
              </w:rPr>
              <w:t>Year ended June 30,</w:t>
            </w:r>
          </w:p>
        </w:tc>
      </w:tr>
      <w:tr>
        <w:trPr>
          <w:trHeight w:val="211"/>
        </w:trPr>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6"/>
        </w:trPr>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147"/>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4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Statutory rate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16"/>
        </w:trPr>
        <w:tc>
          <w:tcPr>
            <w:tcW w:w="9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IRC Section 162(m) limitation (a)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12,526</w:t>
            </w:r>
          </w:p>
        </w:tc>
      </w:tr>
      <w:tr>
        <w:trPr>
          <w:trHeight w:val="216"/>
        </w:trPr>
        <w:tc>
          <w:tcPr>
            <w:tcW w:w="920" w:type="dxa"/>
            <w:vAlign w:val="bottom"/>
          </w:tcPr>
          <w:p>
            <w:pPr>
              <w:spacing w:after="0"/>
              <w:rPr>
                <w:sz w:val="18"/>
                <w:szCs w:val="18"/>
                <w:color w:val="auto"/>
              </w:rPr>
            </w:pPr>
          </w:p>
        </w:tc>
        <w:tc>
          <w:tcPr>
            <w:tcW w:w="4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costs (b)</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16"/>
        </w:trPr>
        <w:tc>
          <w:tcPr>
            <w:tcW w:w="9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920" w:type="dxa"/>
            <w:vAlign w:val="bottom"/>
          </w:tcPr>
          <w:p>
            <w:pPr>
              <w:spacing w:after="0"/>
              <w:rPr>
                <w:sz w:val="18"/>
                <w:szCs w:val="18"/>
                <w:color w:val="auto"/>
              </w:rPr>
            </w:pPr>
          </w:p>
        </w:tc>
        <w:tc>
          <w:tcPr>
            <w:tcW w:w="4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Permanent adjustments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9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Prior year true-up and other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920" w:type="dxa"/>
            <w:vAlign w:val="bottom"/>
          </w:tcPr>
          <w:p>
            <w:pPr>
              <w:spacing w:after="0"/>
              <w:rPr>
                <w:sz w:val="18"/>
                <w:szCs w:val="18"/>
                <w:color w:val="auto"/>
              </w:rPr>
            </w:pPr>
          </w:p>
        </w:tc>
        <w:tc>
          <w:tcPr>
            <w:tcW w:w="4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from entities not subject to taxation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20" w:type="dxa"/>
            <w:vAlign w:val="bottom"/>
          </w:tcPr>
          <w:p>
            <w:pPr>
              <w:spacing w:after="0"/>
              <w:rPr>
                <w:sz w:val="18"/>
                <w:szCs w:val="18"/>
                <w:color w:val="auto"/>
              </w:rPr>
            </w:pPr>
          </w:p>
        </w:tc>
        <w:tc>
          <w:tcPr>
            <w:tcW w:w="4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State tax</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09"/>
        </w:trPr>
        <w:tc>
          <w:tcPr>
            <w:tcW w:w="920" w:type="dxa"/>
            <w:vAlign w:val="bottom"/>
          </w:tcPr>
          <w:p>
            <w:pPr>
              <w:spacing w:after="0"/>
              <w:rPr>
                <w:sz w:val="18"/>
                <w:szCs w:val="18"/>
                <w:color w:val="auto"/>
              </w:rPr>
            </w:pPr>
          </w:p>
        </w:tc>
        <w:tc>
          <w:tcPr>
            <w:tcW w:w="43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2" w:lineRule="exact"/>
        <w:rPr>
          <w:sz w:val="20"/>
          <w:szCs w:val="20"/>
          <w:color w:val="auto"/>
        </w:rPr>
      </w:pPr>
    </w:p>
    <w:p>
      <w:pPr>
        <w:ind w:left="720" w:right="519" w:hanging="319"/>
        <w:spacing w:after="0" w:line="233" w:lineRule="auto"/>
        <w:tabs>
          <w:tab w:leader="none" w:pos="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permanent addback for the Section 162(m) limitation, which limits the deduction of compensation for the five highest paid officers to $1,000,000.</w:t>
      </w:r>
    </w:p>
    <w:p>
      <w:pPr>
        <w:ind w:left="720" w:right="419" w:hanging="319"/>
        <w:spacing w:after="0" w:line="233" w:lineRule="auto"/>
        <w:tabs>
          <w:tab w:leader="none" w:pos="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transaction costs incurred as a result of the July 27, 2020 transaction between us, Ignite Aggregator LP (an investment vehicle owned by certain funds advised by Apax Partners LLP) and our then existing equity holders entering into a Securities Purchase Agreement.</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Provision for income taxes consisted of the following for the years ended June 30, 2022 and 2021:</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ind w:right="331"/>
              <w:spacing w:after="0" w:line="183"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2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significant components of deferred tax assets and liabilities were as follows for the years ended June 30, 2022 and 2021:</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8"/>
              </w:rPr>
              <w:t>Year ended June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5"/>
          </w:tcPr>
          <w:p>
            <w:pPr>
              <w:jc w:val="right"/>
              <w:ind w:right="35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4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 costs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uncollectible accounts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vacation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bonuses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investment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8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Carryforwards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had state net operating loss carryforwards of $73.1 million and $30.9 million at June 30, 2022 and 2021, respectively, which will begin to expire in 2037 if not utilized. Included in this is a city net operating loss which will begin to expire in 2025 if not utilized. Additionally, the Company federal net operating loss carryforwards of $14.7 million and $0 as of June 30, 2022 and 2021, respectively.</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20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provided $4.1 million and $1.9 million at June 30, 2022 and June 30, 2021, respectively, as a valuation allowance against its deferred tax assets for state net operating losses and state 163(j) interest expense limitations where there is not sufficient positive evidence to substantiate that these deferred tax assets will be realized at a more-likely-than-not level of assurance.</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had no uncertain tax positions at June 30, 2022 and 2021.</w:t>
      </w:r>
    </w:p>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as a consolidated group, excluding SH1 and InnovAge Sacramento, in the U.S. federal jurisdiction and various states and is subject to examination by taxing authorities in all of those jurisdictions. From time to time, the Company’s tax returns are reviewed or audited by U.S. federal and various U.S. state-taxing authorities.</w:t>
      </w:r>
    </w:p>
    <w:p>
      <w:pPr>
        <w:spacing w:after="0" w:line="13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believes that adjustments, if any, resulting from these reviews or audits would not be material, individually or in the aggregate, to the Company’s consolidated financial position, results of operations, or liquidity. The Company is subject to income tax examinations by U.S. federal and state jurisdictions for the period ended June 30, 2019</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and forward. The Company is subject to income tax examinations by California, Colorado and New Mexico state jurisdictions for the period ended June 30, 2018 and forward.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Related Parties</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PWD VIE</w:t>
      </w:r>
      <w:r>
        <w:rPr>
          <w:rFonts w:ascii="Times New Roman" w:cs="Times New Roman" w:eastAsia="Times New Roman" w:hAnsi="Times New Roman"/>
          <w:sz w:val="18"/>
          <w:szCs w:val="18"/>
          <w:color w:val="auto"/>
        </w:rPr>
        <w:t>. Pursuant to the PWD Amended and Restated Agreement of Limited Partnership, Continental Community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Housing, the general partner of PWD and our wholly-owned subsidiary (the “General Partner”), helped fund operating deficits and shortfalls of PWD in the form of a loan (the “PWD Loan”). At each of June 30, 2022 and 2021, $0.7 million was recorded in Deposits and other. The PWD Loan does not accrue interest. Additionally, the General Partner is paid an administration fee of $35,000 per year.</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applies ASC Topic 280, “Segment Reporting,”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spacing w:after="0" w:line="15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June 30, 2022, the Company served approximately 6,650 PACE participants, making it the largest PACE provider in the U.S. based upon participants served, and operated 18 PACE centers across Colorado, California, New Mexico, Pennsylvania and Virginia. PACE, an alternative to nursing homes, is a managed care, capitated program, which serves the frail elderly in a community-based service model. Participants receive all medical services through a comprehensive, consolidated model of care. Capitation payments are received from Medicare parts C and D; Medicaid; VA, and private pay sources. The Company is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the CMS share part of the risk for providing prescription medication to the Company’s participants.</w:t>
      </w:r>
    </w:p>
    <w:p>
      <w:pPr>
        <w:spacing w:after="0" w:line="16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U.S. and all revenue was earned in the U.S.</w:t>
      </w:r>
    </w:p>
    <w:p>
      <w:pPr>
        <w:spacing w:after="0" w:line="13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reportable segment for the twelve months ended:</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PACE</w:t>
            </w:r>
          </w:p>
        </w:tc>
        <w:tc>
          <w:tcPr>
            <w:tcW w:w="16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PACE</w:t>
            </w:r>
          </w:p>
        </w:tc>
        <w:tc>
          <w:tcPr>
            <w:tcW w:w="160" w:type="dxa"/>
            <w:vAlign w:val="bottom"/>
          </w:tcPr>
          <w:p>
            <w:pPr>
              <w:spacing w:after="0"/>
              <w:rPr>
                <w:sz w:val="12"/>
                <w:szCs w:val="12"/>
                <w:color w:val="auto"/>
              </w:rPr>
            </w:pPr>
          </w:p>
        </w:tc>
        <w:tc>
          <w:tcPr>
            <w:tcW w:w="8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6"/>
                <w:szCs w:val="16"/>
                <w:b w:val="1"/>
                <w:bCs w:val="1"/>
                <w:color w:val="auto"/>
                <w:vertAlign w:val="superscript"/>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178,904</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180,222</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151,412</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135,451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174,887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line="210" w:lineRule="exact"/>
              <w:rPr>
                <w:sz w:val="20"/>
                <w:szCs w:val="20"/>
                <w:color w:val="auto"/>
              </w:rPr>
            </w:pPr>
            <w:r>
              <w:rPr>
                <w:rFonts w:ascii="Times New Roman" w:cs="Times New Roman" w:eastAsia="Times New Roman" w:hAnsi="Times New Roman"/>
                <w:sz w:val="17"/>
                <w:szCs w:val="17"/>
                <w:color w:val="auto"/>
              </w:rPr>
              <w:t>Overhead costs</w:t>
            </w:r>
            <w:r>
              <w:rPr>
                <w:rFonts w:ascii="Times New Roman" w:cs="Times New Roman" w:eastAsia="Times New Roman" w:hAnsi="Times New Roman"/>
                <w:sz w:val="24"/>
                <w:szCs w:val="24"/>
                <w:color w:val="auto"/>
                <w:vertAlign w:val="superscript"/>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(34,969)</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13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consists of the Sales and marketing and Corporate, general and administrative financial statement line items.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 As of June 30, 2022, there were 1,035,066 performance-based awards excluded from the calculation of diluted EPS. There were no performance-based awards excluded from diluted EPS at June 30, 2021.</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i w:val="1"/>
                <w:iCs w:val="1"/>
                <w:color w:val="auto"/>
              </w:rPr>
              <w:t>in thousands, except share values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InnovAge Holding Corp.</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135,519,970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123,618,702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135,519,970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123,618,702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3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20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September 13, 2022, the date on which the condensed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1099" w:hanging="637"/>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June 30, 2022.</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for the Company. In order to evaluate the effectiveness of internal control over financial reporting, management has conducted an assessment, including testing, using the criteria set forth by the Committee of Sponsoring Organizations (COSO) of the Treadway Commission in </w:t>
      </w:r>
      <w:r>
        <w:rPr>
          <w:rFonts w:ascii="Times New Roman" w:cs="Times New Roman" w:eastAsia="Times New Roman" w:hAnsi="Times New Roman"/>
          <w:sz w:val="18"/>
          <w:szCs w:val="18"/>
          <w:i w:val="1"/>
          <w:iCs w:val="1"/>
          <w:color w:val="auto"/>
        </w:rPr>
        <w:t>Internal Control — Integrated Framework (2013 Framework)</w:t>
      </w:r>
      <w:r>
        <w:rPr>
          <w:rFonts w:ascii="Times New Roman" w:cs="Times New Roman" w:eastAsia="Times New Roman" w:hAnsi="Times New Roman"/>
          <w:sz w:val="18"/>
          <w:szCs w:val="18"/>
          <w:color w:val="auto"/>
        </w:rPr>
        <w:t>. The Company’s internal control over financial reporting, as defined in Rule 13a-15(f) under the Exchange Act, is a process designed to provide reasonable assurance regarding the reliability of our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color w:val="auto"/>
        </w:rPr>
        <w:t xml:space="preserve">Based on our assessment under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COSO, management has concluded that the Company maintained effective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of June 30, 2022.</w:t>
      </w:r>
    </w:p>
    <w:p>
      <w:pPr>
        <w:spacing w:after="0" w:line="13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This Form 10-K does not include an attestation report on internal controls over financial reporting of the Company's registered public accounting. Additionally, our auditors will not be required to formally opine on the effectiveness of our internal control over financial reporting pursuant to Section 404 until we are no longer an “emerging growth company” as defined in the JOBS Act.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to our Internal Control over Financial Reporting</w:t>
      </w:r>
    </w:p>
    <w:p>
      <w:pPr>
        <w:spacing w:after="0" w:line="20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quarter ended June 30, 2022 that has materially affected, or are reasonably likely to materially affect, our internal control over financial reporting.</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the Effectiveness of Internal Control</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regarding the code of ethics and business conduct set forth below, will be set forth in the Proxy Statement relating to our upcoming Annual Meeting of Shareholders (the “Proxy Statement”), which is expected to be filed with the Securities and Exchange Commission (the “SEC”) within 120 days of the fiscal year ended June 30, 2022, and is incorporated in this Annual Report by reference.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Ethics that applies to our directors, executive officers and employees, including our Chief Executive Officer, Chief Financial Officer and officers responsible for financial reporting. A current copy of the code is publicly available under “Governance” on the Investor Relations section of our website, www.investor.innovage.com. Any substantive amendments to or waivers from the Code of Ethics (to the extent applicable to our Chief Executive Officer, Chief Financial Officer or officers responsible for financial reporting) will be disclosed on this page of the Company’s website.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2022, and is incorporated in this Annual Report by reference.</w:t>
      </w:r>
    </w:p>
    <w:p>
      <w:pPr>
        <w:spacing w:after="0" w:line="293" w:lineRule="exact"/>
        <w:rPr>
          <w:sz w:val="20"/>
          <w:szCs w:val="20"/>
          <w:color w:val="auto"/>
        </w:rPr>
      </w:pPr>
    </w:p>
    <w:p>
      <w:pPr>
        <w:ind w:left="800" w:right="699" w:hanging="752"/>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2022, and is incorporated in this Annual Report by reference.</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2022, and is incorporated in this Annual Report by reference.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which is expected to be filed with the SEC no later than 120 days after the end of our fiscal year ended June 30, 2022, and is incorporated in this Annual Report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(a) (1)</w:t>
      </w:r>
      <w:r>
        <w:rPr>
          <w:sz w:val="20"/>
          <w:szCs w:val="20"/>
          <w:color w:val="auto"/>
        </w:rPr>
        <w:tab/>
      </w:r>
      <w:r>
        <w:rPr>
          <w:rFonts w:ascii="Times New Roman" w:cs="Times New Roman" w:eastAsia="Times New Roman" w:hAnsi="Times New Roman"/>
          <w:sz w:val="17"/>
          <w:szCs w:val="17"/>
          <w:color w:val="auto"/>
        </w:rPr>
        <w:t>FINANCIAL STATEMENTS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financial statements required under this Item begin on page 79 of this Annual Report on Form 10-K.</w:t>
      </w:r>
    </w:p>
    <w:p>
      <w:pPr>
        <w:spacing w:after="0" w:line="225"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(a) (2)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 required information is either inapplicable or presented within the consolidated financial statements or related notes.</w:t>
      </w:r>
    </w:p>
    <w:p>
      <w:pPr>
        <w:spacing w:after="0" w:line="162"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(a) (3)</w:t>
        <w:tab/>
        <w:t>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Exhibits not filed herewith are incorporated by reference to exhibits previously filed with the SEC, as reflected in the table below.</w:t>
      </w:r>
    </w:p>
    <w:p>
      <w:pPr>
        <w:spacing w:after="0" w:line="12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7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5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No.</w:t>
            </w:r>
          </w:p>
        </w:tc>
        <w:tc>
          <w:tcPr>
            <w:tcW w:w="6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372"/>
        </w:trPr>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Second Amended and Restated Certificate of Incorporation of InnovAge Holding Corp., filed March 3,</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2021 (incorporated by reference to Exhibit 3.1 to the Company’s Current Report on Form 8-K filed with</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8"/>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the SEC on March 8, 2021).</w:t>
              </w:r>
            </w:hyperlink>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7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Amended and Restated Bylaws of InnovAge Holding Corp., effective March 3, 2021 (incorporated by</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reference to Exhibit 3.2 to the Company’s Current Report on Form 8-K filed with the SEC on March 8,</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39">
              <w:r>
                <w:rPr>
                  <w:rFonts w:ascii="Times New Roman" w:cs="Times New Roman" w:eastAsia="Times New Roman" w:hAnsi="Times New Roman"/>
                  <w:sz w:val="18"/>
                  <w:szCs w:val="18"/>
                  <w:color w:val="0000EE"/>
                  <w:w w:val="94"/>
                </w:rPr>
                <w:t>2021).</w:t>
              </w:r>
            </w:hyperlink>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37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Description of Securities (incorporated by reference to Exhibit 4.1 to the Company’s Annual Report on</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8"/>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10-K filed with the SEC on September 22, 2021).</w:t>
              </w:r>
            </w:hyperlink>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7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Registration Rights Agreement, dated as of March 8, 2021, by and among the Company and the other</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signatories party thereto (incorporated by reference to Exhibit 4.1 to the Company’s Current Report on</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8-K filed with the SEC on March 8, 2021).</w:t>
              </w:r>
            </w:hyperlink>
          </w:p>
        </w:tc>
      </w:tr>
      <w:tr>
        <w:trPr>
          <w:trHeight w:val="20"/>
        </w:trPr>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r>
      <w:tr>
        <w:trPr>
          <w:trHeight w:val="371"/>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4"/>
                <w:szCs w:val="24"/>
                <w:color w:val="auto"/>
              </w:rPr>
            </w:pPr>
          </w:p>
        </w:tc>
        <w:tc>
          <w:tcPr>
            <w:tcW w:w="7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Director Nomination Agreement, dated as of March 8, 2021, by and among the Company and the other</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signatories party thereto (incorporated by reference to Exhibit 10.1 to the Company’s Current Report on</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8"/>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8-K filed with the SEC on March 8, 2021).</w:t>
              </w:r>
            </w:hyperlink>
          </w:p>
        </w:tc>
      </w:tr>
      <w:tr>
        <w:trPr>
          <w:trHeight w:val="20"/>
        </w:trPr>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r>
      <w:tr>
        <w:trPr>
          <w:trHeight w:val="371"/>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24"/>
                <w:szCs w:val="24"/>
                <w:color w:val="auto"/>
              </w:rPr>
            </w:pPr>
          </w:p>
        </w:tc>
        <w:tc>
          <w:tcPr>
            <w:tcW w:w="7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Credit Agreement, dated as of March 8, 2021, by and among Total Community Options, Inc., the</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Borrower,  JPMorgan  Chase  Bank,  N.A.,  as  administrative  agent,  and  the  other  parties  thereto</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(incorporated by reference to Exhibit 10.1 to the Company’s Current Report on Form 8-K filed with the</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SEC on March 12, 2021).</w:t>
              </w:r>
            </w:hyperlink>
          </w:p>
        </w:tc>
        <w:tc>
          <w:tcPr>
            <w:tcW w:w="5800" w:type="dxa"/>
            <w:vAlign w:val="bottom"/>
            <w:gridSpan w:val="5"/>
          </w:tcPr>
          <w:p>
            <w:pPr>
              <w:spacing w:after="0"/>
              <w:rPr>
                <w:sz w:val="17"/>
                <w:szCs w:val="17"/>
                <w:color w:val="auto"/>
              </w:rPr>
            </w:pPr>
          </w:p>
        </w:tc>
      </w:tr>
      <w:tr>
        <w:trPr>
          <w:trHeight w:val="371"/>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tcPr>
          <w:p>
            <w:pPr>
              <w:spacing w:after="0"/>
              <w:rPr>
                <w:sz w:val="24"/>
                <w:szCs w:val="24"/>
                <w:color w:val="auto"/>
              </w:rPr>
            </w:pPr>
          </w:p>
        </w:tc>
        <w:tc>
          <w:tcPr>
            <w:tcW w:w="7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Director and Officer Indemnification Agreement between the Company and each of its directors</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and executive officers (incorporated by reference to Exhibit 10.2 to the Company’s Registration Statement</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8"/>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on Form S-1 filed with the SEC on February 8, 2021).</w:t>
              </w:r>
            </w:hyperlink>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Employment Agreement, effective as of December 1, 2021, by and between InnovAge Holding Corp. and</w:t>
              </w:r>
            </w:hyperlink>
          </w:p>
        </w:tc>
      </w:tr>
      <w:tr>
        <w:trPr>
          <w:trHeight w:val="196"/>
        </w:trPr>
        <w:tc>
          <w:tcPr>
            <w:tcW w:w="1180" w:type="dxa"/>
            <w:vAlign w:val="bottom"/>
          </w:tcPr>
          <w:p>
            <w:pPr>
              <w:spacing w:after="0"/>
              <w:rPr>
                <w:sz w:val="17"/>
                <w:szCs w:val="17"/>
                <w:color w:val="auto"/>
              </w:rPr>
            </w:pPr>
          </w:p>
        </w:tc>
        <w:tc>
          <w:tcPr>
            <w:tcW w:w="76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Patrick Blair (incorporated by reference to Exhibit 10.1 to the Company’s Current Report on Form 8-K</w:t>
              </w:r>
            </w:hyperlink>
          </w:p>
        </w:tc>
      </w:tr>
      <w:tr>
        <w:trPr>
          <w:trHeight w:val="196"/>
        </w:trPr>
        <w:tc>
          <w:tcPr>
            <w:tcW w:w="1180" w:type="dxa"/>
            <w:vAlign w:val="bottom"/>
          </w:tcPr>
          <w:p>
            <w:pPr>
              <w:spacing w:after="0"/>
              <w:rPr>
                <w:sz w:val="17"/>
                <w:szCs w:val="17"/>
                <w:color w:val="auto"/>
              </w:rPr>
            </w:pPr>
          </w:p>
        </w:tc>
        <w:tc>
          <w:tcPr>
            <w:tcW w:w="7660" w:type="dxa"/>
            <w:vAlign w:val="bottom"/>
            <w:gridSpan w:val="17"/>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filed with the SEC on November 12, 2021).</w:t>
              </w:r>
            </w:hyperlink>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Employment Agreement, dated as of April 13, 2017, by and between Barbara Gutierrez and Total</w:t>
              </w:r>
            </w:hyperlink>
          </w:p>
        </w:tc>
      </w:tr>
      <w:tr>
        <w:trPr>
          <w:trHeight w:val="196"/>
        </w:trPr>
        <w:tc>
          <w:tcPr>
            <w:tcW w:w="1180" w:type="dxa"/>
            <w:vAlign w:val="bottom"/>
          </w:tcPr>
          <w:p>
            <w:pPr>
              <w:spacing w:after="0"/>
              <w:rPr>
                <w:sz w:val="17"/>
                <w:szCs w:val="17"/>
                <w:color w:val="auto"/>
              </w:rPr>
            </w:pPr>
          </w:p>
        </w:tc>
        <w:tc>
          <w:tcPr>
            <w:tcW w:w="76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Community Options, Inc. (incorporated by reference to Exhibit 10.7 to the Company’s Registration</w:t>
              </w:r>
            </w:hyperlink>
          </w:p>
        </w:tc>
      </w:tr>
      <w:tr>
        <w:trPr>
          <w:trHeight w:val="196"/>
        </w:trPr>
        <w:tc>
          <w:tcPr>
            <w:tcW w:w="1180" w:type="dxa"/>
            <w:vAlign w:val="bottom"/>
          </w:tcPr>
          <w:p>
            <w:pPr>
              <w:spacing w:after="0"/>
              <w:rPr>
                <w:sz w:val="17"/>
                <w:szCs w:val="17"/>
                <w:color w:val="auto"/>
              </w:rPr>
            </w:pPr>
          </w:p>
        </w:tc>
        <w:tc>
          <w:tcPr>
            <w:tcW w:w="7660" w:type="dxa"/>
            <w:vAlign w:val="bottom"/>
            <w:gridSpan w:val="17"/>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Statement on Form S-1 filed with the SEC on February 8, 2021).</w:t>
              </w:r>
            </w:hyperlink>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6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Employment Agreement, dated as of November 30, 2021, by and between Nicole D’Amato and Total</w:t>
            </w:r>
          </w:p>
        </w:tc>
      </w:tr>
      <w:tr>
        <w:trPr>
          <w:trHeight w:val="196"/>
        </w:trPr>
        <w:tc>
          <w:tcPr>
            <w:tcW w:w="1180" w:type="dxa"/>
            <w:vAlign w:val="bottom"/>
          </w:tcPr>
          <w:p>
            <w:pPr>
              <w:spacing w:after="0"/>
              <w:rPr>
                <w:sz w:val="17"/>
                <w:szCs w:val="17"/>
                <w:color w:val="auto"/>
              </w:rPr>
            </w:pPr>
          </w:p>
        </w:tc>
        <w:tc>
          <w:tcPr>
            <w:tcW w:w="7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Community Options, Inc.</w:t>
            </w: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6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Employment Agreement, dated as of February 19, 2018, by and between Maria Lozzano and InnovAge</w:t>
            </w:r>
          </w:p>
        </w:tc>
      </w:tr>
      <w:tr>
        <w:trPr>
          <w:trHeight w:val="196"/>
        </w:trPr>
        <w:tc>
          <w:tcPr>
            <w:tcW w:w="1180" w:type="dxa"/>
            <w:vAlign w:val="bottom"/>
          </w:tcPr>
          <w:p>
            <w:pPr>
              <w:spacing w:after="0"/>
              <w:rPr>
                <w:sz w:val="17"/>
                <w:szCs w:val="17"/>
                <w:color w:val="auto"/>
              </w:rPr>
            </w:pPr>
          </w:p>
        </w:tc>
        <w:tc>
          <w:tcPr>
            <w:tcW w:w="7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Holding Corp.</w:t>
            </w:r>
          </w:p>
        </w:tc>
      </w:tr>
      <w:tr>
        <w:trPr>
          <w:trHeight w:val="20"/>
        </w:trPr>
        <w:tc>
          <w:tcPr>
            <w:tcW w:w="1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6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First Amendment to Employment Agreement, dated as of May 22, 2020, by and between Maria Lozzano</w:t>
            </w:r>
          </w:p>
        </w:tc>
      </w:tr>
      <w:tr>
        <w:trPr>
          <w:trHeight w:val="196"/>
        </w:trPr>
        <w:tc>
          <w:tcPr>
            <w:tcW w:w="1180" w:type="dxa"/>
            <w:vAlign w:val="bottom"/>
          </w:tcPr>
          <w:p>
            <w:pPr>
              <w:spacing w:after="0"/>
              <w:rPr>
                <w:sz w:val="17"/>
                <w:szCs w:val="17"/>
                <w:color w:val="auto"/>
              </w:rPr>
            </w:pPr>
          </w:p>
        </w:tc>
        <w:tc>
          <w:tcPr>
            <w:tcW w:w="25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and Total Community Options, Inc.</w:t>
            </w:r>
          </w:p>
        </w:tc>
        <w:tc>
          <w:tcPr>
            <w:tcW w:w="5100" w:type="dxa"/>
            <w:vAlign w:val="bottom"/>
            <w:gridSpan w:val="12"/>
          </w:tcPr>
          <w:p>
            <w:pPr>
              <w:spacing w:after="0"/>
              <w:rPr>
                <w:sz w:val="17"/>
                <w:szCs w:val="17"/>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6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Employment Agreement, dated as of August 15,  2022, by and between Richard Feifer and Total</w:t>
            </w:r>
          </w:p>
        </w:tc>
      </w:tr>
      <w:tr>
        <w:trPr>
          <w:trHeight w:val="196"/>
        </w:trPr>
        <w:tc>
          <w:tcPr>
            <w:tcW w:w="1180" w:type="dxa"/>
            <w:vAlign w:val="bottom"/>
          </w:tcPr>
          <w:p>
            <w:pPr>
              <w:spacing w:after="0"/>
              <w:rPr>
                <w:sz w:val="17"/>
                <w:szCs w:val="17"/>
                <w:color w:val="auto"/>
              </w:rPr>
            </w:pPr>
          </w:p>
        </w:tc>
        <w:tc>
          <w:tcPr>
            <w:tcW w:w="7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Community Options, Inc.</w:t>
            </w:r>
          </w:p>
        </w:tc>
      </w:tr>
      <w:tr>
        <w:trPr>
          <w:trHeight w:val="20"/>
        </w:trPr>
        <w:tc>
          <w:tcPr>
            <w:tcW w:w="118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Separation Letter, dated as of January 1, 2022, by and between InnovAge Holding Corp. and Maureen</w:t>
              </w:r>
            </w:hyperlink>
          </w:p>
        </w:tc>
      </w:tr>
      <w:tr>
        <w:trPr>
          <w:trHeight w:val="196"/>
        </w:trPr>
        <w:tc>
          <w:tcPr>
            <w:tcW w:w="1180" w:type="dxa"/>
            <w:vAlign w:val="bottom"/>
          </w:tcPr>
          <w:p>
            <w:pPr>
              <w:spacing w:after="0"/>
              <w:rPr>
                <w:sz w:val="17"/>
                <w:szCs w:val="17"/>
                <w:color w:val="auto"/>
              </w:rPr>
            </w:pPr>
          </w:p>
        </w:tc>
        <w:tc>
          <w:tcPr>
            <w:tcW w:w="76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Hewitt (incorporated by reference to Exhibit 10.1 to the Company’s Current Report on Form 8-K file with</w:t>
              </w:r>
            </w:hyperlink>
          </w:p>
        </w:tc>
      </w:tr>
      <w:tr>
        <w:trPr>
          <w:trHeight w:val="196"/>
        </w:trPr>
        <w:tc>
          <w:tcPr>
            <w:tcW w:w="118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the SEC on January 3, 2022).</w:t>
              </w:r>
            </w:hyperlink>
          </w:p>
        </w:tc>
        <w:tc>
          <w:tcPr>
            <w:tcW w:w="5540" w:type="dxa"/>
            <w:vAlign w:val="bottom"/>
            <w:gridSpan w:val="14"/>
          </w:tcPr>
          <w:p>
            <w:pPr>
              <w:spacing w:after="0"/>
              <w:rPr>
                <w:sz w:val="17"/>
                <w:szCs w:val="17"/>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InnovAge Holding Corp. 2021 Omnibus Incentive Plan (incorporated by reference to Exhibit 10.1 to the</w:t>
              </w:r>
            </w:hyperlink>
          </w:p>
        </w:tc>
      </w:tr>
      <w:tr>
        <w:trPr>
          <w:trHeight w:val="196"/>
        </w:trPr>
        <w:tc>
          <w:tcPr>
            <w:tcW w:w="1180" w:type="dxa"/>
            <w:vAlign w:val="bottom"/>
          </w:tcPr>
          <w:p>
            <w:pPr>
              <w:spacing w:after="0"/>
              <w:rPr>
                <w:sz w:val="17"/>
                <w:szCs w:val="17"/>
                <w:color w:val="auto"/>
              </w:rPr>
            </w:pPr>
          </w:p>
        </w:tc>
        <w:tc>
          <w:tcPr>
            <w:tcW w:w="6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Company’s Registration Statement on Form S-8 filed with the SEC on March 5, 2021).</w:t>
              </w:r>
            </w:hyperlink>
          </w:p>
        </w:tc>
        <w:tc>
          <w:tcPr>
            <w:tcW w:w="1380" w:type="dxa"/>
            <w:vAlign w:val="bottom"/>
            <w:gridSpan w:val="6"/>
          </w:tcPr>
          <w:p>
            <w:pPr>
              <w:spacing w:after="0"/>
              <w:rPr>
                <w:sz w:val="17"/>
                <w:szCs w:val="17"/>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TCO Group Holdings, Inc. 2016 Equity Incentive Plan (incorporated by reference to Exhibit 10.4 to the</w:t>
              </w:r>
            </w:hyperlink>
          </w:p>
        </w:tc>
      </w:tr>
      <w:tr>
        <w:trPr>
          <w:trHeight w:val="196"/>
        </w:trPr>
        <w:tc>
          <w:tcPr>
            <w:tcW w:w="1180" w:type="dxa"/>
            <w:vAlign w:val="bottom"/>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Company’s Registration Statement on Form S-1 filed with the SEC on February 8, 2021).</w:t>
              </w:r>
            </w:hyperlink>
          </w:p>
        </w:tc>
        <w:tc>
          <w:tcPr>
            <w:tcW w:w="1200" w:type="dxa"/>
            <w:vAlign w:val="bottom"/>
            <w:gridSpan w:val="5"/>
          </w:tcPr>
          <w:p>
            <w:pPr>
              <w:spacing w:after="0"/>
              <w:rPr>
                <w:sz w:val="17"/>
                <w:szCs w:val="17"/>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Stock Option Grant Notice and Agreement (incorporated by reference to Exhibit 10.9 to the</w:t>
              </w:r>
            </w:hyperlink>
          </w:p>
        </w:tc>
      </w:tr>
      <w:tr>
        <w:trPr>
          <w:trHeight w:val="196"/>
        </w:trPr>
        <w:tc>
          <w:tcPr>
            <w:tcW w:w="1180" w:type="dxa"/>
            <w:vAlign w:val="bottom"/>
          </w:tcPr>
          <w:p>
            <w:pPr>
              <w:spacing w:after="0"/>
              <w:rPr>
                <w:sz w:val="17"/>
                <w:szCs w:val="17"/>
                <w:color w:val="auto"/>
              </w:rPr>
            </w:pPr>
          </w:p>
        </w:tc>
        <w:tc>
          <w:tcPr>
            <w:tcW w:w="7660" w:type="dxa"/>
            <w:vAlign w:val="bottom"/>
            <w:gridSpan w:val="17"/>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Company’s Registration Statement on Form S-1/A filed with the SEC on February 24, 2021).</w:t>
              </w:r>
            </w:hyperlink>
          </w:p>
        </w:tc>
      </w:tr>
      <w:tr>
        <w:trPr>
          <w:trHeight w:val="20"/>
        </w:trPr>
        <w:tc>
          <w:tcPr>
            <w:tcW w:w="118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Restricted Stock Unit Grant Notice and Agreement (incorporated by reference to Exhibit 10.10 to</w:t>
              </w:r>
            </w:hyperlink>
          </w:p>
        </w:tc>
      </w:tr>
      <w:tr>
        <w:trPr>
          <w:trHeight w:val="196"/>
        </w:trPr>
        <w:tc>
          <w:tcPr>
            <w:tcW w:w="1180" w:type="dxa"/>
            <w:vAlign w:val="bottom"/>
          </w:tcPr>
          <w:p>
            <w:pPr>
              <w:spacing w:after="0"/>
              <w:rPr>
                <w:sz w:val="17"/>
                <w:szCs w:val="17"/>
                <w:color w:val="auto"/>
              </w:rPr>
            </w:pPr>
          </w:p>
        </w:tc>
        <w:tc>
          <w:tcPr>
            <w:tcW w:w="70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the Company’s Registration Statement on Form S-1/A filed with the SEC on February 24, 2021).</w:t>
              </w:r>
            </w:hyperlink>
          </w:p>
        </w:tc>
        <w:tc>
          <w:tcPr>
            <w:tcW w:w="660" w:type="dxa"/>
            <w:vAlign w:val="bottom"/>
            <w:gridSpan w:val="3"/>
          </w:tcPr>
          <w:p>
            <w:pPr>
              <w:spacing w:after="0"/>
              <w:rPr>
                <w:sz w:val="17"/>
                <w:szCs w:val="17"/>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Subsidiaries of InnovAge Holding Corp.</w:t>
            </w: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5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w:t>
            </w:r>
          </w:p>
        </w:tc>
        <w:tc>
          <w:tcPr>
            <w:tcW w:w="380" w:type="dxa"/>
            <w:vAlign w:val="bottom"/>
            <w:tcBorders>
              <w:top w:val="single" w:sz="8" w:color="0000EE"/>
            </w:tcBorders>
            <w:gridSpan w:val="2"/>
          </w:tcPr>
          <w:p>
            <w:pPr>
              <w:spacing w:after="0"/>
              <w:rPr>
                <w:sz w:val="24"/>
                <w:szCs w:val="24"/>
                <w:color w:val="auto"/>
              </w:rPr>
            </w:pPr>
          </w:p>
        </w:tc>
        <w:tc>
          <w:tcPr>
            <w:tcW w:w="4740" w:type="dxa"/>
            <w:vAlign w:val="bottom"/>
            <w:gridSpan w:val="11"/>
          </w:tcPr>
          <w:p>
            <w:pPr>
              <w:spacing w:after="0"/>
              <w:rPr>
                <w:sz w:val="24"/>
                <w:szCs w:val="24"/>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3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Powers of Attorney (included on signature page)</w:t>
            </w:r>
          </w:p>
        </w:tc>
        <w:tc>
          <w:tcPr>
            <w:tcW w:w="4140" w:type="dxa"/>
            <w:vAlign w:val="bottom"/>
            <w:gridSpan w:val="8"/>
          </w:tcPr>
          <w:p>
            <w:pPr>
              <w:spacing w:after="0"/>
              <w:rPr>
                <w:sz w:val="24"/>
                <w:szCs w:val="24"/>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460" w:type="dxa"/>
            <w:vAlign w:val="bottom"/>
          </w:tcPr>
          <w:p>
            <w:pPr>
              <w:spacing w:after="0"/>
              <w:rPr>
                <w:sz w:val="24"/>
                <w:szCs w:val="24"/>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3420" w:type="dxa"/>
            <w:vAlign w:val="bottom"/>
            <w:gridSpan w:val="8"/>
            <w:shd w:val="clear" w:color="auto" w:fill="0000EE"/>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6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18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240" w:type="dxa"/>
            <w:vAlign w:val="bottom"/>
            <w:gridSpan w:val="9"/>
          </w:tcPr>
          <w:p>
            <w:pPr>
              <w:spacing w:after="0"/>
              <w:rPr>
                <w:sz w:val="17"/>
                <w:szCs w:val="17"/>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6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w:t>
            </w:r>
          </w:p>
        </w:tc>
      </w:tr>
      <w:tr>
        <w:trPr>
          <w:trHeight w:val="196"/>
        </w:trPr>
        <w:tc>
          <w:tcPr>
            <w:tcW w:w="118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240" w:type="dxa"/>
            <w:vAlign w:val="bottom"/>
            <w:gridSpan w:val="9"/>
          </w:tcPr>
          <w:p>
            <w:pPr>
              <w:spacing w:after="0"/>
              <w:rPr>
                <w:sz w:val="17"/>
                <w:szCs w:val="17"/>
                <w:color w:val="auto"/>
              </w:rPr>
            </w:pPr>
          </w:p>
        </w:tc>
      </w:tr>
      <w:tr>
        <w:trPr>
          <w:trHeight w:val="39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34"/>
        </w:trPr>
        <w:tc>
          <w:tcPr>
            <w:tcW w:w="1180" w:type="dxa"/>
            <w:vAlign w:val="bottom"/>
          </w:tcPr>
          <w:p>
            <w:pPr>
              <w:spacing w:after="0"/>
              <w:rPr>
                <w:sz w:val="20"/>
                <w:szCs w:val="20"/>
                <w:color w:val="auto"/>
              </w:rPr>
            </w:pPr>
          </w:p>
        </w:tc>
        <w:tc>
          <w:tcPr>
            <w:tcW w:w="7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bl>
    <w:p>
      <w:pPr>
        <w:spacing w:after="0" w:line="200" w:lineRule="exact"/>
        <w:rPr>
          <w:sz w:val="20"/>
          <w:szCs w:val="20"/>
          <w:color w:val="auto"/>
        </w:rPr>
      </w:pPr>
    </w:p>
    <w:p>
      <w:pPr>
        <w:sectPr>
          <w:pgSz w:w="11900" w:h="16838" w:orient="portrait"/>
          <w:cols w:equalWidth="0" w:num="1">
            <w:col w:w="9139"/>
          </w:cols>
          <w:pgMar w:left="1320" w:top="513" w:right="1440" w:bottom="1440" w:gutter="0" w:footer="0" w:header="0"/>
        </w:sectPr>
      </w:pPr>
    </w:p>
    <w:p>
      <w:pPr>
        <w:spacing w:after="0" w:line="38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39"/>
          </w:cols>
          <w:pgMar w:left="1320" w:top="513" w:right="1440" w:bottom="1440" w:gutter="0" w:footer="0" w:header="0"/>
          <w:type w:val="continuous"/>
        </w:sectPr>
      </w:pPr>
    </w:p>
    <w:bookmarkStart w:id="117" w:name="page118"/>
    <w:bookmarkEnd w:id="117"/>
    <w:p>
      <w:pPr>
        <w:ind w:left="1"/>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141"/>
          </w:cols>
          <w:pgMar w:left="1319"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1"/>
        <w:spacing w:after="0"/>
        <w:rPr>
          <w:sz w:val="20"/>
          <w:szCs w:val="20"/>
          <w:color w:val="auto"/>
        </w:rPr>
      </w:pPr>
      <w:r>
        <w:rPr>
          <w:rFonts w:ascii="Times New Roman" w:cs="Times New Roman" w:eastAsia="Times New Roman" w:hAnsi="Times New Roman"/>
          <w:sz w:val="18"/>
          <w:szCs w:val="18"/>
          <w:color w:val="auto"/>
        </w:rPr>
        <w:t>101.SCH*</w:t>
      </w:r>
    </w:p>
    <w:p>
      <w:pPr>
        <w:spacing w:after="0" w:line="185" w:lineRule="exact"/>
        <w:rPr>
          <w:sz w:val="20"/>
          <w:szCs w:val="20"/>
          <w:color w:val="auto"/>
        </w:rPr>
      </w:pPr>
    </w:p>
    <w:p>
      <w:pPr>
        <w:ind w:left="101"/>
        <w:spacing w:after="0"/>
        <w:rPr>
          <w:sz w:val="20"/>
          <w:szCs w:val="20"/>
          <w:color w:val="auto"/>
        </w:rPr>
      </w:pPr>
      <w:r>
        <w:rPr>
          <w:rFonts w:ascii="Times New Roman" w:cs="Times New Roman" w:eastAsia="Times New Roman" w:hAnsi="Times New Roman"/>
          <w:sz w:val="17"/>
          <w:szCs w:val="17"/>
          <w:color w:val="auto"/>
        </w:rPr>
        <w:t>101.CAL*</w:t>
      </w:r>
    </w:p>
    <w:p>
      <w:pPr>
        <w:spacing w:after="0" w:line="196" w:lineRule="exact"/>
        <w:rPr>
          <w:sz w:val="20"/>
          <w:szCs w:val="20"/>
          <w:color w:val="auto"/>
        </w:rPr>
      </w:pPr>
    </w:p>
    <w:p>
      <w:pPr>
        <w:ind w:left="101"/>
        <w:spacing w:after="0"/>
        <w:rPr>
          <w:sz w:val="20"/>
          <w:szCs w:val="20"/>
          <w:color w:val="auto"/>
        </w:rPr>
      </w:pPr>
      <w:r>
        <w:rPr>
          <w:rFonts w:ascii="Times New Roman" w:cs="Times New Roman" w:eastAsia="Times New Roman" w:hAnsi="Times New Roman"/>
          <w:sz w:val="18"/>
          <w:szCs w:val="18"/>
          <w:color w:val="auto"/>
        </w:rPr>
        <w:t>101.DEF*</w:t>
      </w:r>
    </w:p>
    <w:p>
      <w:pPr>
        <w:spacing w:after="0" w:line="185" w:lineRule="exact"/>
        <w:rPr>
          <w:sz w:val="20"/>
          <w:szCs w:val="20"/>
          <w:color w:val="auto"/>
        </w:rPr>
      </w:pPr>
    </w:p>
    <w:p>
      <w:pPr>
        <w:ind w:left="101"/>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85" w:lineRule="exact"/>
        <w:rPr>
          <w:sz w:val="20"/>
          <w:szCs w:val="20"/>
          <w:color w:val="auto"/>
        </w:rPr>
      </w:pPr>
    </w:p>
    <w:p>
      <w:pPr>
        <w:sectPr>
          <w:pgSz w:w="11900" w:h="16838" w:orient="portrait"/>
          <w:cols w:equalWidth="0" w:num="2">
            <w:col w:w="861" w:space="420"/>
            <w:col w:w="7859"/>
          </w:cols>
          <w:pgMar w:left="1319" w:top="513" w:right="1440" w:bottom="1440" w:gutter="0" w:footer="0" w:header="0"/>
          <w:type w:val="continuous"/>
        </w:sectPr>
      </w:pPr>
    </w:p>
    <w:p>
      <w:pPr>
        <w:ind w:left="1281" w:hanging="1184"/>
        <w:spacing w:after="0"/>
        <w:tabs>
          <w:tab w:leader="none" w:pos="128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ind w:left="641" w:hanging="641"/>
        <w:spacing w:after="0"/>
        <w:tabs>
          <w:tab w:leader="none" w:pos="6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-187960</wp:posOffset>
            </wp:positionV>
            <wp:extent cx="1474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 w:lineRule="exact"/>
        <w:rPr>
          <w:sz w:val="20"/>
          <w:szCs w:val="20"/>
          <w:color w:val="auto"/>
        </w:rPr>
      </w:pPr>
    </w:p>
    <w:p>
      <w:pPr>
        <w:ind w:left="641" w:hanging="641"/>
        <w:spacing w:after="0"/>
        <w:tabs>
          <w:tab w:leader="none" w:pos="6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641" w:hanging="641"/>
        <w:spacing w:after="0"/>
        <w:tabs>
          <w:tab w:leader="none" w:pos="6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(and not filed) herewith pursuant to Item 601(b)(32)(ii) of the SEC’s Regulation S-K</w:t>
      </w:r>
    </w:p>
    <w:p>
      <w:pPr>
        <w:spacing w:after="0" w:line="20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1"/>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8807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41"/>
          </w:cols>
          <w:pgMar w:left="1319"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13, 2022</w:t>
            </w:r>
          </w:p>
        </w:tc>
        <w:tc>
          <w:tcPr>
            <w:tcW w:w="570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INNOVAGE HOLDING CORP.</w:t>
            </w:r>
          </w:p>
        </w:tc>
      </w:tr>
      <w:tr>
        <w:trPr>
          <w:trHeight w:val="241"/>
        </w:trPr>
        <w:tc>
          <w:tcPr>
            <w:tcW w:w="3180" w:type="dxa"/>
            <w:vAlign w:val="bottom"/>
          </w:tcPr>
          <w:p>
            <w:pPr>
              <w:spacing w:after="0"/>
              <w:rPr>
                <w:sz w:val="20"/>
                <w:szCs w:val="20"/>
                <w:color w:val="auto"/>
              </w:rPr>
            </w:pPr>
          </w:p>
        </w:tc>
        <w:tc>
          <w:tcPr>
            <w:tcW w:w="57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Barbara Gutierrez</w:t>
            </w:r>
          </w:p>
        </w:tc>
      </w:tr>
      <w:tr>
        <w:trPr>
          <w:trHeight w:val="20"/>
        </w:trPr>
        <w:tc>
          <w:tcPr>
            <w:tcW w:w="3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r>
        <w:trPr>
          <w:trHeight w:val="211"/>
        </w:trPr>
        <w:tc>
          <w:tcPr>
            <w:tcW w:w="3180" w:type="dxa"/>
            <w:vAlign w:val="bottom"/>
          </w:tcPr>
          <w:p>
            <w:pPr>
              <w:spacing w:after="0"/>
              <w:rPr>
                <w:sz w:val="18"/>
                <w:szCs w:val="18"/>
                <w:color w:val="auto"/>
              </w:rPr>
            </w:pPr>
          </w:p>
        </w:tc>
        <w:tc>
          <w:tcPr>
            <w:tcW w:w="57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Name: Barbara Gutierrez</w:t>
            </w:r>
          </w:p>
        </w:tc>
      </w:tr>
      <w:tr>
        <w:trPr>
          <w:trHeight w:val="234"/>
        </w:trPr>
        <w:tc>
          <w:tcPr>
            <w:tcW w:w="3180" w:type="dxa"/>
            <w:vAlign w:val="bottom"/>
          </w:tcPr>
          <w:p>
            <w:pPr>
              <w:spacing w:after="0"/>
              <w:rPr>
                <w:sz w:val="20"/>
                <w:szCs w:val="20"/>
                <w:color w:val="auto"/>
              </w:rPr>
            </w:pPr>
          </w:p>
        </w:tc>
        <w:tc>
          <w:tcPr>
            <w:tcW w:w="57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Patrick Blair, Barbara Gutierrez and Nicole D’Amato,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any and all exhibits thereto, and other documents in connection therewith, with the Securities and Exchange Commission, and hereby grants to such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34"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indicated as of September 13, 2022.</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Signature</w:t>
            </w:r>
          </w:p>
        </w:tc>
        <w:tc>
          <w:tcPr>
            <w:tcW w:w="400" w:type="dxa"/>
            <w:vAlign w:val="bottom"/>
          </w:tcPr>
          <w:p>
            <w:pPr>
              <w:spacing w:after="0"/>
              <w:rPr>
                <w:sz w:val="20"/>
                <w:szCs w:val="20"/>
                <w:color w:val="auto"/>
              </w:rPr>
            </w:pPr>
          </w:p>
        </w:tc>
        <w:tc>
          <w:tcPr>
            <w:tcW w:w="4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Patrick Blair</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tc>
        <w:tc>
          <w:tcPr>
            <w:tcW w:w="0" w:type="dxa"/>
            <w:vAlign w:val="bottom"/>
          </w:tcPr>
          <w:p>
            <w:pPr>
              <w:spacing w:after="0"/>
              <w:rPr>
                <w:sz w:val="1"/>
                <w:szCs w:val="1"/>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Patrick Blair</w:t>
            </w:r>
          </w:p>
        </w:tc>
        <w:tc>
          <w:tcPr>
            <w:tcW w:w="400" w:type="dxa"/>
            <w:vAlign w:val="bottom"/>
          </w:tcPr>
          <w:p>
            <w:pPr>
              <w:spacing w:after="0"/>
              <w:rPr>
                <w:sz w:val="19"/>
                <w:szCs w:val="19"/>
                <w:color w:val="auto"/>
              </w:rPr>
            </w:pP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436"/>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Barbara Gutierrez</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0" w:type="dxa"/>
            <w:vAlign w:val="bottom"/>
          </w:tcPr>
          <w:p>
            <w:pPr>
              <w:spacing w:after="0"/>
              <w:rPr>
                <w:sz w:val="1"/>
                <w:szCs w:val="1"/>
                <w:color w:val="auto"/>
              </w:rPr>
            </w:pPr>
          </w:p>
        </w:tc>
      </w:tr>
      <w:tr>
        <w:trPr>
          <w:trHeight w:val="45"/>
        </w:trPr>
        <w:tc>
          <w:tcPr>
            <w:tcW w:w="4140" w:type="dxa"/>
            <w:vAlign w:val="bottom"/>
            <w:tcBorders>
              <w:bottom w:val="single" w:sz="8" w:color="auto"/>
            </w:tcBorders>
          </w:tcPr>
          <w:p>
            <w:pPr>
              <w:spacing w:after="0"/>
              <w:rPr>
                <w:sz w:val="3"/>
                <w:szCs w:val="3"/>
                <w:color w:val="auto"/>
              </w:rPr>
            </w:pPr>
          </w:p>
        </w:tc>
        <w:tc>
          <w:tcPr>
            <w:tcW w:w="400" w:type="dxa"/>
            <w:vAlign w:val="bottom"/>
            <w:vMerge w:val="restart"/>
          </w:tcPr>
          <w:p>
            <w:pPr>
              <w:spacing w:after="0"/>
              <w:rPr>
                <w:sz w:val="3"/>
                <w:szCs w:val="3"/>
                <w:color w:val="auto"/>
              </w:rPr>
            </w:pPr>
          </w:p>
        </w:tc>
        <w:tc>
          <w:tcPr>
            <w:tcW w:w="4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Barbara Gutierrez</w:t>
            </w:r>
          </w:p>
        </w:tc>
        <w:tc>
          <w:tcPr>
            <w:tcW w:w="400" w:type="dxa"/>
            <w:vAlign w:val="bottom"/>
            <w:vMerge w:val="continue"/>
          </w:tcPr>
          <w:p>
            <w:pPr>
              <w:spacing w:after="0"/>
              <w:rPr>
                <w:sz w:val="19"/>
                <w:szCs w:val="19"/>
                <w:color w:val="auto"/>
              </w:rPr>
            </w:pPr>
          </w:p>
        </w:tc>
        <w:tc>
          <w:tcPr>
            <w:tcW w:w="4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John Ellis Bush</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John Ellis Bush</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James Carlson</w:t>
            </w:r>
          </w:p>
        </w:tc>
        <w:tc>
          <w:tcPr>
            <w:tcW w:w="400" w:type="dxa"/>
            <w:vAlign w:val="bottom"/>
          </w:tcPr>
          <w:p>
            <w:pPr>
              <w:spacing w:after="0"/>
              <w:rPr>
                <w:sz w:val="24"/>
                <w:szCs w:val="24"/>
                <w:color w:val="auto"/>
              </w:rPr>
            </w:pPr>
          </w:p>
        </w:tc>
        <w:tc>
          <w:tcPr>
            <w:tcW w:w="4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 Chairman of the Board</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James Carlson</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Andrew Cavanna</w:t>
            </w:r>
          </w:p>
        </w:tc>
        <w:tc>
          <w:tcPr>
            <w:tcW w:w="400" w:type="dxa"/>
            <w:vAlign w:val="bottom"/>
          </w:tcPr>
          <w:p>
            <w:pPr>
              <w:spacing w:after="0"/>
              <w:rPr>
                <w:sz w:val="24"/>
                <w:szCs w:val="24"/>
                <w:color w:val="auto"/>
              </w:rPr>
            </w:pPr>
          </w:p>
        </w:tc>
        <w:tc>
          <w:tcPr>
            <w:tcW w:w="4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Andrew Cavanna</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Caroline Dechert</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Caroline Dechert</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Edward Kennedy, Jr.</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Edward Kennedy, Jr.</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3"/>
        </w:trPr>
        <w:tc>
          <w:tcPr>
            <w:tcW w:w="4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Pavithra Mahesh</w:t>
            </w:r>
          </w:p>
        </w:tc>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14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Pavithra Mahesh</w:t>
            </w:r>
          </w:p>
        </w:tc>
        <w:tc>
          <w:tcPr>
            <w:tcW w:w="4780" w:type="dxa"/>
            <w:vAlign w:val="bottom"/>
          </w:tcPr>
          <w:p>
            <w:pPr>
              <w:spacing w:after="0"/>
              <w:rPr>
                <w:sz w:val="19"/>
                <w:szCs w:val="19"/>
                <w:color w:val="auto"/>
              </w:rPr>
            </w:pPr>
          </w:p>
        </w:tc>
      </w:tr>
      <w:tr>
        <w:trPr>
          <w:trHeight w:val="45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Thomas Scully</w:t>
            </w:r>
          </w:p>
        </w:tc>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14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Thomas Scully</w:t>
            </w:r>
          </w:p>
        </w:tc>
        <w:tc>
          <w:tcPr>
            <w:tcW w:w="4780" w:type="dxa"/>
            <w:vAlign w:val="bottom"/>
          </w:tcPr>
          <w:p>
            <w:pPr>
              <w:spacing w:after="0"/>
              <w:rPr>
                <w:sz w:val="19"/>
                <w:szCs w:val="19"/>
                <w:color w:val="auto"/>
              </w:rPr>
            </w:pPr>
          </w:p>
        </w:tc>
      </w:tr>
      <w:tr>
        <w:trPr>
          <w:trHeight w:val="45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Marilyn Tavenner</w:t>
            </w:r>
          </w:p>
        </w:tc>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14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Marilyn Tavenner</w:t>
            </w:r>
          </w:p>
        </w:tc>
        <w:tc>
          <w:tcPr>
            <w:tcW w:w="4780" w:type="dxa"/>
            <w:vAlign w:val="bottom"/>
          </w:tcPr>
          <w:p>
            <w:pPr>
              <w:spacing w:after="0"/>
              <w:rPr>
                <w:sz w:val="19"/>
                <w:szCs w:val="19"/>
                <w:color w:val="auto"/>
              </w:rPr>
            </w:pPr>
          </w:p>
        </w:tc>
      </w:tr>
      <w:tr>
        <w:trPr>
          <w:trHeight w:val="45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Sean Traynor</w:t>
            </w:r>
          </w:p>
        </w:tc>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14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Sean Traynor</w:t>
            </w:r>
          </w:p>
        </w:tc>
        <w:tc>
          <w:tcPr>
            <w:tcW w:w="4780" w:type="dxa"/>
            <w:vAlign w:val="bottom"/>
          </w:tcPr>
          <w:p>
            <w:pPr>
              <w:spacing w:after="0"/>
              <w:rPr>
                <w:sz w:val="19"/>
                <w:szCs w:val="19"/>
                <w:color w:val="auto"/>
              </w:rPr>
            </w:pPr>
          </w:p>
        </w:tc>
      </w:tr>
      <w:tr>
        <w:trPr>
          <w:trHeight w:val="454"/>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 Richard Zoretic</w:t>
            </w:r>
          </w:p>
        </w:tc>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14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r>
      <w:tr>
        <w:trPr>
          <w:trHeight w:val="228"/>
        </w:trPr>
        <w:tc>
          <w:tcPr>
            <w:tcW w:w="4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Richard Zoretic</w:t>
            </w:r>
          </w:p>
        </w:tc>
        <w:tc>
          <w:tcPr>
            <w:tcW w:w="4780" w:type="dxa"/>
            <w:vAlign w:val="bottom"/>
          </w:tcPr>
          <w:p>
            <w:pPr>
              <w:spacing w:after="0"/>
              <w:rPr>
                <w:sz w:val="19"/>
                <w:szCs w:val="19"/>
                <w:color w:val="auto"/>
              </w:rPr>
            </w:pPr>
          </w:p>
        </w:tc>
      </w:tr>
      <w:tr>
        <w:trPr>
          <w:trHeight w:val="2729"/>
        </w:trPr>
        <w:tc>
          <w:tcPr>
            <w:tcW w:w="41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Final</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as of this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of November, 2021 and effective as of July 2, 2021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and between Total Community Options, Inc., d/b/a InnovAge, a Colorado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Nicole D’Amato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desires to offer to the Executive employment on the terms and conditions set forth in this Agreement. In consideration of the foregoing premises and the mutual promises, terms, provisions and conditions set forth in this Agreement, the parties hereby agree:</w:t>
      </w:r>
    </w:p>
    <w:p>
      <w:pPr>
        <w:spacing w:after="0" w:line="173" w:lineRule="exact"/>
        <w:rPr>
          <w:sz w:val="20"/>
          <w:szCs w:val="20"/>
          <w:color w:val="auto"/>
        </w:rPr>
      </w:pPr>
    </w:p>
    <w:p>
      <w:pPr>
        <w:ind w:firstLine="1305"/>
        <w:spacing w:after="0" w:line="258" w:lineRule="auto"/>
        <w:tabs>
          <w:tab w:leader="none" w:pos="2036"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Executive’s employment shall be subject to the terms and conditions set forth in this Agreement.</w:t>
      </w:r>
    </w:p>
    <w:p>
      <w:pPr>
        <w:spacing w:after="0" w:line="158" w:lineRule="exact"/>
        <w:rPr>
          <w:rFonts w:ascii="Times New Roman" w:cs="Times New Roman" w:eastAsia="Times New Roman" w:hAnsi="Times New Roman"/>
          <w:sz w:val="22"/>
          <w:szCs w:val="22"/>
          <w:color w:val="010000"/>
        </w:rPr>
      </w:pPr>
    </w:p>
    <w:p>
      <w:pPr>
        <w:jc w:val="both"/>
        <w:ind w:firstLine="1305"/>
        <w:spacing w:after="0" w:line="244" w:lineRule="auto"/>
        <w:tabs>
          <w:tab w:leader="none" w:pos="2036"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This Agreement will continue in effect from the Effective Date until terminated in accordance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hereof. The term of this Agreement is hereafter referred to as “the term of this Agreement” or “the term hereof”.</w:t>
      </w:r>
    </w:p>
    <w:p>
      <w:pPr>
        <w:spacing w:after="0" w:line="173" w:lineRule="exact"/>
        <w:rPr>
          <w:rFonts w:ascii="Times New Roman" w:cs="Times New Roman" w:eastAsia="Times New Roman" w:hAnsi="Times New Roman"/>
          <w:sz w:val="22"/>
          <w:szCs w:val="22"/>
          <w:color w:val="010000"/>
        </w:rPr>
      </w:pPr>
    </w:p>
    <w:p>
      <w:pPr>
        <w:ind w:left="2040" w:hanging="736"/>
        <w:spacing w:after="0"/>
        <w:tabs>
          <w:tab w:leader="none" w:pos="2040"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Capacity and Performance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jc w:val="both"/>
        <w:ind w:firstLine="1953"/>
        <w:spacing w:after="0" w:line="251" w:lineRule="auto"/>
        <w:tabs>
          <w:tab w:leader="none" w:pos="2684"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term hereof, the Executive shall be employed by the Company on a full-time basis and shall serve the Company as its Chief Legal Officer &amp; Corporate Secretary. In such capacity, the Executive shall report to the Chief Executive Officer of the Company (the “</w:t>
      </w:r>
      <w:r>
        <w:rPr>
          <w:rFonts w:ascii="Times New Roman" w:cs="Times New Roman" w:eastAsia="Times New Roman" w:hAnsi="Times New Roman"/>
          <w:sz w:val="21"/>
          <w:szCs w:val="21"/>
          <w:u w:val="single" w:color="auto"/>
          <w:color w:val="auto"/>
        </w:rPr>
        <w:t>Chief Executive Officer</w:t>
      </w:r>
      <w:r>
        <w:rPr>
          <w:rFonts w:ascii="Times New Roman" w:cs="Times New Roman" w:eastAsia="Times New Roman" w:hAnsi="Times New Roman"/>
          <w:sz w:val="21"/>
          <w:szCs w:val="21"/>
          <w:color w:val="auto"/>
        </w:rPr>
        <w:t>”), and the Executive shall have such duties as are consistent with the Executive’s position and as may from time to time be assigned to the Executive by the Chief Executive Officer or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010000"/>
        </w:rPr>
      </w:pPr>
    </w:p>
    <w:p>
      <w:pPr>
        <w:jc w:val="both"/>
        <w:ind w:firstLine="1953"/>
        <w:spacing w:after="0" w:line="233" w:lineRule="auto"/>
        <w:tabs>
          <w:tab w:leader="none" w:pos="2684"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term hereof, the Executive shall devote substantially all of the Executive’s full business time and the Executive’s best efforts, business judgment, skill and knowledge to the advancement of the business and interests of the Company and its Affiliates (as defined below) and to the discharge of the Executive’s duties and responsibilities hereunder. The Executive shall not engage in any other business activity or serve in any industry, trade, professional, governmental or academic position during the term of this Agreement, except as may be expressly approved in advance by the Chief Executive Officer in writing, which approval shall not be unreasonably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Executive may without advance consent participate in legal associations, charitable activities and passive personal investment activities, provided that such activities do not, individually or in the aggregate, interfere with the performance of the Executive’s duties under this Agreement, are not in conflict with the business interests of the Company or any of its Affiliates and do not violate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of this Agreement.</w:t>
      </w:r>
    </w:p>
    <w:p>
      <w:pPr>
        <w:spacing w:after="0" w:line="187" w:lineRule="exact"/>
        <w:rPr>
          <w:rFonts w:ascii="Times New Roman" w:cs="Times New Roman" w:eastAsia="Times New Roman" w:hAnsi="Times New Roman"/>
          <w:sz w:val="22"/>
          <w:szCs w:val="22"/>
          <w:color w:val="010000"/>
        </w:rPr>
      </w:pPr>
    </w:p>
    <w:p>
      <w:pPr>
        <w:jc w:val="both"/>
        <w:ind w:firstLine="1953"/>
        <w:spacing w:after="0" w:line="244" w:lineRule="auto"/>
        <w:tabs>
          <w:tab w:leader="none" w:pos="2684"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term hereof, the Executive shall comply with all of the Company’s written policies, practices and codes of conduct applicable to the Executive’s position, as in effect from time to time.</w:t>
      </w:r>
    </w:p>
    <w:p>
      <w:pPr>
        <w:spacing w:after="0" w:line="173" w:lineRule="exact"/>
        <w:rPr>
          <w:rFonts w:ascii="Times New Roman" w:cs="Times New Roman" w:eastAsia="Times New Roman" w:hAnsi="Times New Roman"/>
          <w:sz w:val="22"/>
          <w:szCs w:val="22"/>
          <w:color w:val="010000"/>
        </w:rPr>
      </w:pPr>
    </w:p>
    <w:p>
      <w:pPr>
        <w:ind w:firstLine="1304"/>
        <w:spacing w:after="0" w:line="258" w:lineRule="auto"/>
        <w:tabs>
          <w:tab w:leader="none" w:pos="2036"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As compensation for all services performed by the Executive hereunder during the term hereof, and subject to performance of the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duties and responsibilities to the Company and its Affiliates, pursuant to this Agreement or otherwise,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shall pay certain compensation and provide certain benefits to the Executive, as follows:</w:t>
      </w:r>
    </w:p>
    <w:p>
      <w:pPr>
        <w:spacing w:after="0" w:line="182" w:lineRule="exact"/>
        <w:rPr>
          <w:sz w:val="20"/>
          <w:szCs w:val="20"/>
          <w:color w:val="auto"/>
        </w:rPr>
      </w:pPr>
    </w:p>
    <w:p>
      <w:pPr>
        <w:jc w:val="both"/>
        <w:ind w:firstLine="1953"/>
        <w:spacing w:after="0" w:line="235" w:lineRule="auto"/>
        <w:tabs>
          <w:tab w:leader="none" w:pos="2684"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of this Agreement, the Company will pay the Executive an annual base salary commensurate with the Executive’s performance and experience within the compensation philosophy established by the Company; the Executive’s initial annual base salary rate will be $400,000. The Executive will be paid the Executive’s annual base salary in accordance with the normal payroll practices of the Company as in effect from time to time (but no less frequently than monthly); the Executive’s annual base salary, as from time to time adjusted, is hereafter referred to as the “Base Salary”. The Chief Executive Officer, following consultation with the Board, shall review the Base Salary each year for increase, but shall not decrease the Base Salary.</w:t>
      </w:r>
    </w:p>
    <w:p>
      <w:pPr>
        <w:spacing w:after="0" w:line="178" w:lineRule="exact"/>
        <w:rPr>
          <w:rFonts w:ascii="Times New Roman" w:cs="Times New Roman" w:eastAsia="Times New Roman" w:hAnsi="Times New Roman"/>
          <w:sz w:val="22"/>
          <w:szCs w:val="22"/>
          <w:color w:val="010000"/>
        </w:rPr>
      </w:pPr>
    </w:p>
    <w:p>
      <w:pPr>
        <w:jc w:val="both"/>
        <w:ind w:firstLine="1953"/>
        <w:spacing w:after="0" w:line="259" w:lineRule="auto"/>
        <w:tabs>
          <w:tab w:leader="none" w:pos="2684" w:val="left"/>
        </w:tabs>
        <w:numPr>
          <w:ilvl w:val="1"/>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Annual Bonus Compensation</w:t>
      </w:r>
      <w:r>
        <w:rPr>
          <w:rFonts w:ascii="Times New Roman" w:cs="Times New Roman" w:eastAsia="Times New Roman" w:hAnsi="Times New Roman"/>
          <w:sz w:val="20"/>
          <w:szCs w:val="20"/>
          <w:color w:val="auto"/>
        </w:rPr>
        <w:t>. For each fiscal year of the Company occurring during the term hereof, beginning with the 2022 fiscal year, the Executive shall be eligible, but not entitled, to receive a discretionary annual bonus (the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targeted at fifty percent (50%) of the Executive’s Base Salary (the “</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The actual amount of the Annual Bonus due for a given fiscal year, if any, will be determined by the Chief Executive Officer, in consultation with the Board, acting in good faith and based on the achievement of pre- established performance criteria. The performance criteria shall be established by the Board in consultation with the Chief Executive Officer no later than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day of the fiscal year. Any Annual Bonus earned for a fiscal year shall be paid within thirty (30) days after the Board has received, reviewed and approved the applicable fiscal year’s final audited statements, and in any event no later than December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of the calendar year in which such fiscal year ends. In order to receive the Annual Bonus for any fiscal year, the Executive must be employed by the Company through the last day of the fiscal year to which performance relates.</w:t>
      </w:r>
    </w:p>
    <w:p>
      <w:pPr>
        <w:spacing w:after="0" w:line="158" w:lineRule="exact"/>
        <w:rPr>
          <w:rFonts w:ascii="Times New Roman" w:cs="Times New Roman" w:eastAsia="Times New Roman" w:hAnsi="Times New Roman"/>
          <w:sz w:val="20"/>
          <w:szCs w:val="20"/>
          <w:color w:val="010000"/>
        </w:rPr>
      </w:pPr>
    </w:p>
    <w:p>
      <w:pPr>
        <w:jc w:val="both"/>
        <w:ind w:firstLine="1953"/>
        <w:spacing w:after="0" w:line="246" w:lineRule="auto"/>
        <w:tabs>
          <w:tab w:leader="none" w:pos="2684"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Incentive Equity Grants under the 2021 Omnibus Incentive Plan</w:t>
      </w:r>
      <w:r>
        <w:rPr>
          <w:rFonts w:ascii="Times New Roman" w:cs="Times New Roman" w:eastAsia="Times New Roman" w:hAnsi="Times New Roman"/>
          <w:sz w:val="21"/>
          <w:szCs w:val="21"/>
          <w:color w:val="auto"/>
        </w:rPr>
        <w:t>. Subject to the approval of the Board, the Company will grant the Executive on the Effective Date (i) an award of 12,440 restricted stock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xml:space="preserve">”), which will vest in equal one-third (1/3) installments on each of the first three (3) anniversaries of the Effective Date, and (ii) an award of 12,440 RSUs, which will fully vest on the second anniversary of the Effective Date, in each case, subject to the Executive’s continued employment with the Company on each applicable vesting date (which for the sake of clarity corresponds with the Effective Date). The RSU awards will each be subject to an RSU agreement, substantially in the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InnovAge Holding Corp. 2021 Omnibus Incentive Plan (as the same may be amended from time to time) and any other restrictions and limitations generally applicable to the equity of the Company or otherwise imposed by law.</w:t>
      </w:r>
    </w:p>
    <w:p>
      <w:pPr>
        <w:spacing w:after="0" w:line="175" w:lineRule="exact"/>
        <w:rPr>
          <w:rFonts w:ascii="Times New Roman" w:cs="Times New Roman" w:eastAsia="Times New Roman" w:hAnsi="Times New Roman"/>
          <w:sz w:val="21"/>
          <w:szCs w:val="21"/>
          <w:color w:val="010000"/>
        </w:rPr>
      </w:pPr>
    </w:p>
    <w:p>
      <w:pPr>
        <w:jc w:val="both"/>
        <w:ind w:firstLine="1953"/>
        <w:spacing w:after="0" w:line="244" w:lineRule="auto"/>
        <w:tabs>
          <w:tab w:leader="none" w:pos="2684"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One-Time Sign On Bonus</w:t>
      </w:r>
      <w:r>
        <w:rPr>
          <w:rFonts w:ascii="Times New Roman" w:cs="Times New Roman" w:eastAsia="Times New Roman" w:hAnsi="Times New Roman"/>
          <w:sz w:val="22"/>
          <w:szCs w:val="22"/>
          <w:color w:val="auto"/>
        </w:rPr>
        <w:t>. The Executive will be eligible for a one- time cash payment in the amount of $80,000, subject to all applicable taxes and withholding and payable within thirty (30) days of the Effective Date, provided that the Executive is still employed with the Company on the payment date.</w:t>
      </w:r>
    </w:p>
    <w:p>
      <w:pPr>
        <w:spacing w:after="0" w:line="173" w:lineRule="exact"/>
        <w:rPr>
          <w:rFonts w:ascii="Times New Roman" w:cs="Times New Roman" w:eastAsia="Times New Roman" w:hAnsi="Times New Roman"/>
          <w:sz w:val="22"/>
          <w:szCs w:val="22"/>
          <w:color w:val="010000"/>
        </w:rPr>
      </w:pPr>
    </w:p>
    <w:p>
      <w:pPr>
        <w:ind w:left="2700" w:hanging="748"/>
        <w:spacing w:after="0"/>
        <w:tabs>
          <w:tab w:leader="none" w:pos="2700"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Paid Time Off</w:t>
      </w:r>
      <w:r>
        <w:rPr>
          <w:rFonts w:ascii="Times New Roman" w:cs="Times New Roman" w:eastAsia="Times New Roman" w:hAnsi="Times New Roman"/>
          <w:sz w:val="21"/>
          <w:szCs w:val="21"/>
          <w:color w:val="auto"/>
        </w:rPr>
        <w:t>. During the term hereof, the Executive shall be entitled to earn four</w:t>
      </w:r>
    </w:p>
    <w:p>
      <w:pPr>
        <w:spacing w:after="0" w:line="25" w:lineRule="exact"/>
        <w:rPr>
          <w:rFonts w:ascii="Times New Roman" w:cs="Times New Roman" w:eastAsia="Times New Roman" w:hAnsi="Times New Roman"/>
          <w:sz w:val="21"/>
          <w:szCs w:val="21"/>
          <w:color w:val="010000"/>
        </w:rPr>
      </w:pPr>
    </w:p>
    <w:p>
      <w:pPr>
        <w:ind w:left="320" w:hanging="312"/>
        <w:spacing w:after="0"/>
        <w:tabs>
          <w:tab w:leader="none" w:pos="3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weeks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twenty (20) days) of paid time off (“</w:t>
      </w:r>
      <w:r>
        <w:rPr>
          <w:rFonts w:ascii="Times New Roman" w:cs="Times New Roman" w:eastAsia="Times New Roman" w:hAnsi="Times New Roman"/>
          <w:sz w:val="22"/>
          <w:szCs w:val="22"/>
          <w:u w:val="single" w:color="auto"/>
          <w:color w:val="auto"/>
        </w:rPr>
        <w:t>PTO</w:t>
      </w:r>
      <w:r>
        <w:rPr>
          <w:rFonts w:ascii="Times New Roman" w:cs="Times New Roman" w:eastAsia="Times New Roman" w:hAnsi="Times New Roman"/>
          <w:sz w:val="22"/>
          <w:szCs w:val="22"/>
          <w:color w:val="auto"/>
        </w:rPr>
        <w:t>”) per annum (in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2" w:name="page123"/>
    <w:bookmarkEnd w:id="122"/>
    <w:p>
      <w:pPr>
        <w:jc w:val="both"/>
        <w:spacing w:after="0" w:line="244" w:lineRule="auto"/>
        <w:rPr>
          <w:sz w:val="20"/>
          <w:szCs w:val="20"/>
          <w:color w:val="auto"/>
        </w:rPr>
      </w:pPr>
      <w:r>
        <w:rPr>
          <w:rFonts w:ascii="Times New Roman" w:cs="Times New Roman" w:eastAsia="Times New Roman" w:hAnsi="Times New Roman"/>
          <w:sz w:val="22"/>
          <w:szCs w:val="22"/>
          <w:color w:val="auto"/>
        </w:rPr>
        <w:t>addition to Company holidays), to be taken at such times and intervals as shall be determined by the Executive, subject to the reasonable business needs of the Company. PTO shall otherwise be governed by the policies of the Company, as in effect from time to time.</w:t>
      </w:r>
    </w:p>
    <w:p>
      <w:pPr>
        <w:spacing w:after="0" w:line="173" w:lineRule="exact"/>
        <w:rPr>
          <w:sz w:val="20"/>
          <w:szCs w:val="20"/>
          <w:color w:val="auto"/>
        </w:rPr>
      </w:pPr>
    </w:p>
    <w:p>
      <w:pPr>
        <w:jc w:val="both"/>
        <w:ind w:firstLine="1953"/>
        <w:spacing w:after="0" w:line="246" w:lineRule="auto"/>
        <w:tabs>
          <w:tab w:leader="none" w:pos="2684"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 During the term hereof and subject to any contribution therefore generally required of similarly-situated employees of the Company, the Executive shall be entitled to participate in any and all employee benefit plans from time to time in effect for employees of the Company generally (the “</w:t>
      </w: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 except to the extent any Employee Benefit Plan provides for benefits otherwise provided to the Executive hereunder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a severance pay plan). Such participation shall be subject to</w:t>
      </w:r>
    </w:p>
    <w:p>
      <w:pPr>
        <w:spacing w:after="0" w:line="1" w:lineRule="exact"/>
        <w:rPr>
          <w:rFonts w:ascii="Times New Roman" w:cs="Times New Roman" w:eastAsia="Times New Roman" w:hAnsi="Times New Roman"/>
          <w:sz w:val="21"/>
          <w:szCs w:val="21"/>
          <w:color w:val="010000"/>
        </w:rPr>
      </w:pPr>
    </w:p>
    <w:p>
      <w:pPr>
        <w:ind w:left="280" w:hanging="272"/>
        <w:spacing w:after="0"/>
        <w:tabs>
          <w:tab w:leader="none" w:pos="2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the applicable Employee Benefit Plan documents, (ii) generally applicable Company policies and</w:t>
      </w:r>
    </w:p>
    <w:p>
      <w:pPr>
        <w:spacing w:after="0" w:line="1" w:lineRule="exact"/>
        <w:rPr>
          <w:rFonts w:ascii="Times New Roman" w:cs="Times New Roman" w:eastAsia="Times New Roman" w:hAnsi="Times New Roman"/>
          <w:sz w:val="21"/>
          <w:szCs w:val="21"/>
          <w:color w:val="auto"/>
        </w:rPr>
      </w:pPr>
    </w:p>
    <w:p>
      <w:pPr>
        <w:ind w:right="20" w:firstLine="8"/>
        <w:spacing w:after="0" w:line="237" w:lineRule="auto"/>
        <w:tabs>
          <w:tab w:leader="none" w:pos="38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discretion of the Company or any administrative or other committee provided for under, or contemplated by, such Employee Benefit Plan.</w:t>
      </w:r>
    </w:p>
    <w:p>
      <w:pPr>
        <w:spacing w:after="0" w:line="178" w:lineRule="exact"/>
        <w:rPr>
          <w:rFonts w:ascii="Times New Roman" w:cs="Times New Roman" w:eastAsia="Times New Roman" w:hAnsi="Times New Roman"/>
          <w:sz w:val="22"/>
          <w:szCs w:val="22"/>
          <w:color w:val="auto"/>
        </w:rPr>
      </w:pPr>
    </w:p>
    <w:p>
      <w:pPr>
        <w:jc w:val="both"/>
        <w:ind w:firstLine="1953"/>
        <w:spacing w:after="0" w:line="247" w:lineRule="auto"/>
        <w:tabs>
          <w:tab w:leader="none" w:pos="2684" w:val="left"/>
        </w:tabs>
        <w:numPr>
          <w:ilvl w:val="1"/>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The Company shall pay or reimburse the Executive for reasonable, customary and necessary business expenses, including those expenses associated with a remote work location, incurred or paid by the Executive in the performance of the Executive’s duties and responsibilities hereunder, subject to such reasonable substantiation and documentation and to travel and other policies as may be required by the Company from time to time. Company acknowledges that Executive is licensed to practice law in the State of New York and that New York Judiciary Law Section 470 requires lawyers admitted to practice in New York, but residing in other states, to maintain a brick-and-mortar law office in New York State. Company agrees to pay all business expenses associated with such brick-and-mortar law office for Executive.</w:t>
      </w:r>
    </w:p>
    <w:p>
      <w:pPr>
        <w:spacing w:after="0" w:line="171" w:lineRule="exact"/>
        <w:rPr>
          <w:rFonts w:ascii="Times New Roman" w:cs="Times New Roman" w:eastAsia="Times New Roman" w:hAnsi="Times New Roman"/>
          <w:sz w:val="21"/>
          <w:szCs w:val="21"/>
          <w:color w:val="010000"/>
        </w:rPr>
      </w:pPr>
    </w:p>
    <w:p>
      <w:pPr>
        <w:jc w:val="both"/>
        <w:ind w:firstLine="1953"/>
        <w:spacing w:after="0" w:line="239" w:lineRule="auto"/>
        <w:tabs>
          <w:tab w:leader="none" w:pos="2684"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Remote Work Location</w:t>
      </w:r>
      <w:r>
        <w:rPr>
          <w:rFonts w:ascii="Times New Roman" w:cs="Times New Roman" w:eastAsia="Times New Roman" w:hAnsi="Times New Roman"/>
          <w:sz w:val="22"/>
          <w:szCs w:val="22"/>
          <w:color w:val="auto"/>
        </w:rPr>
        <w:t>. The duties to be performed by the Executive hereunder shall be performed remotely in Connecticut at the Executive’s place of residence or in a Company paid office in New York. Relocation shall not be required and continued employment with Company shall not be contingent on relocation.</w:t>
      </w:r>
    </w:p>
    <w:p>
      <w:pPr>
        <w:spacing w:after="0" w:line="180" w:lineRule="exact"/>
        <w:rPr>
          <w:sz w:val="20"/>
          <w:szCs w:val="20"/>
          <w:color w:val="auto"/>
        </w:rPr>
      </w:pPr>
    </w:p>
    <w:p>
      <w:pPr>
        <w:ind w:left="100" w:right="1920" w:firstLine="1204"/>
        <w:spacing w:after="0" w:line="435" w:lineRule="auto"/>
        <w:tabs>
          <w:tab w:leader="none" w:pos="1954"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Employment and Severance Benefits</w:t>
      </w:r>
      <w:r>
        <w:rPr>
          <w:rFonts w:ascii="Times New Roman" w:cs="Times New Roman" w:eastAsia="Times New Roman" w:hAnsi="Times New Roman"/>
          <w:sz w:val="22"/>
          <w:szCs w:val="22"/>
          <w:color w:val="auto"/>
        </w:rPr>
        <w:t>. The Executive’s employment hereunder shall terminate under the following circumstances:</w:t>
      </w:r>
    </w:p>
    <w:p>
      <w:pPr>
        <w:jc w:val="both"/>
        <w:ind w:left="100" w:firstLine="1943"/>
        <w:spacing w:after="0" w:line="233" w:lineRule="auto"/>
        <w:tabs>
          <w:tab w:leader="none" w:pos="2693"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xml:space="preserve">. In the event of the Executive’s death during the term hereof, the date of death shall be the date of termination, and the Company shall pay or provide to the Executive’s designated beneficiary or, if no beneficiary has been designated by the Executive in a notice received by the Company, to the Executive’s estate: (i) any Base Salary earned but not paid through the date of termination, (ii) pay in lieu of any PTO accrued but not used as of the date of termination, (iii) any business expenses incurred by the Executive but unreimbursed as of the date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expenses and required substantiation and documentation are submitted no later than one hundred twenty (120) days following the date of termination, that such expenses are reimbursable under Company policy and that any such expenses subject to </w:t>
      </w:r>
      <w:r>
        <w:rPr>
          <w:rFonts w:ascii="Times New Roman" w:cs="Times New Roman" w:eastAsia="Times New Roman" w:hAnsi="Times New Roman"/>
          <w:sz w:val="22"/>
          <w:szCs w:val="22"/>
          <w:u w:val="single" w:color="auto"/>
          <w:color w:val="auto"/>
        </w:rPr>
        <w:t>Section 5(g)(v)</w:t>
      </w:r>
      <w:r>
        <w:rPr>
          <w:rFonts w:ascii="Times New Roman" w:cs="Times New Roman" w:eastAsia="Times New Roman" w:hAnsi="Times New Roman"/>
          <w:sz w:val="22"/>
          <w:szCs w:val="22"/>
          <w:color w:val="auto"/>
        </w:rPr>
        <w:t xml:space="preserve"> shall be paid not later than the deadline specified therein, and (iv) any Annual Bonus earned but unpaid in respect of the fiscal year completed immediately prior to the date of termination (the “</w:t>
      </w:r>
      <w:r>
        <w:rPr>
          <w:rFonts w:ascii="Times New Roman" w:cs="Times New Roman" w:eastAsia="Times New Roman" w:hAnsi="Times New Roman"/>
          <w:sz w:val="22"/>
          <w:szCs w:val="22"/>
          <w:u w:val="single" w:color="auto"/>
          <w:color w:val="auto"/>
        </w:rPr>
        <w:t>Prior Year Bonus</w:t>
      </w:r>
      <w:r>
        <w:rPr>
          <w:rFonts w:ascii="Times New Roman" w:cs="Times New Roman" w:eastAsia="Times New Roman" w:hAnsi="Times New Roman"/>
          <w:sz w:val="22"/>
          <w:szCs w:val="22"/>
          <w:color w:val="auto"/>
        </w:rPr>
        <w:t>,” and all of the foregoing, payable subject to the timing limitations described herein, “</w:t>
      </w:r>
      <w:r>
        <w:rPr>
          <w:rFonts w:ascii="Times New Roman" w:cs="Times New Roman" w:eastAsia="Times New Roman" w:hAnsi="Times New Roman"/>
          <w:sz w:val="22"/>
          <w:szCs w:val="22"/>
          <w:u w:val="single" w:color="auto"/>
          <w:color w:val="auto"/>
        </w:rPr>
        <w:t>Final Compensation</w:t>
      </w:r>
      <w:r>
        <w:rPr>
          <w:rFonts w:ascii="Times New Roman" w:cs="Times New Roman" w:eastAsia="Times New Roman" w:hAnsi="Times New Roman"/>
          <w:sz w:val="22"/>
          <w:szCs w:val="22"/>
          <w:color w:val="auto"/>
        </w:rPr>
        <w:t>”). In the event of such termination, the Company shall have no further obligation or liability to the Executive under this Agreement, other than for payment of any Final Compensation due to the Executive. Other than business expenses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3" w:name="page124"/>
    <w:bookmarkEnd w:id="123"/>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described in </w:t>
      </w:r>
      <w:r>
        <w:rPr>
          <w:rFonts w:ascii="Times New Roman" w:cs="Times New Roman" w:eastAsia="Times New Roman" w:hAnsi="Times New Roman"/>
          <w:sz w:val="22"/>
          <w:szCs w:val="22"/>
          <w:u w:val="single" w:color="auto"/>
          <w:color w:val="auto"/>
        </w:rPr>
        <w:t>Section 5(a)(iii)</w:t>
      </w:r>
      <w:r>
        <w:rPr>
          <w:rFonts w:ascii="Times New Roman" w:cs="Times New Roman" w:eastAsia="Times New Roman" w:hAnsi="Times New Roman"/>
          <w:sz w:val="22"/>
          <w:szCs w:val="22"/>
          <w:color w:val="auto"/>
        </w:rPr>
        <w:t>, Final Compensation shall be paid to the Executive’s designated beneficiary or estate at the time prescribed by applicable law and in all events within thirty (30) days following the date of death.</w:t>
      </w:r>
    </w:p>
    <w:p>
      <w:pPr>
        <w:spacing w:after="0" w:line="173" w:lineRule="exact"/>
        <w:rPr>
          <w:sz w:val="20"/>
          <w:szCs w:val="20"/>
          <w:color w:val="auto"/>
        </w:rPr>
      </w:pPr>
    </w:p>
    <w:p>
      <w:pPr>
        <w:ind w:left="2500" w:hanging="648"/>
        <w:spacing w:after="0"/>
        <w:tabs>
          <w:tab w:leader="none" w:pos="2500"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jc w:val="both"/>
        <w:ind w:firstLine="2592"/>
        <w:spacing w:after="0" w:line="245" w:lineRule="auto"/>
        <w:tabs>
          <w:tab w:leader="none" w:pos="3242" w:val="left"/>
        </w:tabs>
        <w:numPr>
          <w:ilvl w:val="2"/>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may terminate the Executive’s employment hereunder, upon notice to the Executive, in the event that the Executive becomes disabled during the Executive’s employment hereunder through any illness, injury, accident or condition of either a physical or psychological nature and, as a result, is unable to perform substantially all of the Executive’s duties and responsibilities hereunder (notwithstanding the provision of any reasonable accommodation exclusive of the leave of absence provided hereunder) for one hundred (100) consecutive days, or one hundred and eighty (180) non-consecutive days, during any period of three hundred and sixty-five (365) consecutive calendar days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In the event of such termination, the Company shall have no further obligation or liability to the Executive under this Agreement, other than for payment of any Final Compensation due to the Executive. Other than business expenses described in </w:t>
      </w:r>
      <w:r>
        <w:rPr>
          <w:rFonts w:ascii="Times New Roman" w:cs="Times New Roman" w:eastAsia="Times New Roman" w:hAnsi="Times New Roman"/>
          <w:sz w:val="21"/>
          <w:szCs w:val="21"/>
          <w:u w:val="single" w:color="auto"/>
          <w:color w:val="auto"/>
        </w:rPr>
        <w:t>Section 5(a)(iii)</w:t>
      </w:r>
      <w:r>
        <w:rPr>
          <w:rFonts w:ascii="Times New Roman" w:cs="Times New Roman" w:eastAsia="Times New Roman" w:hAnsi="Times New Roman"/>
          <w:sz w:val="21"/>
          <w:szCs w:val="21"/>
          <w:color w:val="auto"/>
        </w:rPr>
        <w:t>, Final Compensation shall be paid to the Executive at the time prescribed by applicable law and in all events within thirty (30) days following the date of termination of employment.</w:t>
      </w:r>
    </w:p>
    <w:p>
      <w:pPr>
        <w:spacing w:after="0" w:line="177" w:lineRule="exact"/>
        <w:rPr>
          <w:rFonts w:ascii="Times New Roman" w:cs="Times New Roman" w:eastAsia="Times New Roman" w:hAnsi="Times New Roman"/>
          <w:sz w:val="21"/>
          <w:szCs w:val="21"/>
          <w:color w:val="010000"/>
        </w:rPr>
      </w:pPr>
    </w:p>
    <w:p>
      <w:pPr>
        <w:jc w:val="both"/>
        <w:ind w:firstLine="2592"/>
        <w:spacing w:after="0" w:line="233" w:lineRule="auto"/>
        <w:tabs>
          <w:tab w:leader="none" w:pos="3242" w:val="left"/>
        </w:tabs>
        <w:numPr>
          <w:ilvl w:val="2"/>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Chief Executive Officer may designate another employee to act in the Executive’s place during any period of the Executive’s Disability. Notwithstanding any such designation, the Executive shall continue to receive the Base Salary in accordance with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and to participate in Employee Benefit Plans in accordance with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 xml:space="preserve">, to the extent permitted by the then-current terms of the applicable Employee Benefit Plans, until the Executive becomes eligible for disability income benefits under the Company’s disability income plan, if any, or until the termination of the Executive’s employment, whichever shall first occur. If the Executive receives any disability income payments under the Company’s disability income plan, the Base Salary under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shall be reduced by the amount of such disability income. The Executive shall continue to participate in the Employee Benefit Plans in accordance with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 xml:space="preserve"> and to the extent permitted by and subject to the then-current terms of such Employee Benefit Plans, until the termination of the Executive’s employment hereunder.</w:t>
      </w:r>
    </w:p>
    <w:p>
      <w:pPr>
        <w:spacing w:after="0" w:line="187" w:lineRule="exact"/>
        <w:rPr>
          <w:rFonts w:ascii="Times New Roman" w:cs="Times New Roman" w:eastAsia="Times New Roman" w:hAnsi="Times New Roman"/>
          <w:sz w:val="22"/>
          <w:szCs w:val="22"/>
          <w:color w:val="010000"/>
        </w:rPr>
      </w:pPr>
    </w:p>
    <w:p>
      <w:pPr>
        <w:jc w:val="both"/>
        <w:ind w:firstLine="2592"/>
        <w:spacing w:after="0" w:line="248" w:lineRule="auto"/>
        <w:tabs>
          <w:tab w:leader="none" w:pos="3242" w:val="left"/>
        </w:tabs>
        <w:numPr>
          <w:ilvl w:val="2"/>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any question shall arise as to whether the Executive is disabled through any illness, injury, accident or condition of either a physical or psychological nature so as to be unable to perform substantially all of the Executive’s duties and responsibilities hereunder, the Executive may, and at the reasonable request of the Company shall, submit to a medical examination by a physician mutually agreed to by the Company and the Executive (or the Executive’s duly appointed guardian, if any), and such determination for the purposes of this Agreement shall be conclusive. If such question shall arise and the Executive shall fail to submit to such medical examination, the Company’s determination of the issue shall be binding on the Executive.</w:t>
      </w:r>
    </w:p>
    <w:p>
      <w:pPr>
        <w:spacing w:after="0" w:line="170" w:lineRule="exact"/>
        <w:rPr>
          <w:rFonts w:ascii="Times New Roman" w:cs="Times New Roman" w:eastAsia="Times New Roman" w:hAnsi="Times New Roman"/>
          <w:sz w:val="21"/>
          <w:szCs w:val="21"/>
          <w:color w:val="010000"/>
        </w:rPr>
      </w:pPr>
    </w:p>
    <w:p>
      <w:pPr>
        <w:jc w:val="both"/>
        <w:ind w:firstLine="1943"/>
        <w:spacing w:after="0" w:line="244" w:lineRule="auto"/>
        <w:tabs>
          <w:tab w:leader="none" w:pos="2593" w:val="left"/>
        </w:tabs>
        <w:numPr>
          <w:ilvl w:val="1"/>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By the Company for Cause</w:t>
      </w:r>
      <w:r>
        <w:rPr>
          <w:rFonts w:ascii="Times New Roman" w:cs="Times New Roman" w:eastAsia="Times New Roman" w:hAnsi="Times New Roman"/>
          <w:sz w:val="22"/>
          <w:szCs w:val="22"/>
          <w:color w:val="auto"/>
        </w:rPr>
        <w:t>. The Company may terminate the Executive’s employment hereunder for Cause at any time upon delivery of written notice to the Executive. The following, as determined in the Company’s reasonable discretion, shall constitute Cause for termination: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24" w:name="page125"/>
    <w:bookmarkEnd w:id="124"/>
    <w:p>
      <w:pPr>
        <w:ind w:firstLine="2602"/>
        <w:spacing w:after="0" w:line="258" w:lineRule="auto"/>
        <w:tabs>
          <w:tab w:leader="none" w:pos="3331"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failure to perform the Executive’s duties and responsibilities to the Company or any of its Affiliates that are consistent with Executive’s title and authorities;</w:t>
      </w:r>
    </w:p>
    <w:p>
      <w:pPr>
        <w:spacing w:after="0" w:line="158" w:lineRule="exact"/>
        <w:rPr>
          <w:rFonts w:ascii="Times New Roman" w:cs="Times New Roman" w:eastAsia="Times New Roman" w:hAnsi="Times New Roman"/>
          <w:sz w:val="22"/>
          <w:szCs w:val="22"/>
          <w:color w:val="010000"/>
        </w:rPr>
      </w:pPr>
    </w:p>
    <w:p>
      <w:pPr>
        <w:jc w:val="both"/>
        <w:ind w:firstLine="2602"/>
        <w:spacing w:after="0" w:line="244" w:lineRule="auto"/>
        <w:tabs>
          <w:tab w:leader="none" w:pos="3332"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material breach of any of the provisions of this Agreement or any other written agreement between the Executive and the Company or any of its Affiliates, resulting in material harm to the Company or any of its Affiliates; or</w:t>
      </w:r>
    </w:p>
    <w:p>
      <w:pPr>
        <w:spacing w:after="0" w:line="173" w:lineRule="exact"/>
        <w:rPr>
          <w:rFonts w:ascii="Times New Roman" w:cs="Times New Roman" w:eastAsia="Times New Roman" w:hAnsi="Times New Roman"/>
          <w:sz w:val="22"/>
          <w:szCs w:val="22"/>
          <w:color w:val="010000"/>
        </w:rPr>
      </w:pPr>
    </w:p>
    <w:p>
      <w:pPr>
        <w:ind w:firstLine="2602"/>
        <w:spacing w:after="0" w:line="258" w:lineRule="auto"/>
        <w:tabs>
          <w:tab w:leader="none" w:pos="3332"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material breach of any fiduciary duty that the Executive has to the Company or any of its Affiliates;</w:t>
      </w:r>
    </w:p>
    <w:p>
      <w:pPr>
        <w:spacing w:after="0" w:line="158" w:lineRule="exact"/>
        <w:rPr>
          <w:rFonts w:ascii="Times New Roman" w:cs="Times New Roman" w:eastAsia="Times New Roman" w:hAnsi="Times New Roman"/>
          <w:sz w:val="22"/>
          <w:szCs w:val="22"/>
          <w:color w:val="010000"/>
        </w:rPr>
      </w:pPr>
    </w:p>
    <w:p>
      <w:pPr>
        <w:jc w:val="both"/>
        <w:ind w:firstLine="2602"/>
        <w:spacing w:after="0" w:line="244" w:lineRule="auto"/>
        <w:tabs>
          <w:tab w:leader="none" w:pos="3331"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gross negligence, intentional misconduct or unethical or improper behavior by the Executive resulting in material harm to the business, interests or reputation of the Company or any of its Affiliates;</w:t>
      </w:r>
    </w:p>
    <w:p>
      <w:pPr>
        <w:spacing w:after="0" w:line="173" w:lineRule="exact"/>
        <w:rPr>
          <w:rFonts w:ascii="Times New Roman" w:cs="Times New Roman" w:eastAsia="Times New Roman" w:hAnsi="Times New Roman"/>
          <w:sz w:val="22"/>
          <w:szCs w:val="22"/>
          <w:color w:val="010000"/>
        </w:rPr>
      </w:pPr>
    </w:p>
    <w:p>
      <w:pPr>
        <w:ind w:firstLine="2602"/>
        <w:spacing w:after="0" w:line="258" w:lineRule="auto"/>
        <w:tabs>
          <w:tab w:leader="none" w:pos="3332"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intentional or willful failure to comply with applicable PACE, Medicare or Medicaid rules or regulations;</w:t>
      </w:r>
    </w:p>
    <w:p>
      <w:pPr>
        <w:spacing w:after="0" w:line="158" w:lineRule="exact"/>
        <w:rPr>
          <w:rFonts w:ascii="Times New Roman" w:cs="Times New Roman" w:eastAsia="Times New Roman" w:hAnsi="Times New Roman"/>
          <w:sz w:val="22"/>
          <w:szCs w:val="22"/>
          <w:color w:val="010000"/>
        </w:rPr>
      </w:pPr>
    </w:p>
    <w:p>
      <w:pPr>
        <w:ind w:firstLine="2602"/>
        <w:spacing w:after="0" w:line="258" w:lineRule="auto"/>
        <w:tabs>
          <w:tab w:leader="none" w:pos="3331"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failure to comply with the Company’s Code of Conduct or Corporate Compliance Program; involving moral turpitude; or</w:t>
      </w:r>
    </w:p>
    <w:p>
      <w:pPr>
        <w:spacing w:after="0" w:line="158" w:lineRule="exact"/>
        <w:rPr>
          <w:rFonts w:ascii="Times New Roman" w:cs="Times New Roman" w:eastAsia="Times New Roman" w:hAnsi="Times New Roman"/>
          <w:sz w:val="22"/>
          <w:szCs w:val="22"/>
          <w:color w:val="010000"/>
        </w:rPr>
      </w:pPr>
    </w:p>
    <w:p>
      <w:pPr>
        <w:ind w:left="3340" w:hanging="738"/>
        <w:spacing w:after="0"/>
        <w:tabs>
          <w:tab w:leader="none" w:pos="334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commission of a felony or any other crime</w:t>
      </w:r>
    </w:p>
    <w:p>
      <w:pPr>
        <w:spacing w:after="0" w:line="206" w:lineRule="exact"/>
        <w:rPr>
          <w:rFonts w:ascii="Times New Roman" w:cs="Times New Roman" w:eastAsia="Times New Roman" w:hAnsi="Times New Roman"/>
          <w:sz w:val="22"/>
          <w:szCs w:val="22"/>
          <w:color w:val="010000"/>
        </w:rPr>
      </w:pPr>
    </w:p>
    <w:p>
      <w:pPr>
        <w:jc w:val="both"/>
        <w:ind w:firstLine="2602"/>
        <w:spacing w:after="0" w:line="244" w:lineRule="auto"/>
        <w:tabs>
          <w:tab w:leader="none" w:pos="3331"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Executive’s commission of conduct involving fraud, embezzlement, sexual harassment, material misappropriation of property or other substantial misconduct with respect to the Company or any of its Affiliates.</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Any termination of the Executive’s employment for bases set forth in clauses (i) - (iii) and (vi) shall not constitute a termination for Cause unless the Company shall have provided written notice to the Executive no later than fifteen (15) days after the Board first obtained actual knowledge of the Executive’s act or omission constituting Cause, setting forth in reasonable detail such acts or omissions, and the Executive shall have failed to cure (to the extent capable of cure) such acts or omissions within fifteen (15) days following receipt of written notice. In the event of a termination of the Executive’s employment hereunder for Cause, the Company shall have no further obligation or liability to the Executive under this Agreement, other than for any Final Compensation (excluding the Prior Year Bonus) due to the Executive. Other than business expenses described in </w:t>
      </w:r>
      <w:r>
        <w:rPr>
          <w:rFonts w:ascii="Times New Roman" w:cs="Times New Roman" w:eastAsia="Times New Roman" w:hAnsi="Times New Roman"/>
          <w:sz w:val="22"/>
          <w:szCs w:val="22"/>
          <w:u w:val="single" w:color="auto"/>
          <w:color w:val="auto"/>
        </w:rPr>
        <w:t>Section 5(a)(iii)</w:t>
      </w:r>
      <w:r>
        <w:rPr>
          <w:rFonts w:ascii="Times New Roman" w:cs="Times New Roman" w:eastAsia="Times New Roman" w:hAnsi="Times New Roman"/>
          <w:sz w:val="22"/>
          <w:szCs w:val="22"/>
          <w:color w:val="auto"/>
        </w:rPr>
        <w:t>, Final Compensation shall be paid to the Executive at the time prescribed by applicable law and in all events within thirty (30) days following the date of termination of employment.</w:t>
      </w:r>
    </w:p>
    <w:p>
      <w:pPr>
        <w:spacing w:after="0" w:line="179" w:lineRule="exact"/>
        <w:rPr>
          <w:sz w:val="20"/>
          <w:szCs w:val="20"/>
          <w:color w:val="auto"/>
        </w:rPr>
      </w:pPr>
    </w:p>
    <w:p>
      <w:pPr>
        <w:jc w:val="both"/>
        <w:ind w:firstLine="1952"/>
        <w:spacing w:after="0" w:line="249" w:lineRule="auto"/>
        <w:tabs>
          <w:tab w:leader="none" w:pos="2684" w:val="left"/>
        </w:tabs>
        <w:numPr>
          <w:ilvl w:val="0"/>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By the Company Other Than for Cause</w:t>
      </w:r>
      <w:r>
        <w:rPr>
          <w:rFonts w:ascii="Times New Roman" w:cs="Times New Roman" w:eastAsia="Times New Roman" w:hAnsi="Times New Roman"/>
          <w:sz w:val="21"/>
          <w:szCs w:val="21"/>
          <w:color w:val="auto"/>
        </w:rPr>
        <w:t>. The Company may terminate the Executive’s employment hereunder other than for Cause at any time upon thirty (30) days’ prior written notice to the Executive. If the Company terminates the Executive’s employment other than for Cause after the Effective Date, then in addition to any Final Compensation due to the Executive, the Company will (i) pay to the Executive severance pay, at the same rate as the Base Salary, for a period of twelve (12) months following the date of termination of the Executive’s employment, (ii) pay to the Executive an amount equal to the Executive’s Target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5" w:name="page126"/>
    <w:bookmarkEnd w:id="125"/>
    <w:p>
      <w:pPr>
        <w:jc w:val="both"/>
        <w:spacing w:after="0" w:line="255" w:lineRule="auto"/>
        <w:rPr>
          <w:sz w:val="20"/>
          <w:szCs w:val="20"/>
          <w:color w:val="auto"/>
        </w:rPr>
      </w:pPr>
      <w:r>
        <w:rPr>
          <w:rFonts w:ascii="Times New Roman" w:cs="Times New Roman" w:eastAsia="Times New Roman" w:hAnsi="Times New Roman"/>
          <w:sz w:val="20"/>
          <w:szCs w:val="20"/>
          <w:color w:val="auto"/>
        </w:rPr>
        <w:t>Bonus (clauses (i) and (ii), collectively, the “</w:t>
      </w:r>
      <w:r>
        <w:rPr>
          <w:rFonts w:ascii="Times New Roman" w:cs="Times New Roman" w:eastAsia="Times New Roman" w:hAnsi="Times New Roman"/>
          <w:sz w:val="20"/>
          <w:szCs w:val="20"/>
          <w:u w:val="single" w:color="auto"/>
          <w:color w:val="auto"/>
        </w:rPr>
        <w:t>Severance Payments</w:t>
      </w:r>
      <w:r>
        <w:rPr>
          <w:rFonts w:ascii="Times New Roman" w:cs="Times New Roman" w:eastAsia="Times New Roman" w:hAnsi="Times New Roman"/>
          <w:sz w:val="20"/>
          <w:szCs w:val="20"/>
          <w:color w:val="auto"/>
        </w:rPr>
        <w:t>”) and (iii) continue to pay, on the Executive’s behalf, the premiums required to be paid for the Executive’s continued participation in the Company’s health care benefit plan, including existing spousal or family health care coverage, if selected, for a period of twelve (12) months following termination, unless the Executive becomes employed by another company and eligible for coverage under such company’s group health care plans, and in such instance, future payment for the health insurance premiums will cease (the “</w:t>
      </w:r>
      <w:r>
        <w:rPr>
          <w:rFonts w:ascii="Times New Roman" w:cs="Times New Roman" w:eastAsia="Times New Roman" w:hAnsi="Times New Roman"/>
          <w:sz w:val="20"/>
          <w:szCs w:val="20"/>
          <w:u w:val="single" w:color="auto"/>
          <w:color w:val="auto"/>
        </w:rPr>
        <w:t>Healthcare Payments</w:t>
      </w:r>
      <w:r>
        <w:rPr>
          <w:rFonts w:ascii="Times New Roman" w:cs="Times New Roman" w:eastAsia="Times New Roman" w:hAnsi="Times New Roman"/>
          <w:sz w:val="20"/>
          <w:szCs w:val="20"/>
          <w:color w:val="auto"/>
        </w:rPr>
        <w:t>” and, collectively with the Severance Payments, the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xml:space="preserve">”). Other than business expenses described in </w:t>
      </w:r>
      <w:r>
        <w:rPr>
          <w:rFonts w:ascii="Times New Roman" w:cs="Times New Roman" w:eastAsia="Times New Roman" w:hAnsi="Times New Roman"/>
          <w:sz w:val="20"/>
          <w:szCs w:val="20"/>
          <w:u w:val="single" w:color="auto"/>
          <w:color w:val="auto"/>
        </w:rPr>
        <w:t>Section 5(a)(iii)</w:t>
      </w:r>
      <w:r>
        <w:rPr>
          <w:rFonts w:ascii="Times New Roman" w:cs="Times New Roman" w:eastAsia="Times New Roman" w:hAnsi="Times New Roman"/>
          <w:sz w:val="20"/>
          <w:szCs w:val="20"/>
          <w:color w:val="auto"/>
        </w:rPr>
        <w:t xml:space="preserve">, Final Compensation shall be paid to the Executive at the time prescribed by applicable law and in all events within thirty (30) days following the date of termination of employment. Any obligation of the Company to provide the Severance Benefits is conditioned, however, on the Executive signing and returning to the Company (without revoking) a timely and effective general release of claims in substantially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Release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all of which (including the lapse of the period for revoking the Release of Claims as specified in the Release of Claims) shall have occurred no later than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following the date of termination, and on the Executive’s continued compliance with the obligations of the Executive to the Company and its Affiliates that survive termination of the Executive’s employment, including, without limitation, under </w:t>
      </w:r>
      <w:r>
        <w:rPr>
          <w:rFonts w:ascii="Times New Roman" w:cs="Times New Roman" w:eastAsia="Times New Roman" w:hAnsi="Times New Roman"/>
          <w:sz w:val="20"/>
          <w:szCs w:val="20"/>
          <w:u w:val="single" w:color="auto"/>
          <w:color w:val="auto"/>
        </w:rPr>
        <w:t>Sections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of this Agreement. Subject to </w:t>
      </w:r>
      <w:r>
        <w:rPr>
          <w:rFonts w:ascii="Times New Roman" w:cs="Times New Roman" w:eastAsia="Times New Roman" w:hAnsi="Times New Roman"/>
          <w:sz w:val="20"/>
          <w:szCs w:val="20"/>
          <w:u w:val="single" w:color="auto"/>
          <w:color w:val="auto"/>
        </w:rPr>
        <w:t>Section 5(g)</w:t>
      </w:r>
      <w:r>
        <w:rPr>
          <w:rFonts w:ascii="Times New Roman" w:cs="Times New Roman" w:eastAsia="Times New Roman" w:hAnsi="Times New Roman"/>
          <w:sz w:val="20"/>
          <w:szCs w:val="20"/>
          <w:color w:val="auto"/>
        </w:rPr>
        <w:t xml:space="preserve"> below, (A) the Severance Payments to which the Executive is entitled hereunder shall be payable in accordance with the normal payroll practices of the Company, and (B) the Healthcare Payments shall be paid monthly, and in both cases of (A) and (B), with the first payment, which shall be retroactive to the day immediately following the date on which the Executive’s employment terminated, being due and payable on the Company’s next regular payday for executives that follows the expiration of sixty (60) calendar days from the date on which the Executive’s employment terminates. Notwithstanding the foregoing, in the event the Healthcare Payments would, in the determination of the Board or its delegate, subject the Executive, the Company or any of its Affiliates to any tax or penalty under the Patient Protection and Affordable Care Act (as amended from time to time, the “</w:t>
      </w:r>
      <w:r>
        <w:rPr>
          <w:rFonts w:ascii="Times New Roman" w:cs="Times New Roman" w:eastAsia="Times New Roman" w:hAnsi="Times New Roman"/>
          <w:sz w:val="20"/>
          <w:szCs w:val="20"/>
          <w:u w:val="single" w:color="auto"/>
          <w:color w:val="auto"/>
        </w:rPr>
        <w:t>ACA</w:t>
      </w:r>
      <w:r>
        <w:rPr>
          <w:rFonts w:ascii="Times New Roman" w:cs="Times New Roman" w:eastAsia="Times New Roman" w:hAnsi="Times New Roman"/>
          <w:sz w:val="20"/>
          <w:szCs w:val="20"/>
          <w:color w:val="auto"/>
        </w:rPr>
        <w:t>”) or Section 105(h) of the Internal Revenue Code of 1986, as amended (“</w:t>
      </w:r>
      <w:r>
        <w:rPr>
          <w:rFonts w:ascii="Times New Roman" w:cs="Times New Roman" w:eastAsia="Times New Roman" w:hAnsi="Times New Roman"/>
          <w:sz w:val="20"/>
          <w:szCs w:val="20"/>
          <w:u w:val="single" w:color="auto"/>
          <w:color w:val="auto"/>
        </w:rPr>
        <w:t>Section 105(h)</w:t>
      </w:r>
      <w:r>
        <w:rPr>
          <w:rFonts w:ascii="Times New Roman" w:cs="Times New Roman" w:eastAsia="Times New Roman" w:hAnsi="Times New Roman"/>
          <w:sz w:val="20"/>
          <w:szCs w:val="20"/>
          <w:color w:val="auto"/>
        </w:rPr>
        <w:t>”), or applicable regulations or guidance issued under the ACA or Section 105(h), the Healthcare Payments shall be treated as taxable payments and be subject to imputed income tax treatment to the extent necessary to eliminate any such adverse consequences under the ACA or Section 105(h).</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1953"/>
        <w:spacing w:after="0" w:line="235" w:lineRule="auto"/>
        <w:tabs>
          <w:tab w:leader="none" w:pos="2684"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By the Executive for Good Reason</w:t>
      </w:r>
      <w:r>
        <w:rPr>
          <w:rFonts w:ascii="Times New Roman" w:cs="Times New Roman" w:eastAsia="Times New Roman" w:hAnsi="Times New Roman"/>
          <w:sz w:val="22"/>
          <w:szCs w:val="22"/>
          <w:color w:val="auto"/>
        </w:rPr>
        <w:t>. The Executive may terminate the Executive’s employment hereunder for Good Reason by providing (1) written notice to the Company, specifying in reasonable detail the condition giving rise to the Good Reason, no later than the thirtieth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following the first occurrence of that condition, and (2) the Company a period of thirty (30) days in which to remedy the condition in all material respects. The Executive’s termination of employment for Good Reason will be effective on the thirty-first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calendar day following the expiration of the Company’s period to remedy, if the Company has failed to remedy the condition in all material respects. The following, if occurring without the Executive’s written consent, shall constitute “Good Reason” for termination by the Executive:</w:t>
      </w:r>
    </w:p>
    <w:p>
      <w:pPr>
        <w:spacing w:after="0" w:line="178" w:lineRule="exact"/>
        <w:rPr>
          <w:rFonts w:ascii="Times New Roman" w:cs="Times New Roman" w:eastAsia="Times New Roman" w:hAnsi="Times New Roman"/>
          <w:sz w:val="22"/>
          <w:szCs w:val="22"/>
          <w:color w:val="010000"/>
        </w:rPr>
      </w:pPr>
    </w:p>
    <w:p>
      <w:pPr>
        <w:ind w:left="3340" w:hanging="738"/>
        <w:spacing w:after="0"/>
        <w:tabs>
          <w:tab w:leader="none" w:pos="3340"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the Executive’s Base Salary (unless such reduction</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affects all similarly situated employees of the Company on a proportionate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6" w:name="page127"/>
    <w:bookmarkEnd w:id="126"/>
    <w:p>
      <w:pPr>
        <w:jc w:val="both"/>
        <w:ind w:firstLine="2602"/>
        <w:spacing w:after="0" w:line="236" w:lineRule="auto"/>
        <w:tabs>
          <w:tab w:leader="none" w:pos="3332"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requirement that the Executive relocate more than fifty (50) miles from the location where the Executive is providing services. For the sake of clarity, a relocation shall not include: (A) the Executive’s reasonable and necessary business travel in the course of performing the Executive’s duties for the Company or any of its Affiliates, or (B) the Executive working remotely in another location for any given period of time provided, that, the Executive otherwise remains available during business hours and fulfills all of the Executive’s duties and obligations hereunder;</w:t>
      </w:r>
    </w:p>
    <w:p>
      <w:pPr>
        <w:spacing w:after="0" w:line="181" w:lineRule="exact"/>
        <w:rPr>
          <w:rFonts w:ascii="Times New Roman" w:cs="Times New Roman" w:eastAsia="Times New Roman" w:hAnsi="Times New Roman"/>
          <w:sz w:val="22"/>
          <w:szCs w:val="22"/>
          <w:color w:val="010000"/>
        </w:rPr>
      </w:pPr>
    </w:p>
    <w:p>
      <w:pPr>
        <w:ind w:left="3340" w:hanging="738"/>
        <w:spacing w:after="0"/>
        <w:tabs>
          <w:tab w:leader="none" w:pos="3340"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diminution in the nature or scope of the Executive’s duties,</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authority and/or responsibilities; or</w:t>
      </w:r>
    </w:p>
    <w:p>
      <w:pPr>
        <w:spacing w:after="0" w:line="182" w:lineRule="exact"/>
        <w:rPr>
          <w:rFonts w:ascii="Times New Roman" w:cs="Times New Roman" w:eastAsia="Times New Roman" w:hAnsi="Times New Roman"/>
          <w:sz w:val="22"/>
          <w:szCs w:val="22"/>
          <w:color w:val="010000"/>
        </w:rPr>
      </w:pPr>
    </w:p>
    <w:p>
      <w:pPr>
        <w:ind w:left="3340" w:hanging="738"/>
        <w:spacing w:after="0"/>
        <w:tabs>
          <w:tab w:leader="none" w:pos="3340"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breach by the Company of (A) any of the terms of this</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Agreement or (B) any other material written agreement between the Company and the Executive.</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In the event of termination of the Executive’s employment in accordance with this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xml:space="preserve">, the Executive will be entitled to all amounts the Executive would have been entitled to receive had the Executive’s employment been terminated by the Company other than for Cause pursuant to </w:t>
      </w:r>
      <w:r>
        <w:rPr>
          <w:rFonts w:ascii="Times New Roman" w:cs="Times New Roman" w:eastAsia="Times New Roman" w:hAnsi="Times New Roman"/>
          <w:sz w:val="22"/>
          <w:szCs w:val="22"/>
          <w:u w:val="single" w:color="auto"/>
          <w:color w:val="auto"/>
        </w:rPr>
        <w:t>Section 5(d)</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signs and returns (without revoking) a timely and effective Release of Claims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5(d)</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953"/>
        <w:spacing w:after="0" w:line="235" w:lineRule="auto"/>
        <w:tabs>
          <w:tab w:leader="none" w:pos="2684"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By the Executive without Good Reason</w:t>
      </w:r>
      <w:r>
        <w:rPr>
          <w:rFonts w:ascii="Times New Roman" w:cs="Times New Roman" w:eastAsia="Times New Roman" w:hAnsi="Times New Roman"/>
          <w:sz w:val="22"/>
          <w:szCs w:val="22"/>
          <w:color w:val="auto"/>
        </w:rPr>
        <w:t xml:space="preserve">. The Executive may terminate the Executive’s employment hereunder without Good Reason at any time upon sixty (60) days’ prior written notice to the Company. In the event of termination of the Executive’s employment in accordance with this </w:t>
      </w:r>
      <w:r>
        <w:rPr>
          <w:rFonts w:ascii="Times New Roman" w:cs="Times New Roman" w:eastAsia="Times New Roman" w:hAnsi="Times New Roman"/>
          <w:sz w:val="22"/>
          <w:szCs w:val="22"/>
          <w:u w:val="single" w:color="auto"/>
          <w:color w:val="auto"/>
        </w:rPr>
        <w:t>Section 5(f)</w:t>
      </w:r>
      <w:r>
        <w:rPr>
          <w:rFonts w:ascii="Times New Roman" w:cs="Times New Roman" w:eastAsia="Times New Roman" w:hAnsi="Times New Roman"/>
          <w:sz w:val="22"/>
          <w:szCs w:val="22"/>
          <w:color w:val="auto"/>
        </w:rPr>
        <w:t xml:space="preserve">, the Chief Executive Officer may elect to waive the period of notice, or any portion thereof, and, if the Chief Executive Officer so elects, the Company will pay the Executive the Base Salary for the period so waived. The Company shall also pay the Executive any Final Compensation due to the Executive (other than business expenses described in </w:t>
      </w:r>
      <w:r>
        <w:rPr>
          <w:rFonts w:ascii="Times New Roman" w:cs="Times New Roman" w:eastAsia="Times New Roman" w:hAnsi="Times New Roman"/>
          <w:sz w:val="22"/>
          <w:szCs w:val="22"/>
          <w:u w:val="single" w:color="auto"/>
          <w:color w:val="auto"/>
        </w:rPr>
        <w:t>Section 5(a)(iii)</w:t>
      </w:r>
      <w:r>
        <w:rPr>
          <w:rFonts w:ascii="Times New Roman" w:cs="Times New Roman" w:eastAsia="Times New Roman" w:hAnsi="Times New Roman"/>
          <w:sz w:val="22"/>
          <w:szCs w:val="22"/>
          <w:color w:val="auto"/>
        </w:rPr>
        <w:t>) at the time prescribed by applicable law and in all events within thirty (30) days following the date of the termination of employment.</w:t>
      </w:r>
    </w:p>
    <w:p>
      <w:pPr>
        <w:spacing w:after="0" w:line="178" w:lineRule="exact"/>
        <w:rPr>
          <w:rFonts w:ascii="Times New Roman" w:cs="Times New Roman" w:eastAsia="Times New Roman" w:hAnsi="Times New Roman"/>
          <w:sz w:val="22"/>
          <w:szCs w:val="22"/>
          <w:color w:val="010000"/>
        </w:rPr>
      </w:pPr>
    </w:p>
    <w:p>
      <w:pPr>
        <w:ind w:left="2700" w:hanging="747"/>
        <w:spacing w:after="0"/>
        <w:tabs>
          <w:tab w:leader="none" w:pos="2700"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Timing of Payments and 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jc w:val="both"/>
        <w:ind w:firstLine="2600"/>
        <w:spacing w:after="0" w:line="233" w:lineRule="auto"/>
        <w:tabs>
          <w:tab w:leader="none" w:pos="3332"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in this Agreement, if, at the time of the Executive’s termination of employment, the Executive is a “specified employee,” as defined below, any and all amounts payable under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on account of such separation from service that constitute deferred compensation, and would (but for this provision) be payable within six (6) months following the date of termination, shall instead be paid on the next business day following the expiration of such six (6)-month period or, if earlier, upon the Executive’s death; except (A) with respect to any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that qualify as excepted welfare benefits pursuant to Treasury Regulation Section 1.409A-1(a)(5); and (C) other amounts or benefits that are not subject to the requirements of Section 409A of the Internal Revenue Code of 1986, as amended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7" w:name="page128"/>
    <w:bookmarkEnd w:id="127"/>
    <w:p>
      <w:pPr>
        <w:ind w:left="3340" w:hanging="738"/>
        <w:spacing w:after="0"/>
        <w:tabs>
          <w:tab w:leader="none" w:pos="3340"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is intended to either comply with, or be exempt from,</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409A, and this Agreement shall be construed and administered in accordance with such intent.</w:t>
      </w:r>
    </w:p>
    <w:p>
      <w:pPr>
        <w:spacing w:after="0" w:line="182" w:lineRule="exact"/>
        <w:rPr>
          <w:rFonts w:ascii="Times New Roman" w:cs="Times New Roman" w:eastAsia="Times New Roman" w:hAnsi="Times New Roman"/>
          <w:sz w:val="22"/>
          <w:szCs w:val="22"/>
          <w:color w:val="010000"/>
        </w:rPr>
      </w:pPr>
    </w:p>
    <w:p>
      <w:pPr>
        <w:jc w:val="both"/>
        <w:ind w:firstLine="2602"/>
        <w:spacing w:after="0" w:line="236" w:lineRule="auto"/>
        <w:tabs>
          <w:tab w:leader="none" w:pos="3332"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Agreement and solely to the extent that Section 409A applies to compensation or a benefit,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81" w:lineRule="exact"/>
        <w:rPr>
          <w:rFonts w:ascii="Times New Roman" w:cs="Times New Roman" w:eastAsia="Times New Roman" w:hAnsi="Times New Roman"/>
          <w:sz w:val="22"/>
          <w:szCs w:val="22"/>
          <w:color w:val="010000"/>
        </w:rPr>
      </w:pPr>
    </w:p>
    <w:p>
      <w:pPr>
        <w:jc w:val="both"/>
        <w:ind w:firstLine="2602"/>
        <w:spacing w:after="0" w:line="244" w:lineRule="auto"/>
        <w:tabs>
          <w:tab w:leader="none" w:pos="3331"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payment made under this Agreement shall be treated as a separate payment, and the right to a series of installment payments under this Agreement is to be treated as a right to a series of separate payments.</w:t>
      </w:r>
    </w:p>
    <w:p>
      <w:pPr>
        <w:spacing w:after="0" w:line="173" w:lineRule="exact"/>
        <w:rPr>
          <w:rFonts w:ascii="Times New Roman" w:cs="Times New Roman" w:eastAsia="Times New Roman" w:hAnsi="Times New Roman"/>
          <w:sz w:val="22"/>
          <w:szCs w:val="22"/>
          <w:color w:val="010000"/>
        </w:rPr>
      </w:pPr>
    </w:p>
    <w:p>
      <w:pPr>
        <w:jc w:val="both"/>
        <w:ind w:firstLine="2602"/>
        <w:spacing w:after="0" w:line="235" w:lineRule="auto"/>
        <w:tabs>
          <w:tab w:leader="none" w:pos="3332"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payment of, or reimbursement for, expenses that would constitute nonqualified deferred compensation subject to Section 409A shall be subject to the following additional rules: (A) no reimbursement or payment of any such expense shall affect the Executive’s right to reimbursement or payment of any such expense in any other calendar year; (B) reimbursement or payment of the expense shall be made, if at all, promptly, but not later than the end of the calendar year following the calendar year in which the expense was incurred; and (C) the right to reimbursement or payment shall not be subject to liquidation or exchange for any other benefit.</w:t>
      </w:r>
    </w:p>
    <w:p>
      <w:pPr>
        <w:spacing w:after="0" w:line="183" w:lineRule="exact"/>
        <w:rPr>
          <w:rFonts w:ascii="Times New Roman" w:cs="Times New Roman" w:eastAsia="Times New Roman" w:hAnsi="Times New Roman"/>
          <w:sz w:val="22"/>
          <w:szCs w:val="22"/>
          <w:color w:val="010000"/>
        </w:rPr>
      </w:pPr>
    </w:p>
    <w:p>
      <w:pPr>
        <w:jc w:val="both"/>
        <w:ind w:firstLine="2602"/>
        <w:spacing w:after="0" w:line="255" w:lineRule="auto"/>
        <w:tabs>
          <w:tab w:leader="none" w:pos="3331" w:val="left"/>
        </w:tabs>
        <w:numPr>
          <w:ilvl w:val="1"/>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of any change in the payroll schedule of the Company, each installment or payment to be made under this Agreement shall be made (according to such new payroll schedule) within thirty (30) days of the payroll date that would apply pursuant to the payroll schedule in effect on the Effective Date to the extent necessary to avoid a violation of applicable requirements under Section 409A.</w:t>
      </w:r>
    </w:p>
    <w:p>
      <w:pPr>
        <w:spacing w:after="0" w:line="161" w:lineRule="exact"/>
        <w:rPr>
          <w:rFonts w:ascii="Times New Roman" w:cs="Times New Roman" w:eastAsia="Times New Roman" w:hAnsi="Times New Roman"/>
          <w:sz w:val="21"/>
          <w:szCs w:val="21"/>
          <w:color w:val="010000"/>
        </w:rPr>
      </w:pPr>
    </w:p>
    <w:p>
      <w:pPr>
        <w:jc w:val="both"/>
        <w:ind w:firstLine="2602"/>
        <w:spacing w:after="0" w:line="236" w:lineRule="auto"/>
        <w:tabs>
          <w:tab w:leader="none" w:pos="3332"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the Company or the Executive determines that any compensation or benefit payable hereunder may violate applicable requirements of Section 409A, the Company and the Executive shall cooperate in good faith to amend this Agreement or take any other actions as are necessary or appropriate for such compensation or benefit to either (A) be exempt from the requirements of Section 409A or (B) comply with the applicable requirements of Section 409A; provided, that, no such amendment will be made to the extent it would result in an increased cost to the Company.</w:t>
      </w:r>
    </w:p>
    <w:p>
      <w:pPr>
        <w:spacing w:after="0" w:line="181" w:lineRule="exact"/>
        <w:rPr>
          <w:rFonts w:ascii="Times New Roman" w:cs="Times New Roman" w:eastAsia="Times New Roman" w:hAnsi="Times New Roman"/>
          <w:sz w:val="22"/>
          <w:szCs w:val="22"/>
          <w:color w:val="010000"/>
        </w:rPr>
      </w:pPr>
    </w:p>
    <w:p>
      <w:pPr>
        <w:jc w:val="both"/>
        <w:ind w:firstLine="2602"/>
        <w:spacing w:after="0" w:line="244" w:lineRule="auto"/>
        <w:tabs>
          <w:tab w:leader="none" w:pos="3331"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no event shall the Company have any liability relating to the failure or alleged failure of any payment or benefit under this Agreement to comply with, or be exempt from, the requirements of Section 409A.</w:t>
      </w:r>
    </w:p>
    <w:p>
      <w:pPr>
        <w:spacing w:after="0" w:line="173" w:lineRule="exact"/>
        <w:rPr>
          <w:rFonts w:ascii="Times New Roman" w:cs="Times New Roman" w:eastAsia="Times New Roman" w:hAnsi="Times New Roman"/>
          <w:sz w:val="22"/>
          <w:szCs w:val="22"/>
          <w:color w:val="010000"/>
        </w:rPr>
      </w:pPr>
    </w:p>
    <w:p>
      <w:pPr>
        <w:jc w:val="both"/>
        <w:ind w:firstLine="1952"/>
        <w:spacing w:after="0" w:line="238" w:lineRule="auto"/>
        <w:tabs>
          <w:tab w:leader="none" w:pos="2684"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Exclusive Right to Severance</w:t>
      </w:r>
      <w:r>
        <w:rPr>
          <w:rFonts w:ascii="Times New Roman" w:cs="Times New Roman" w:eastAsia="Times New Roman" w:hAnsi="Times New Roman"/>
          <w:sz w:val="22"/>
          <w:szCs w:val="22"/>
          <w:color w:val="auto"/>
        </w:rPr>
        <w:t>. The Executive agrees that the Severance Benefits to be provided to the Executive in accordance with the terms and conditions set forth in this Agreement are intended to be exclusive. The Executive hereby knowingly and voluntarily waives any right the Executive might otherwise have to participate in or receive payments or benefits under any other plan, program or policy of the Company providing for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8" w:name="page129"/>
    <w:bookmarkEnd w:id="128"/>
    <w:p>
      <w:pPr>
        <w:jc w:val="both"/>
        <w:spacing w:after="0" w:line="244" w:lineRule="auto"/>
        <w:rPr>
          <w:sz w:val="20"/>
          <w:szCs w:val="20"/>
          <w:color w:val="auto"/>
        </w:rPr>
      </w:pPr>
      <w:r>
        <w:rPr>
          <w:rFonts w:ascii="Times New Roman" w:cs="Times New Roman" w:eastAsia="Times New Roman" w:hAnsi="Times New Roman"/>
          <w:sz w:val="22"/>
          <w:szCs w:val="22"/>
          <w:color w:val="auto"/>
        </w:rPr>
        <w:t>severance or termination pay or other termination benefits (other than any benefits payable pursuant to a long-term disability or other similar insurance program, which shall be governed by the terms and provisions of the applicable plan or program).</w:t>
      </w:r>
    </w:p>
    <w:p>
      <w:pPr>
        <w:spacing w:after="0" w:line="173" w:lineRule="exact"/>
        <w:rPr>
          <w:sz w:val="20"/>
          <w:szCs w:val="20"/>
          <w:color w:val="auto"/>
        </w:rPr>
      </w:pPr>
    </w:p>
    <w:p>
      <w:pPr>
        <w:ind w:right="20" w:firstLine="1305"/>
        <w:spacing w:after="0" w:line="258" w:lineRule="auto"/>
        <w:tabs>
          <w:tab w:leader="none" w:pos="2036"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apply to any termination of the Executive’s employment under this Agreement, whether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or otherwise.</w:t>
      </w:r>
    </w:p>
    <w:p>
      <w:pPr>
        <w:spacing w:after="0" w:line="158" w:lineRule="exact"/>
        <w:rPr>
          <w:rFonts w:ascii="Times New Roman" w:cs="Times New Roman" w:eastAsia="Times New Roman" w:hAnsi="Times New Roman"/>
          <w:sz w:val="22"/>
          <w:szCs w:val="22"/>
          <w:color w:val="010000"/>
        </w:rPr>
      </w:pPr>
    </w:p>
    <w:p>
      <w:pPr>
        <w:jc w:val="both"/>
        <w:ind w:firstLine="1953"/>
        <w:spacing w:after="0" w:line="244" w:lineRule="auto"/>
        <w:tabs>
          <w:tab w:leader="none" w:pos="2684" w:val="left"/>
        </w:tabs>
        <w:numPr>
          <w:ilvl w:val="1"/>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Provision by the Company of Final Compensation and Severance Benefits, if any, that are due to the Executive, in each case, under the applicable termination provisions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shall constitute the entire obligation of the Company to the Executive under this Agreement.</w:t>
      </w:r>
    </w:p>
    <w:p>
      <w:pPr>
        <w:spacing w:after="0" w:line="173" w:lineRule="exact"/>
        <w:rPr>
          <w:rFonts w:ascii="Times New Roman" w:cs="Times New Roman" w:eastAsia="Times New Roman" w:hAnsi="Times New Roman"/>
          <w:sz w:val="22"/>
          <w:szCs w:val="22"/>
          <w:color w:val="010000"/>
        </w:rPr>
      </w:pPr>
    </w:p>
    <w:p>
      <w:pPr>
        <w:jc w:val="both"/>
        <w:ind w:firstLine="1953"/>
        <w:spacing w:after="0" w:line="236" w:lineRule="auto"/>
        <w:tabs>
          <w:tab w:leader="none" w:pos="2684" w:val="left"/>
        </w:tabs>
        <w:numPr>
          <w:ilvl w:val="1"/>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for any right of the Executive to continue group health plan participation in accordance with applicable law, the Executive’s participation in all Employee Benefit Plans shall terminate pursuant to the terms of the applicable Employee Benefit Plan documents based on the date of termination of the Executive’s employment, without regard to any Base Salary for notice waived pursuant to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xml:space="preserve"> hereof or to any Severance Benefits or other payment made to or on behalf of the Executive following such termination date.</w:t>
      </w:r>
    </w:p>
    <w:p>
      <w:pPr>
        <w:spacing w:after="0" w:line="181" w:lineRule="exact"/>
        <w:rPr>
          <w:rFonts w:ascii="Times New Roman" w:cs="Times New Roman" w:eastAsia="Times New Roman" w:hAnsi="Times New Roman"/>
          <w:sz w:val="22"/>
          <w:szCs w:val="22"/>
          <w:color w:val="010000"/>
        </w:rPr>
      </w:pPr>
    </w:p>
    <w:p>
      <w:pPr>
        <w:jc w:val="both"/>
        <w:ind w:firstLine="1953"/>
        <w:spacing w:after="0" w:line="236" w:lineRule="auto"/>
        <w:tabs>
          <w:tab w:leader="none" w:pos="2684" w:val="left"/>
        </w:tabs>
        <w:numPr>
          <w:ilvl w:val="1"/>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Provisions of this Agreement shall survive any termination of the Executive’s employment if so provided herein or if necessary or desirable fully to accomplish the purposes of other surviving provisions, including, without limitation, the obligations of the Executive under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The obligation of the Company to provide Severance Benefits hereunder, and the Executive’s right to retain such payments, is expressly conditioned on the Executive’s continued performance in accordance with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w:t>
      </w:r>
    </w:p>
    <w:p>
      <w:pPr>
        <w:spacing w:after="0" w:line="181" w:lineRule="exact"/>
        <w:rPr>
          <w:rFonts w:ascii="Times New Roman" w:cs="Times New Roman" w:eastAsia="Times New Roman" w:hAnsi="Times New Roman"/>
          <w:sz w:val="22"/>
          <w:szCs w:val="22"/>
          <w:color w:val="010000"/>
        </w:rPr>
      </w:pPr>
    </w:p>
    <w:p>
      <w:pPr>
        <w:ind w:left="2040" w:hanging="735"/>
        <w:spacing w:after="0"/>
        <w:tabs>
          <w:tab w:leader="none" w:pos="2040"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jc w:val="both"/>
        <w:ind w:firstLine="1953"/>
        <w:spacing w:after="0" w:line="232" w:lineRule="auto"/>
        <w:tabs>
          <w:tab w:leader="none" w:pos="2684" w:val="left"/>
        </w:tabs>
        <w:numPr>
          <w:ilvl w:val="1"/>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 acknowledges that the Company and its Affiliates continually develop Confidential Information, that the Executive will develop Confidential Information for the Company or its Affiliates and that the Executive will learn of Confidential Information during the course of the Executive’s employment. The Executive agrees that all Confidential Information which the Executive creates or to which the Executive has access as a result of the Executive’s employment or other associations with the Company or any of its Affiliates since the Effective Date is and shall remain the sole and exclusive property of the Company or its Affiliate, as applicable. The Executive shall comply with the policies and procedures of the Company and its Affiliates for protecting Confidential Information and shall never disclose to any Person (except as required by applicable law or for the proper performance of the Executive’s duties and responsibilities to the Company and its Affiliates), or use for the Executive’s own benefit or gain or the benefit or gain of any other Person, any Confidential Information obtained by the Executive incident to the Executive’s employment or any other association with the Company or any of its Affiliates. The Executive understands that this restriction shall continue to apply after the Executive’s employment terminates, regardless of the reason for such termination. Further, the Executive agrees to furnish prompt notice to the Company, to the extent permitted by applicable law, of any required disclosure of Confidential Information sought pursuant to subpoena, court order or any other legal process or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9" w:name="page130"/>
    <w:bookmarkEnd w:id="129"/>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and agrees to provide the Company a reasonable opportunity to seek protection of the Confidential Information prior to any such disclosure. The confidentiality obligation under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shall not apply to information that has become generally known through no wrongful act on the part of the Executive or any other Person having an obligation of confidentiality to the Company or any of its Affiliates. For the avoidance of doubt, the Executive acknowledges that nothing contained herein limits, restricts or in any other way affects the Executive’s communicating with any governmental agency or entity, or communicating with any official or staff person of a governmental agency or entity, concerning matters relevant to the governmental agency or entity.</w:t>
      </w:r>
    </w:p>
    <w:p>
      <w:pPr>
        <w:spacing w:after="0" w:line="170" w:lineRule="exact"/>
        <w:rPr>
          <w:sz w:val="20"/>
          <w:szCs w:val="20"/>
          <w:color w:val="auto"/>
        </w:rPr>
      </w:pPr>
    </w:p>
    <w:p>
      <w:pPr>
        <w:jc w:val="both"/>
        <w:ind w:firstLine="1953"/>
        <w:spacing w:after="0" w:line="232" w:lineRule="auto"/>
        <w:tabs>
          <w:tab w:leader="none" w:pos="2684"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documents, records, tapes and other media of every kind and description relating to the business, present or otherwise, of the Company or any of its Affiliates and any copies or derivatives (including, without limitation, electronic), in whole or in part, thereof (the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whether or not prepared by the Executive, shall be the sole and exclusive property of the Company and its Affiliates. Except as necessary for the proper performance of the Executive’s regular duties for the Company or as expressly authorized in writing in advance by the Company or its expressly authorized designee, the Executive will not copy any Documents or remove any Documents or copies or derivatives thereof from the premises of the Company. The Executive shall safeguard all Documents and shall surrender to the Company, at the time the Executive’s employment terminates, or at such earlier time or times as the Company or its designee may specify, all Documents and other property of the Company or any of its Affiliates and all documents, records and files of the customers and other Persons with whom the Company or any of its Affiliates does business (collectively, “</w:t>
      </w:r>
      <w:r>
        <w:rPr>
          <w:rFonts w:ascii="Times New Roman" w:cs="Times New Roman" w:eastAsia="Times New Roman" w:hAnsi="Times New Roman"/>
          <w:sz w:val="22"/>
          <w:szCs w:val="22"/>
          <w:u w:val="single" w:color="auto"/>
          <w:color w:val="auto"/>
        </w:rPr>
        <w:t>Third Party Documents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Third Party Document</w:t>
      </w:r>
      <w:r>
        <w:rPr>
          <w:rFonts w:ascii="Times New Roman" w:cs="Times New Roman" w:eastAsia="Times New Roman" w:hAnsi="Times New Roman"/>
          <w:sz w:val="22"/>
          <w:szCs w:val="22"/>
          <w:color w:val="auto"/>
        </w:rPr>
        <w:t xml:space="preserve">”) then in the Executive’s possession or control and not accessible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Document or Third-Party Document is on electronic media, the Executive may, in lieu of surrendering the Document or Third-Party Document, provide a copy to the Company on electronic media and delete and overwrite all other electronic media copies thereof. The Executive also agrees that, upon request of any duly authorized officer of the Company, the Executive shall disclose all passwords and passcodes necessary or desirable to enable the Company or any of its Affiliates or the Persons with whom the Company or any of its Affiliates do business to obtain access to the Documents and Third-Party Documents. Notwithstanding anything to the contrary in the foregoing, the Executive may retain the Executive’s personnel and compensation information following the termination of the Executive’s employment, subject to the confidentiality obligations hereunder.</w:t>
      </w:r>
    </w:p>
    <w:p>
      <w:pPr>
        <w:spacing w:after="0" w:line="183" w:lineRule="exact"/>
        <w:rPr>
          <w:rFonts w:ascii="Times New Roman" w:cs="Times New Roman" w:eastAsia="Times New Roman" w:hAnsi="Times New Roman"/>
          <w:sz w:val="22"/>
          <w:szCs w:val="22"/>
          <w:color w:val="010000"/>
        </w:rPr>
      </w:pPr>
    </w:p>
    <w:p>
      <w:pPr>
        <w:jc w:val="both"/>
        <w:ind w:firstLine="1952"/>
        <w:spacing w:after="0" w:line="233" w:lineRule="auto"/>
        <w:tabs>
          <w:tab w:leader="none" w:pos="2684"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0" w:name="page131"/>
    <w:bookmarkEnd w:id="130"/>
    <w:p>
      <w:pPr>
        <w:jc w:val="both"/>
        <w:ind w:firstLine="1296"/>
        <w:spacing w:after="0" w:line="233" w:lineRule="auto"/>
        <w:tabs>
          <w:tab w:leader="none" w:pos="1945"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Assignment of Rights to Intellectual Property</w:t>
      </w:r>
      <w:r>
        <w:rPr>
          <w:rFonts w:ascii="Times New Roman" w:cs="Times New Roman" w:eastAsia="Times New Roman" w:hAnsi="Times New Roman"/>
          <w:sz w:val="22"/>
          <w:szCs w:val="22"/>
          <w:color w:val="auto"/>
        </w:rPr>
        <w:t>.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(or as otherwise directed by the Company) and to permit the Company to enforce any patents, copyrights or other proprietary rights to the Intellectual Property. The Executive will not charge the Company for time spent in complying with these obligations but shall be reimbursed for reasonable expenses incurred in connection therewith, subject to the Company’s expense reimbursement policies as in effect from time to time. All copyrightable works that the Executive creates shall be considered “work made for hire” and shall, upon creation, be owned exclusively by the Company.</w:t>
      </w:r>
    </w:p>
    <w:p>
      <w:pPr>
        <w:spacing w:after="0" w:line="184" w:lineRule="exact"/>
        <w:rPr>
          <w:rFonts w:ascii="Times New Roman" w:cs="Times New Roman" w:eastAsia="Times New Roman" w:hAnsi="Times New Roman"/>
          <w:sz w:val="22"/>
          <w:szCs w:val="22"/>
          <w:color w:val="010000"/>
        </w:rPr>
      </w:pPr>
    </w:p>
    <w:p>
      <w:pPr>
        <w:jc w:val="both"/>
        <w:ind w:firstLine="1296"/>
        <w:spacing w:after="0" w:line="248" w:lineRule="auto"/>
        <w:tabs>
          <w:tab w:leader="none" w:pos="1945"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Restricted Activities</w:t>
      </w:r>
      <w:r>
        <w:rPr>
          <w:rFonts w:ascii="Times New Roman" w:cs="Times New Roman" w:eastAsia="Times New Roman" w:hAnsi="Times New Roman"/>
          <w:sz w:val="21"/>
          <w:szCs w:val="21"/>
          <w:color w:val="auto"/>
        </w:rPr>
        <w:t>. The Executive acknowledges and agrees that (1) the Executive is an executive or management employee of the Company and is provided access to the Company’s “Trade Secrets,” defined as the whole or any portion or phase of any scientific or technical information, design, process, procedure, formula, improvement, confidential business or financial information, listing of names, addresses, or telephone numbers, or other information relating to the Company which is secret and of value, and (2) the following restrictions on the Executive’s activities during and after employment with the Company are necessary to protect the Company’s Trade Secrets and other legitimate interests of the Company and its Affiliates:</w:t>
      </w:r>
    </w:p>
    <w:p>
      <w:pPr>
        <w:spacing w:after="0" w:line="170" w:lineRule="exact"/>
        <w:rPr>
          <w:rFonts w:ascii="Times New Roman" w:cs="Times New Roman" w:eastAsia="Times New Roman" w:hAnsi="Times New Roman"/>
          <w:sz w:val="21"/>
          <w:szCs w:val="21"/>
          <w:color w:val="010000"/>
        </w:rPr>
      </w:pPr>
    </w:p>
    <w:p>
      <w:pPr>
        <w:jc w:val="both"/>
        <w:ind w:firstLine="1944"/>
        <w:spacing w:after="0" w:line="243" w:lineRule="auto"/>
        <w:tabs>
          <w:tab w:leader="none" w:pos="2593" w:val="left"/>
        </w:tabs>
        <w:numPr>
          <w:ilvl w:val="1"/>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While the Executive is employed by the Company and during the one (1)-year period immediately following termination of the Executive’s employment with the Company for any or no reason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the Executive shall not, directly or indirectly, whether as owner, partner, investor, consultant, agent, employee, independent contractor, co-venturer or otherwise, whether with or without compensation, compete with the Business (as defined below), or any portion of the Business, in the United States of America (the “</w:t>
      </w:r>
      <w:r>
        <w:rPr>
          <w:rFonts w:ascii="Times New Roman" w:cs="Times New Roman" w:eastAsia="Times New Roman" w:hAnsi="Times New Roman"/>
          <w:sz w:val="21"/>
          <w:szCs w:val="21"/>
          <w:u w:val="single" w:color="auto"/>
          <w:color w:val="auto"/>
        </w:rPr>
        <w:t>Restricted Area</w:t>
      </w:r>
      <w:r>
        <w:rPr>
          <w:rFonts w:ascii="Times New Roman" w:cs="Times New Roman" w:eastAsia="Times New Roman" w:hAnsi="Times New Roman"/>
          <w:sz w:val="21"/>
          <w:szCs w:val="21"/>
          <w:color w:val="auto"/>
        </w:rPr>
        <w:t xml:space="preserve">”) or undertake any planning for any business competitive with all or a portion of the Business in the Restricted Area. Specifically, but without limiting the foregoing, the Executive agrees not to work or provide services, in any capacity, whether as an employee, independent contractor or otherwise, whether with or without compensation, to any Person that is engaged in all or any portion of the Business, as conducted or in active planning to be conducted during the Executive’s employment with the Company or, with respect to the portion of the Restricted Period that follows the termination of the Executive’s employment, at the time the Executive’s employment terminates, in the Restricted Area. Notwithstanding the foregoing, nothing in this Agreement shall (i) prevent the Executive from providing services to a consulting firm that provides services to any business that competes with the Business, (ii) preclude the Executive from owning up to two percent (2%) of the publicly traded securities of any business or (iii) prevent the Executive from providing services to an entity that contains a business that competes with the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is not responsible for (and does not engage or participate in) the day-to-day management, oversight or supervision of such business,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Executive does not have direct supervision over the individual or individuals who are so responsible for such day-to-day management, oversight or supervision.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31" w:name="page132"/>
    <w:bookmarkEnd w:id="131"/>
    <w:p>
      <w:pPr>
        <w:ind w:left="2700" w:hanging="656"/>
        <w:spacing w:after="0"/>
        <w:tabs>
          <w:tab w:leader="none" w:pos="2700" w:val="left"/>
        </w:tabs>
        <w:numPr>
          <w:ilvl w:val="3"/>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3340" w:hanging="738"/>
        <w:spacing w:after="0"/>
        <w:tabs>
          <w:tab w:leader="none" w:pos="3340" w:val="left"/>
        </w:tabs>
        <w:numPr>
          <w:ilvl w:val="4"/>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Restricted Period, the Executive will not directly or indirectly,</w:t>
      </w:r>
    </w:p>
    <w:p>
      <w:pPr>
        <w:spacing w:after="0" w:line="14" w:lineRule="exact"/>
        <w:rPr>
          <w:rFonts w:ascii="Times New Roman" w:cs="Times New Roman" w:eastAsia="Times New Roman" w:hAnsi="Times New Roman"/>
          <w:sz w:val="22"/>
          <w:szCs w:val="22"/>
          <w:color w:val="010000"/>
        </w:rPr>
      </w:pPr>
    </w:p>
    <w:p>
      <w:pPr>
        <w:jc w:val="both"/>
        <w:ind w:firstLine="8"/>
        <w:spacing w:after="0" w:line="241" w:lineRule="auto"/>
        <w:tabs>
          <w:tab w:leader="none" w:pos="40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solicit or encourage any customer of the Company or any of its Affiliates to terminate or diminish its relationship with them; or (B) seek to persuade any such customer or prospective customer of the Company or any of its Affiliates to conduct with anyone else any business or activity which such customer or prospective customer conducts or could conduct with the Company or any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these restrictions shall apply (I) only with respect to any Person who is or has been a customer of the Company or any of its Affiliates at any time within the immediately preceding two (2)-year period or whose business has been solicited on behalf of the Company or any of its Affiliates by any of their officers, employees or agents within such two</w:t>
      </w:r>
    </w:p>
    <w:p>
      <w:pPr>
        <w:spacing w:after="0" w:line="3" w:lineRule="exact"/>
        <w:rPr>
          <w:rFonts w:ascii="Times New Roman" w:cs="Times New Roman" w:eastAsia="Times New Roman" w:hAnsi="Times New Roman"/>
          <w:sz w:val="21"/>
          <w:szCs w:val="21"/>
          <w:color w:val="auto"/>
        </w:rPr>
      </w:pP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(2)-year period, other than by form letter, blanket mailing or published advertisement, and (II) only if the Executive has performed work for such Person during the Executive’s employment with the Company or one of its Affiliates or been introduced to, or otherwise had contact with, such Person as a result of the Executive’s employment or other associations with the Company or one of its Affiliates or has had access to Confidential Information which would assist in the Executive’s solicitation of such Person. Notwithstanding anything in this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 xml:space="preserve"> to the contrary, the Executive may solicit customers and prospective customers for purposes of providing or selling products or services that do not compete with the Business.</w:t>
      </w:r>
    </w:p>
    <w:p>
      <w:pPr>
        <w:spacing w:after="0" w:line="181" w:lineRule="exact"/>
        <w:rPr>
          <w:rFonts w:ascii="Times New Roman" w:cs="Times New Roman" w:eastAsia="Times New Roman" w:hAnsi="Times New Roman"/>
          <w:sz w:val="21"/>
          <w:szCs w:val="21"/>
          <w:color w:val="auto"/>
        </w:rPr>
      </w:pPr>
    </w:p>
    <w:p>
      <w:pPr>
        <w:jc w:val="both"/>
        <w:ind w:firstLine="2602"/>
        <w:spacing w:after="0" w:line="235" w:lineRule="auto"/>
        <w:tabs>
          <w:tab w:leader="none" w:pos="3332" w:val="left"/>
        </w:tabs>
        <w:numPr>
          <w:ilvl w:val="4"/>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Restricted Period, the Executive will not, and will not assist any other Person to, (A) hire or solicit for hiring any employee of the Company or any of its Affiliates or seek to persuade any employee of the Company or any of its Affiliates to discontinue employment or (B) solicit or encourage any independent contractor providing services to the Company or any of its Affiliates to terminate or diminish such independent contractor’s relationship with them. For the purposes of this Agreement, an “employee” or an “independent contractor” of the Company or any of its Affiliates is any Person who was such at any time within the preceding two (2) years.</w:t>
      </w:r>
    </w:p>
    <w:p>
      <w:pPr>
        <w:spacing w:after="0" w:line="183" w:lineRule="exact"/>
        <w:rPr>
          <w:rFonts w:ascii="Times New Roman" w:cs="Times New Roman" w:eastAsia="Times New Roman" w:hAnsi="Times New Roman"/>
          <w:sz w:val="22"/>
          <w:szCs w:val="22"/>
          <w:color w:val="010000"/>
        </w:rPr>
      </w:pPr>
    </w:p>
    <w:p>
      <w:pPr>
        <w:jc w:val="both"/>
        <w:ind w:firstLine="1953"/>
        <w:spacing w:after="0" w:line="235" w:lineRule="auto"/>
        <w:tabs>
          <w:tab w:leader="none" w:pos="2684" w:val="left"/>
        </w:tabs>
        <w:numPr>
          <w:ilvl w:val="2"/>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Certain Exceptions</w:t>
      </w:r>
      <w:r>
        <w:rPr>
          <w:rFonts w:ascii="Times New Roman" w:cs="Times New Roman" w:eastAsia="Times New Roman" w:hAnsi="Times New Roman"/>
          <w:sz w:val="22"/>
          <w:szCs w:val="22"/>
          <w:color w:val="auto"/>
        </w:rPr>
        <w:t xml:space="preserve">. Notwithstanding anything to the contrary set forth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the parties agree that the Executive’s practice of law after the Executive’s termination of employment or service shall not be restricted by the covenants contained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which will be applied in a manner that complies with the New York Rules of Professional Conduct. For the avoidance of doubt, the phrase “practice of law” will be interpreted to include legal services provided to a business in an “in-house” capacity, but will not be interpreted to include acting in a senior business and leadership capacity where the Executive is not acting as a lawyer.</w:t>
      </w:r>
    </w:p>
    <w:p>
      <w:pPr>
        <w:spacing w:after="0" w:line="183"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2036" w:val="left"/>
        </w:tabs>
        <w:numPr>
          <w:ilvl w:val="1"/>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Whistleblower Protection</w:t>
      </w:r>
      <w:r>
        <w:rPr>
          <w:rFonts w:ascii="Times New Roman" w:cs="Times New Roman" w:eastAsia="Times New Roman" w:hAnsi="Times New Roman"/>
          <w:sz w:val="21"/>
          <w:szCs w:val="21"/>
          <w:color w:val="auto"/>
        </w:rPr>
        <w:t>. Notwithstanding anything to the contrary contained herein, no provision of this Agreement shall be interpreted so as to impede the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The Executive does not need the prior authorization of the Company to make any such reports or disclosures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color w:val="auto"/>
        </w:rPr>
        <w:t>the Executive shall not be required to notify the Company that such reports or disclosures have been made.</w:t>
      </w:r>
    </w:p>
    <w:p>
      <w:pPr>
        <w:spacing w:after="0" w:line="206" w:lineRule="exact"/>
        <w:rPr>
          <w:sz w:val="20"/>
          <w:szCs w:val="20"/>
          <w:color w:val="auto"/>
        </w:rPr>
      </w:pPr>
    </w:p>
    <w:p>
      <w:pPr>
        <w:jc w:val="both"/>
        <w:ind w:firstLine="1305"/>
        <w:spacing w:after="0" w:line="232" w:lineRule="auto"/>
        <w:tabs>
          <w:tab w:leader="none" w:pos="2036"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Enforcement of Covenants</w:t>
      </w:r>
      <w:r>
        <w:rPr>
          <w:rFonts w:ascii="Times New Roman" w:cs="Times New Roman" w:eastAsia="Times New Roman" w:hAnsi="Times New Roman"/>
          <w:sz w:val="22"/>
          <w:szCs w:val="22"/>
          <w:color w:val="auto"/>
        </w:rPr>
        <w:t xml:space="preserve">. The Executive acknowledges that the Executive has carefully read and considered all the terms and conditions of this Agreement, including the restraints imposed upon the Executive pursuant to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The Executive agrees without reservation that each of the restraints contained herein is necessary for the reasonable and proper protection of the goodwill, Confidential Information and other legitimate interests of the Company and its Affiliates; that each and every one of these restraints is reasonable in respect to subject matter, length of time and geographic area; and that these restraints, individually or in the aggregate, will not prevent the Executive from obtaining other suitable employment during the period in which the Executive is bound by them. The Executive further agrees that the Executive will never assert, or permit to be asserted on the Executive’s behalf, in any forum, any position contrary to the foregoing. The Executive further acknowledges that, were the Executive to breach any of the covenants contained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the damage to the Company and its Affiliates would be irreparable. The Executive therefore agrees that the Company, in addition and not in the alternative to any other remedies available to it, shall be entitled to seek preliminary and permanent injunctive relief against any breach or threatened breach by the Executive of any of said covenants, without having to post bond. The parties further agree that, in the event that any provision of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shall be determined by any court of competent jurisdiction to be unenforceable, such provision shall be deemed to be modified to permit its enforcement to the maximum extent permitted by law. The Executive agrees that the Restricted Period shall be tolled, and shall not run, during any period of time in which the Executive is in violation of the terms thereof, in order that the Company and its Affiliates shall have all of the agreed-upon temporal protection recited herein. No breach of any provision of this Agreement by the Company, or any other claimed breach of contract or violation of law, or change in the nature or scope of the Executive’s employment relationship with the Company, shall operate to extinguish the Executive’s obligation to comply with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Each of the Company’s Affiliates shall have the right to enforce all of the Executive’s obligations to that Affiliate under this Agreement, including, without limitation, pursuant to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w:t>
      </w:r>
    </w:p>
    <w:p>
      <w:pPr>
        <w:spacing w:after="0" w:line="178" w:lineRule="exact"/>
        <w:rPr>
          <w:rFonts w:ascii="Times New Roman" w:cs="Times New Roman" w:eastAsia="Times New Roman" w:hAnsi="Times New Roman"/>
          <w:sz w:val="22"/>
          <w:szCs w:val="22"/>
          <w:color w:val="010000"/>
        </w:rPr>
      </w:pPr>
    </w:p>
    <w:p>
      <w:pPr>
        <w:jc w:val="both"/>
        <w:ind w:firstLine="1305"/>
        <w:spacing w:after="0" w:line="235" w:lineRule="auto"/>
        <w:tabs>
          <w:tab w:leader="none" w:pos="2036"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Conflicting Agreements</w:t>
      </w:r>
      <w:r>
        <w:rPr>
          <w:rFonts w:ascii="Times New Roman" w:cs="Times New Roman" w:eastAsia="Times New Roman" w:hAnsi="Times New Roman"/>
          <w:sz w:val="22"/>
          <w:szCs w:val="22"/>
          <w:color w:val="auto"/>
        </w:rPr>
        <w:t>. The Executive hereby represents and warrants that the execution of this Agreement and the performance of the Executive’s obligations hereunder will not breach or be in conflict with any other agreement to which the Executive is a party or by which the Executive is bound, and that the Executive is not now subject to any covenants against competition or any similar covenants or any other obligations to any Person or to any court order, judgment or decree that would affect the performance of the Executive’s obligations hereunder. The Executive will not disclose to or use on behalf of the Company any proprietary information of a third party without such party’s consent.</w:t>
      </w:r>
    </w:p>
    <w:p>
      <w:pPr>
        <w:spacing w:after="0" w:line="183" w:lineRule="exact"/>
        <w:rPr>
          <w:rFonts w:ascii="Times New Roman" w:cs="Times New Roman" w:eastAsia="Times New Roman" w:hAnsi="Times New Roman"/>
          <w:sz w:val="22"/>
          <w:szCs w:val="22"/>
          <w:color w:val="010000"/>
        </w:rPr>
      </w:pPr>
    </w:p>
    <w:p>
      <w:pPr>
        <w:ind w:firstLine="1305"/>
        <w:spacing w:after="0" w:line="258" w:lineRule="auto"/>
        <w:tabs>
          <w:tab w:leader="none" w:pos="2036"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words or phrases shall have the meanings provided in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and as provided elsewhere herein:</w:t>
      </w:r>
    </w:p>
    <w:p>
      <w:pPr>
        <w:spacing w:after="0" w:line="158" w:lineRule="exact"/>
        <w:rPr>
          <w:rFonts w:ascii="Times New Roman" w:cs="Times New Roman" w:eastAsia="Times New Roman" w:hAnsi="Times New Roman"/>
          <w:sz w:val="22"/>
          <w:szCs w:val="22"/>
          <w:color w:val="010000"/>
        </w:rPr>
      </w:pPr>
    </w:p>
    <w:p>
      <w:pPr>
        <w:ind w:right="20" w:firstLine="1953"/>
        <w:spacing w:after="0" w:line="258" w:lineRule="auto"/>
        <w:tabs>
          <w:tab w:leader="none" w:pos="2684"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person or entity directly or indirectly controlling or controlled by the Company, where control may be by either management authority or equity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3" w:name="page134"/>
    <w:bookmarkEnd w:id="133"/>
    <w:p>
      <w:pPr>
        <w:ind w:right="20" w:firstLine="1953"/>
        <w:spacing w:after="0" w:line="258" w:lineRule="auto"/>
        <w:tabs>
          <w:tab w:leader="none" w:pos="2684"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business of delivery of services to the frail and elderly population through the operation of PACE Programs.</w:t>
      </w:r>
    </w:p>
    <w:p>
      <w:pPr>
        <w:spacing w:after="0" w:line="158" w:lineRule="exact"/>
        <w:rPr>
          <w:rFonts w:ascii="Times New Roman" w:cs="Times New Roman" w:eastAsia="Times New Roman" w:hAnsi="Times New Roman"/>
          <w:sz w:val="22"/>
          <w:szCs w:val="22"/>
          <w:color w:val="010000"/>
        </w:rPr>
      </w:pPr>
    </w:p>
    <w:p>
      <w:pPr>
        <w:jc w:val="both"/>
        <w:ind w:firstLine="1953"/>
        <w:spacing w:after="0" w:line="233" w:lineRule="auto"/>
        <w:tabs>
          <w:tab w:leader="none" w:pos="2684"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information of the Company and its Affiliates that is not generally available to the public, and any and all information, which, if disclosed by the Company or any of its Affiliates, would assist in competition against any of them. Confidential Information includes, without limitation, such information relating to (i) the development, research, testing, manufacturing, marketing and financial activities of the Company and its Affiliates, (ii) the Services, (iii) the costs, sources of supply, financial performance and strategic plans of the Company and its Affiliates, (iv) the identity and special needs of the patients of the Company and its Affiliates and (v) the people and organizations with whom the Company and its Affiliates have business relationships and the nature and substance of those relationships. Confidential Information also includes information that the Company or any of its Affiliates has received, or may receive hereafter, belonging to others or that was received by the Company or any of its Affiliates with any understanding, express or implied, that it would not be disclosed.</w:t>
      </w:r>
    </w:p>
    <w:p>
      <w:pPr>
        <w:spacing w:after="0" w:line="187" w:lineRule="exact"/>
        <w:rPr>
          <w:rFonts w:ascii="Times New Roman" w:cs="Times New Roman" w:eastAsia="Times New Roman" w:hAnsi="Times New Roman"/>
          <w:sz w:val="22"/>
          <w:szCs w:val="22"/>
          <w:color w:val="010000"/>
        </w:rPr>
      </w:pPr>
    </w:p>
    <w:p>
      <w:pPr>
        <w:jc w:val="both"/>
        <w:ind w:firstLine="1953"/>
        <w:spacing w:after="0" w:line="247" w:lineRule="auto"/>
        <w:tabs>
          <w:tab w:leader="none" w:pos="2684" w:val="left"/>
        </w:tabs>
        <w:numPr>
          <w:ilvl w:val="1"/>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inventions, discoveries, developments, methods, processes, compositions, works, concepts and ideas (whether or not patentable or copyrightable or constituting trade secrets) conceived, made, created, developed or reduced to practice by the Executive (whether alone or with others, whether or not during normal business hours or on or off Company premises) during the Executive’s employment and during the period of six (6) months immediately following termination of the Executive’s employment that relate either to the Services or to any prospective activity of the Company or any of its Affiliates or that result from any work performed by the Executive for the Company or any of its Affiliates or that make use of Confidential Information or any of the equipment or facilities of the Company or any of its Affiliates.</w:t>
      </w:r>
    </w:p>
    <w:p>
      <w:pPr>
        <w:spacing w:after="0" w:line="171" w:lineRule="exact"/>
        <w:rPr>
          <w:rFonts w:ascii="Times New Roman" w:cs="Times New Roman" w:eastAsia="Times New Roman" w:hAnsi="Times New Roman"/>
          <w:sz w:val="21"/>
          <w:szCs w:val="21"/>
          <w:color w:val="010000"/>
        </w:rPr>
      </w:pPr>
    </w:p>
    <w:p>
      <w:pPr>
        <w:jc w:val="both"/>
        <w:ind w:firstLine="1953"/>
        <w:spacing w:after="0" w:line="244" w:lineRule="auto"/>
        <w:tabs>
          <w:tab w:leader="none" w:pos="2684"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natural person, a corporation, a limited liability company, an association, a partnership, an estate, a trust and any other entity or organization, other than the Company or any of its Affiliates.</w:t>
      </w:r>
    </w:p>
    <w:p>
      <w:pPr>
        <w:spacing w:after="0" w:line="173" w:lineRule="exact"/>
        <w:rPr>
          <w:rFonts w:ascii="Times New Roman" w:cs="Times New Roman" w:eastAsia="Times New Roman" w:hAnsi="Times New Roman"/>
          <w:sz w:val="22"/>
          <w:szCs w:val="22"/>
          <w:color w:val="010000"/>
        </w:rPr>
      </w:pPr>
    </w:p>
    <w:p>
      <w:pPr>
        <w:jc w:val="both"/>
        <w:ind w:firstLine="1953"/>
        <w:spacing w:after="0" w:line="239" w:lineRule="auto"/>
        <w:tabs>
          <w:tab w:leader="none" w:pos="2684" w:val="left"/>
        </w:tabs>
        <w:numPr>
          <w:ilvl w:val="1"/>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means all services planned, researched, developed, tested, sold, licensed, leased or otherwise distributed or put into use by the Company or any of its Affiliates, together with all products provided or otherwise planned by the Company or any of its Affiliates, during the Executive’s employment.</w:t>
      </w:r>
    </w:p>
    <w:p>
      <w:pPr>
        <w:spacing w:after="0" w:line="180" w:lineRule="exact"/>
        <w:rPr>
          <w:rFonts w:ascii="Times New Roman" w:cs="Times New Roman" w:eastAsia="Times New Roman" w:hAnsi="Times New Roman"/>
          <w:sz w:val="22"/>
          <w:szCs w:val="22"/>
          <w:color w:val="010000"/>
        </w:rPr>
      </w:pPr>
    </w:p>
    <w:p>
      <w:pPr>
        <w:jc w:val="both"/>
        <w:ind w:firstLine="1305"/>
        <w:spacing w:after="0" w:line="234" w:lineRule="auto"/>
        <w:tabs>
          <w:tab w:leader="none" w:pos="2036"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During the Executive’s employment with the Company and thereafter, the Company shall indemnify, and hold the Executive and the Executive’s heirs and representatives harmless against, any and all damages, costs, liabilities, losses and expenses (including reasonable attorneys’ fees) as a result of any claim or proceeding (whether civil, criminal, administrative or investigative) against the Executive that arises out of or relates to the Executive’s service as an officer, director or employee, as the case may be, of the Company, or the Executive’s service in any such capacity or similar capacity with any Affiliate of the Company or other entity at the Company’s request and/or pursuant to this Agreement, except, however, the Company’s indemnity shall not apply with respect to matters where the Executive has been grossly negligent, reckless or intentionally violated the rights of the Company or of any third party,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4" w:name="page135"/>
    <w:bookmarkEnd w:id="134"/>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at the direction of the Company, or where the Executive fails to reasonably cooperate with the Company in the Company’s defense of any claim or proceeding. The Company agrees to promptly advance to the Executive or the Executive’s heirs or representatives the expenses, including attorneys’ fees and litigation costs, upon written request, with documentation of such expenses satisfactory to the Company (subject to reasonable attorney-client privilege and attorney work product considerations) and upon receipt of an undertaking by the Executive or on the Executive’s behalf that such amounts will be promptly repaid should it ultimately be determined that the Executive is not entitled to be indemnified by the Company. The Executive agrees to make good faith efforts to assist and cooperate with the Company, both during the Executive’s employment with the Company and thereafter, in the defense of any legal action related to the Executive’s employment upon reasonable notice and at reasonable times and places. In the Executive’s reasonable opinion, if a conflict of interest arises, between the Company and the Executive, in any third party matter in which the Executive is being asked to cooperate, the Company agrees to provide, at their expense, separate legal counsel for the Executive. During the Executive’s employment with the Company and thereafter, the Company also shall provide the Executive with coverage under its then-current directors’ and officers’ liability policy to the same extent that it provides such coverage to its other executive officers or directors, and the Executive shall be entitled to the same rights of indemnification provided to such other executive officers or directors under the Company’s by-laws, certificate of incorporation or other governing documents.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continue in effect after the termination of the Executive’s employment or the termination of this Agreement.</w:t>
      </w:r>
    </w:p>
    <w:p>
      <w:pPr>
        <w:spacing w:after="0" w:line="188" w:lineRule="exact"/>
        <w:rPr>
          <w:sz w:val="20"/>
          <w:szCs w:val="20"/>
          <w:color w:val="auto"/>
        </w:rPr>
      </w:pPr>
    </w:p>
    <w:p>
      <w:pPr>
        <w:ind w:firstLine="1305"/>
        <w:spacing w:after="0" w:line="258" w:lineRule="auto"/>
        <w:tabs>
          <w:tab w:leader="none" w:pos="20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by the Company under this Agreement shall be reduced by any tax or other amounts required to be withheld by the Company under applicable law.</w:t>
      </w:r>
    </w:p>
    <w:p>
      <w:pPr>
        <w:spacing w:after="0" w:line="158" w:lineRule="exact"/>
        <w:rPr>
          <w:rFonts w:ascii="Times New Roman" w:cs="Times New Roman" w:eastAsia="Times New Roman" w:hAnsi="Times New Roman"/>
          <w:sz w:val="22"/>
          <w:szCs w:val="22"/>
          <w:color w:val="010000"/>
        </w:rPr>
      </w:pPr>
    </w:p>
    <w:p>
      <w:pPr>
        <w:jc w:val="both"/>
        <w:ind w:firstLine="1305"/>
        <w:spacing w:after="0" w:line="235" w:lineRule="auto"/>
        <w:tabs>
          <w:tab w:leader="none" w:pos="20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the Company nor the Executive may make any assignment of this Agreement or any interest herein, by operation of law or otherwise, without the prior written consent of the other;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may assign its rights and obligations under this Agreement without the consent of the Executive to one of its Affiliates or in the event that the Company shall hereafter effect a reorganization with, consolidate with or merge into an Affiliate or any Person or transfer all or substantially all of its properties, stock or assets to an Affiliate or any Person (a “Change of Control”). This Agreement shall inure to the benefit of and be binding upon the Company and the Executive, and their respective successors, executors, administrators, heirs and permitted assigns.</w:t>
      </w:r>
    </w:p>
    <w:p>
      <w:pPr>
        <w:spacing w:after="0" w:line="178" w:lineRule="exact"/>
        <w:rPr>
          <w:rFonts w:ascii="Times New Roman" w:cs="Times New Roman" w:eastAsia="Times New Roman" w:hAnsi="Times New Roman"/>
          <w:sz w:val="22"/>
          <w:szCs w:val="22"/>
          <w:color w:val="010000"/>
        </w:rPr>
      </w:pPr>
    </w:p>
    <w:p>
      <w:pPr>
        <w:jc w:val="both"/>
        <w:ind w:firstLine="1305"/>
        <w:spacing w:after="0" w:line="238" w:lineRule="auto"/>
        <w:tabs>
          <w:tab w:leader="none" w:pos="20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22"/>
          <w:szCs w:val="22"/>
          <w:color w:val="010000"/>
        </w:rPr>
      </w:pPr>
    </w:p>
    <w:p>
      <w:pPr>
        <w:jc w:val="both"/>
        <w:ind w:firstLine="1305"/>
        <w:spacing w:after="0" w:line="244" w:lineRule="auto"/>
        <w:tabs>
          <w:tab w:leader="none" w:pos="20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5" w:name="page136"/>
    <w:bookmarkEnd w:id="135"/>
    <w:p>
      <w:pPr>
        <w:ind w:right="340"/>
        <w:spacing w:after="0" w:line="258" w:lineRule="auto"/>
        <w:rPr>
          <w:sz w:val="20"/>
          <w:szCs w:val="20"/>
          <w:color w:val="auto"/>
        </w:rPr>
      </w:pPr>
      <w:r>
        <w:rPr>
          <w:rFonts w:ascii="Times New Roman" w:cs="Times New Roman" w:eastAsia="Times New Roman" w:hAnsi="Times New Roman"/>
          <w:sz w:val="22"/>
          <w:szCs w:val="22"/>
          <w:color w:val="auto"/>
        </w:rPr>
        <w:t>Agreement, shall not prevent any subsequent enforcement of such term or obligation or be deemed a waiver of any subsequent breach.</w:t>
      </w:r>
    </w:p>
    <w:p>
      <w:pPr>
        <w:spacing w:after="0" w:line="158" w:lineRule="exact"/>
        <w:rPr>
          <w:sz w:val="20"/>
          <w:szCs w:val="20"/>
          <w:color w:val="auto"/>
        </w:rPr>
      </w:pPr>
    </w:p>
    <w:p>
      <w:pPr>
        <w:ind w:firstLine="1305"/>
        <w:spacing w:after="0" w:line="236" w:lineRule="auto"/>
        <w:tabs>
          <w:tab w:leader="none" w:pos="203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requests, demands and other communications provided for by this Agreement shall be in writing and shall be effective when delivered in person, consigned to a reputable national courier service or deposited in the United States mail, postage prepaid, registered or certified, and addressed to the Executive at the Executive’s last known address on the books of the Company or, in the case of the Company, at its principal place of business, attention of the Chief Executive Officer, or to such other address as either party may specify by notice to the other actually received.</w:t>
      </w:r>
    </w:p>
    <w:p>
      <w:pPr>
        <w:spacing w:after="0" w:line="181" w:lineRule="exact"/>
        <w:rPr>
          <w:rFonts w:ascii="Times New Roman" w:cs="Times New Roman" w:eastAsia="Times New Roman" w:hAnsi="Times New Roman"/>
          <w:sz w:val="22"/>
          <w:szCs w:val="22"/>
          <w:color w:val="010000"/>
        </w:rPr>
      </w:pPr>
    </w:p>
    <w:p>
      <w:pPr>
        <w:ind w:right="60" w:firstLine="1305"/>
        <w:spacing w:after="0" w:line="238" w:lineRule="auto"/>
        <w:tabs>
          <w:tab w:leader="none" w:pos="203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Exhibits hereto and the documents referenced herein constitute the entire agreement between the parties and supersedes and terminate all prior communications, agreements and understandings, written or oral, with respect to the terms and conditions of the Executive’s employment with the Company (including, without limitation, that certain offer letter from the Company to the Executive, dated as of April 19, 2021).</w:t>
      </w:r>
    </w:p>
    <w:p>
      <w:pPr>
        <w:spacing w:after="0" w:line="176" w:lineRule="exact"/>
        <w:rPr>
          <w:rFonts w:ascii="Times New Roman" w:cs="Times New Roman" w:eastAsia="Times New Roman" w:hAnsi="Times New Roman"/>
          <w:sz w:val="22"/>
          <w:szCs w:val="22"/>
          <w:color w:val="010000"/>
        </w:rPr>
      </w:pPr>
    </w:p>
    <w:p>
      <w:pPr>
        <w:ind w:right="220" w:firstLine="1305"/>
        <w:spacing w:after="0" w:line="258" w:lineRule="auto"/>
        <w:tabs>
          <w:tab w:leader="none" w:pos="203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an expressly authorized representative of the Company.</w:t>
      </w:r>
    </w:p>
    <w:p>
      <w:pPr>
        <w:spacing w:after="0" w:line="158" w:lineRule="exact"/>
        <w:rPr>
          <w:rFonts w:ascii="Times New Roman" w:cs="Times New Roman" w:eastAsia="Times New Roman" w:hAnsi="Times New Roman"/>
          <w:sz w:val="22"/>
          <w:szCs w:val="22"/>
          <w:color w:val="010000"/>
        </w:rPr>
      </w:pPr>
    </w:p>
    <w:p>
      <w:pPr>
        <w:ind w:firstLine="1305"/>
        <w:spacing w:after="0" w:line="258" w:lineRule="auto"/>
        <w:tabs>
          <w:tab w:leader="none" w:pos="203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and captions in this Agreement are for convenience only and in no way define or describe the scope or content of any provision of this Agreement.</w:t>
      </w:r>
    </w:p>
    <w:p>
      <w:pPr>
        <w:spacing w:after="0" w:line="158" w:lineRule="exact"/>
        <w:rPr>
          <w:rFonts w:ascii="Times New Roman" w:cs="Times New Roman" w:eastAsia="Times New Roman" w:hAnsi="Times New Roman"/>
          <w:sz w:val="22"/>
          <w:szCs w:val="22"/>
          <w:color w:val="010000"/>
        </w:rPr>
      </w:pPr>
    </w:p>
    <w:p>
      <w:pPr>
        <w:ind w:right="260" w:firstLine="1305"/>
        <w:spacing w:after="0" w:line="258" w:lineRule="auto"/>
        <w:tabs>
          <w:tab w:leader="none" w:pos="203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(2) or more counterparts, each of which shall be an original and all of which together shall constitute one and the same instrument.</w:t>
      </w:r>
    </w:p>
    <w:p>
      <w:pPr>
        <w:spacing w:after="0" w:line="158" w:lineRule="exact"/>
        <w:rPr>
          <w:rFonts w:ascii="Times New Roman" w:cs="Times New Roman" w:eastAsia="Times New Roman" w:hAnsi="Times New Roman"/>
          <w:sz w:val="22"/>
          <w:szCs w:val="22"/>
          <w:color w:val="010000"/>
        </w:rPr>
      </w:pPr>
    </w:p>
    <w:p>
      <w:pPr>
        <w:ind w:firstLine="1305"/>
        <w:spacing w:after="0" w:line="244" w:lineRule="auto"/>
        <w:tabs>
          <w:tab w:leader="none" w:pos="203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Colorado contract and shall be construed and enforced under and be governed in all respects by the laws of the State of Colorado, without regard to any conflict of laws principles that would result in the application of the laws of any other jurisdiction.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6" w:name="page137"/>
    <w:bookmarkEnd w:id="136"/>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has been executed as a sealed instrument by the Company, by its duly authorized representative, and by the Executive, as of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EXECUTIVE:</w:t>
            </w:r>
          </w:p>
        </w:tc>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THE COMPANY:</w:t>
            </w:r>
          </w:p>
        </w:tc>
      </w:tr>
      <w:tr>
        <w:trPr>
          <w:trHeight w:val="474"/>
        </w:trPr>
        <w:tc>
          <w:tcPr>
            <w:tcW w:w="5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Nicole D’Amato</w:t>
            </w:r>
          </w:p>
        </w:tc>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/s/ Maureen Hewitt</w:t>
            </w:r>
          </w:p>
        </w:tc>
      </w:tr>
      <w:tr>
        <w:trPr>
          <w:trHeight w:val="209"/>
        </w:trPr>
        <w:tc>
          <w:tcPr>
            <w:tcW w:w="20" w:type="dxa"/>
            <w:vAlign w:val="bottom"/>
          </w:tcPr>
          <w:p>
            <w:pPr>
              <w:spacing w:after="0"/>
              <w:rPr>
                <w:sz w:val="18"/>
                <w:szCs w:val="18"/>
                <w:color w:val="auto"/>
              </w:rPr>
            </w:pPr>
          </w:p>
        </w:tc>
        <w:tc>
          <w:tcPr>
            <w:tcW w:w="48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Nicole D’Amato</w:t>
            </w:r>
          </w:p>
        </w:tc>
        <w:tc>
          <w:tcPr>
            <w:tcW w:w="220" w:type="dxa"/>
            <w:vAlign w:val="bottom"/>
          </w:tcPr>
          <w:p>
            <w:pPr>
              <w:spacing w:after="0"/>
              <w:rPr>
                <w:sz w:val="18"/>
                <w:szCs w:val="18"/>
                <w:color w:val="auto"/>
              </w:rPr>
            </w:pPr>
          </w:p>
        </w:tc>
        <w:tc>
          <w:tcPr>
            <w:tcW w:w="48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By: Maureen Hewitt</w:t>
            </w:r>
          </w:p>
        </w:tc>
      </w:tr>
      <w:tr>
        <w:trPr>
          <w:trHeight w:val="28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r>
      <w:tr>
        <w:trPr>
          <w:trHeight w:val="981"/>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8" w:right="99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Form RSU Agreement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See attached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647700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Release of Claims</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Reference is hereby made to that certain Employment Agreement, effective as of November , 2021, by and between Total Community Options, Inc., d/b/a/ InnovAge, a Colorado corporation (and any successor entity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Nicole D’Amato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(such agreement,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Capitalized terms used but not otherwise defined herein shall have the meaning set forth in the Employment Agreement.</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release of claims (this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is entered into by Executive in exchange for good and valuable consideration, and Executive, intended to be legally bound, agrees as follows:</w:t>
      </w:r>
    </w:p>
    <w:p>
      <w:pPr>
        <w:spacing w:after="0" w:line="158" w:lineRule="exact"/>
        <w:rPr>
          <w:sz w:val="20"/>
          <w:szCs w:val="20"/>
          <w:color w:val="auto"/>
        </w:rPr>
      </w:pPr>
    </w:p>
    <w:p>
      <w:pPr>
        <w:jc w:val="both"/>
        <w:ind w:left="340" w:hanging="332"/>
        <w:spacing w:after="0" w:line="238" w:lineRule="auto"/>
        <w:tabs>
          <w:tab w:leader="none" w:pos="3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of Employment</w:t>
      </w:r>
      <w:r>
        <w:rPr>
          <w:rFonts w:ascii="Times New Roman" w:cs="Times New Roman" w:eastAsia="Times New Roman" w:hAnsi="Times New Roman"/>
          <w:sz w:val="22"/>
          <w:szCs w:val="22"/>
          <w:color w:val="auto"/>
        </w:rPr>
        <w:t>. Executive’s employment or service with the Company and its Affiliates terminated as of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and Executive hereby resigns from any position Executive may hold as an officer, member of the board of managers or directors (as applicable) or fiduciary of the Company or any of its Affiliates (or reaffirms any such resignation that may have already occurred) and agrees to execute any additional documentation as may be necessary to effectuate such resignations.</w:t>
      </w:r>
    </w:p>
    <w:p>
      <w:pPr>
        <w:spacing w:after="0" w:line="176" w:lineRule="exact"/>
        <w:rPr>
          <w:rFonts w:ascii="Times New Roman" w:cs="Times New Roman" w:eastAsia="Times New Roman" w:hAnsi="Times New Roman"/>
          <w:sz w:val="22"/>
          <w:szCs w:val="22"/>
          <w:color w:val="auto"/>
        </w:rPr>
      </w:pPr>
    </w:p>
    <w:p>
      <w:pPr>
        <w:jc w:val="both"/>
        <w:ind w:left="340" w:hanging="332"/>
        <w:spacing w:after="0" w:line="233" w:lineRule="auto"/>
        <w:tabs>
          <w:tab w:leader="none" w:pos="3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Payments and Benefits</w:t>
      </w:r>
      <w:r>
        <w:rPr>
          <w:rFonts w:ascii="Times New Roman" w:cs="Times New Roman" w:eastAsia="Times New Roman" w:hAnsi="Times New Roman"/>
          <w:sz w:val="22"/>
          <w:szCs w:val="22"/>
          <w:color w:val="auto"/>
        </w:rPr>
        <w:t>. Executive understands that the Severance Benefits under Section 5[(d)][(e)] of the Employment Agreement represent, in part, consideration for signing this General Release and are not salary, wages or benefits to which Executive was already entitled. Executive understands and agrees that Executive will not receive the Severance Benefits specified in Section 5[(d)][(e)] of the Employment Agreement unless Executive timely executes, and does not revoke, this General Release within the time period permitted hereafter. Such Severance Benefits will not be considered compensation for purposes of any employee benefit plan, program, policy or arrangement maintained or hereafter established by the Company or its Affiliates. In signing this General Release, Executive also acknowledges and represents that, except as set forth in this General Release and except for Final Compensation due under the Employment Agreement, Executive is not entitled to receive any additional compensation, bonuses, equity compensation, , equity awards, severance payments or other payments or benefits of any kind from the Company or any of the other Released Parties (as defined below), including, without limitation, any payments of any kind under the Employment Agreement.</w:t>
      </w:r>
    </w:p>
    <w:p>
      <w:pPr>
        <w:spacing w:after="0" w:line="182" w:lineRule="exact"/>
        <w:rPr>
          <w:rFonts w:ascii="Times New Roman" w:cs="Times New Roman" w:eastAsia="Times New Roman" w:hAnsi="Times New Roman"/>
          <w:sz w:val="22"/>
          <w:szCs w:val="22"/>
          <w:color w:val="auto"/>
        </w:rPr>
      </w:pPr>
    </w:p>
    <w:p>
      <w:pPr>
        <w:jc w:val="both"/>
        <w:ind w:left="340" w:hanging="332"/>
        <w:spacing w:after="0" w:line="234" w:lineRule="auto"/>
        <w:tabs>
          <w:tab w:leader="none" w:pos="3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Executive, on behalf of Executive and Executive’s heirs beneficiaries, administrators, executors, trustees and assigns, shall, and hereby does, forever and irrevocably release and discharge the Company and its subsidiaries and Affiliates, and each of their respective past, present and future shareholders, directors, officers, employee benefit plans, administrators, trustees, agents, representatives, employees, consultants, parents, subsidiaries, divisions, insurers, attorneys, predecessors, purchasers, successors and assigns, and all those connected with any of them, in their official and individual capacities (each, a “Released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Released</w:t>
      </w:r>
      <w:r>
        <w:rPr>
          <w:rFonts w:ascii="Times New Roman" w:cs="Times New Roman" w:eastAsia="Times New Roman" w:hAnsi="Times New Roman"/>
          <w:sz w:val="22"/>
          <w:szCs w:val="22"/>
          <w:color w:val="auto"/>
        </w:rPr>
        <w:t xml:space="preserve"> Parties”), from any and all claims, suits, controversies, actions, causes of action, cross-claims, counterclaims, demands, debts, compensatory damages, liquidated damages, punitive or exemplary damages, other damages, claims for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631190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39" w:name="page140"/>
    <w:bookmarkEnd w:id="139"/>
    <w:p>
      <w:pPr>
        <w:jc w:val="both"/>
        <w:ind w:left="332"/>
        <w:spacing w:after="0" w:line="242" w:lineRule="auto"/>
        <w:rPr>
          <w:sz w:val="20"/>
          <w:szCs w:val="20"/>
          <w:color w:val="auto"/>
        </w:rPr>
      </w:pPr>
      <w:r>
        <w:rPr>
          <w:rFonts w:ascii="Times New Roman" w:cs="Times New Roman" w:eastAsia="Times New Roman" w:hAnsi="Times New Roman"/>
          <w:sz w:val="21"/>
          <w:szCs w:val="21"/>
          <w:color w:val="auto"/>
        </w:rPr>
        <w:t>attorneys’ fees or liabilities of any nature whatsoever in law and in equity, both past and present and whether known or unknown, suspected, unsuspected or claimed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which Executive or any of Executive’s beneficiaries, administrators, executors, trustees and assigns may have from the beginning of time through the date upon which Executive executes this General Release (a) arising out of, or relating to, any agreement and/or any awards, policies, plans, programs, procedures or practices of any of the Released Parties that may apply to Executive or in which Executive may participate or may have participated, including, but not limited to, any rights under bonus plans or programs of any of the Released Parties and/or any other short-term or long-term equity-based or cash-based incentive plans or incentive programs of any of the Released Parties; (b) arising out of, or relating to, Executive’s termination of employment with any of the Released Parties; and/or (c) arising out of, or relating to, Executive’s employment with any Released Party or Executive’s status as an employee, member, officer or director of any of the Released Parties, including, without limitation, any Claims or violations (i) arising under any federal, state or local civil or human rights law, including, but not limited to, the Age Discrimination in Employment Act as amended by the Older Workers Benefit Protection Act, Title VII of the Civil Rights Act of 1964, the Civil Rights Act of 1866, 42 U.S.C. § 1981, the Civil Rights Act of 1991, the Americans With Disabilities Act, the Family and Medical Leave Act, the Employee Retirement Income Security Act of 1974, the Equal Pay Act of 1963, the Genetic Information Nondiscrimination Act of 2008, and the Worker Adjustment and Retraining Notification Act, as all such laws have been amended from time to time and including all of their respective implementing regulations, and/or any other federal, state, foreign or local labor law, wage and hour law, worker safety law or employee relations or fair employment practices law, or public policy, contract or tort, or under common law;</w:t>
      </w:r>
    </w:p>
    <w:p>
      <w:pPr>
        <w:spacing w:after="0" w:line="14" w:lineRule="exact"/>
        <w:rPr>
          <w:sz w:val="20"/>
          <w:szCs w:val="20"/>
          <w:color w:val="auto"/>
        </w:rPr>
      </w:pPr>
    </w:p>
    <w:p>
      <w:pPr>
        <w:ind w:left="332"/>
        <w:spacing w:after="0" w:line="237" w:lineRule="auto"/>
        <w:rPr>
          <w:sz w:val="20"/>
          <w:szCs w:val="20"/>
          <w:color w:val="auto"/>
        </w:rPr>
      </w:pPr>
      <w:r>
        <w:rPr>
          <w:rFonts w:ascii="Times New Roman" w:cs="Times New Roman" w:eastAsia="Times New Roman" w:hAnsi="Times New Roman"/>
          <w:sz w:val="22"/>
          <w:szCs w:val="22"/>
          <w:color w:val="auto"/>
        </w:rPr>
        <w:t>(ii) for wrongful discharge, breach of contract, infliction of emotional distress or defamation; or (iii) for costs, fees or other expenses, including attorneys’ fees, incurred in these matters.</w:t>
      </w:r>
    </w:p>
    <w:p>
      <w:pPr>
        <w:spacing w:after="0" w:line="178" w:lineRule="exact"/>
        <w:rPr>
          <w:sz w:val="20"/>
          <w:szCs w:val="20"/>
          <w:color w:val="auto"/>
        </w:rPr>
      </w:pPr>
    </w:p>
    <w:p>
      <w:pPr>
        <w:jc w:val="both"/>
        <w:ind w:left="332" w:hanging="332"/>
        <w:spacing w:after="0" w:line="245" w:lineRule="auto"/>
        <w:tabs>
          <w:tab w:leader="none" w:pos="33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w:t>
      </w:r>
      <w:r>
        <w:rPr>
          <w:rFonts w:ascii="Times New Roman" w:cs="Times New Roman" w:eastAsia="Times New Roman" w:hAnsi="Times New Roman"/>
          <w:sz w:val="21"/>
          <w:szCs w:val="21"/>
          <w:color w:val="auto"/>
        </w:rPr>
        <w:t xml:space="preserve">. Nothing in Section 3 shall release or impair (a) any Claim or right that may arise after the date Executive executes this General Release; (b) any vested benefits under the Company’s benefit plans; (c) any Claim or right Executive may have for indemnification under the Employment Agreement or the Company’s D&amp;O policy, by-laws, certificate of incorporation, or other governing documents or applicable law; or (d) any Claim which by law cannot be waived. Nothing in this General Release is intended to prohibit or restrict Executive’s right to file a charge with or participate in a charge by the Equal Employment Opportunity Commission, or any other local, state or federal administrative body or government agency;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to the extent permitted by applicable law, Executive hereby waives the right to recover any monetary damages or other relief against any Released Parties; provided, however, that nothing in this General Release shall prohibit Executive from receiving any monetary award to which Employee becomes entitled pursuant to Section 922 of the Dodd-Frank Wall Street Reform and Consumer Protection Act.</w:t>
      </w:r>
    </w:p>
    <w:p>
      <w:pPr>
        <w:spacing w:after="0" w:line="177" w:lineRule="exact"/>
        <w:rPr>
          <w:rFonts w:ascii="Times New Roman" w:cs="Times New Roman" w:eastAsia="Times New Roman" w:hAnsi="Times New Roman"/>
          <w:sz w:val="21"/>
          <w:szCs w:val="21"/>
          <w:color w:val="auto"/>
        </w:rPr>
      </w:pPr>
    </w:p>
    <w:p>
      <w:pPr>
        <w:jc w:val="both"/>
        <w:ind w:left="332" w:hanging="332"/>
        <w:spacing w:after="0" w:line="251" w:lineRule="auto"/>
        <w:tabs>
          <w:tab w:leader="none" w:pos="33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Later Discovered Claims</w:t>
      </w:r>
      <w:r>
        <w:rPr>
          <w:rFonts w:ascii="Times New Roman" w:cs="Times New Roman" w:eastAsia="Times New Roman" w:hAnsi="Times New Roman"/>
          <w:sz w:val="21"/>
          <w:szCs w:val="21"/>
          <w:color w:val="auto"/>
        </w:rPr>
        <w:t>. Executive understands that Executive may later discover Claims or facts that may be different from, or in addition to, those which Executive now knows or believes to exist with regards to the subject matter of this General Release and which, if known at the time of executing this General Release, may have materially affected this General Release or Executive’s decision to enter into it. Executive hereby waives any right or Claim that might arise as a result of such different or additional Claims or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758825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140" w:name="page141"/>
    <w:bookmarkEnd w:id="140"/>
    <w:p>
      <w:pPr>
        <w:jc w:val="both"/>
        <w:ind w:left="332" w:hanging="332"/>
        <w:spacing w:after="0" w:line="244" w:lineRule="auto"/>
        <w:tabs>
          <w:tab w:leader="none" w:pos="3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Executive represents that Executive has made no assignment or transfer of any right or Claim covered by this General Release, and that Executive further agrees that Executive is not aware of any such right or Claim covered by this General Release.</w:t>
      </w:r>
    </w:p>
    <w:p>
      <w:pPr>
        <w:spacing w:after="0" w:line="173" w:lineRule="exact"/>
        <w:rPr>
          <w:rFonts w:ascii="Times New Roman" w:cs="Times New Roman" w:eastAsia="Times New Roman" w:hAnsi="Times New Roman"/>
          <w:sz w:val="22"/>
          <w:szCs w:val="22"/>
          <w:color w:val="auto"/>
        </w:rPr>
      </w:pPr>
    </w:p>
    <w:p>
      <w:pPr>
        <w:jc w:val="both"/>
        <w:ind w:left="332" w:hanging="332"/>
        <w:spacing w:after="0" w:line="238" w:lineRule="auto"/>
        <w:tabs>
          <w:tab w:leader="none" w:pos="3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Impact on Whistleblowing Rights</w:t>
      </w:r>
      <w:r>
        <w:rPr>
          <w:rFonts w:ascii="Times New Roman" w:cs="Times New Roman" w:eastAsia="Times New Roman" w:hAnsi="Times New Roman"/>
          <w:sz w:val="22"/>
          <w:szCs w:val="22"/>
          <w:color w:val="auto"/>
        </w:rPr>
        <w:t>. Executive understands that nothing contained in this General Release shall be construed to limit, restrict or in any other way affect Executive’s right to communicate with any governmental agency or entity, including, but not limited to, the Department of Justice, the Securities and Exchange Commission, the Congress and any agency Inspector General, or make other disclosures under the whistleblower provisions of federal law or regulation.</w:t>
      </w:r>
    </w:p>
    <w:p>
      <w:pPr>
        <w:spacing w:after="0" w:line="176" w:lineRule="exact"/>
        <w:rPr>
          <w:rFonts w:ascii="Times New Roman" w:cs="Times New Roman" w:eastAsia="Times New Roman" w:hAnsi="Times New Roman"/>
          <w:sz w:val="22"/>
          <w:szCs w:val="22"/>
          <w:color w:val="auto"/>
        </w:rPr>
      </w:pPr>
    </w:p>
    <w:p>
      <w:pPr>
        <w:jc w:val="both"/>
        <w:ind w:left="332" w:hanging="332"/>
        <w:spacing w:after="0" w:line="244" w:lineRule="auto"/>
        <w:tabs>
          <w:tab w:leader="none" w:pos="3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Beneficiary</w:t>
      </w:r>
      <w:r>
        <w:rPr>
          <w:rFonts w:ascii="Times New Roman" w:cs="Times New Roman" w:eastAsia="Times New Roman" w:hAnsi="Times New Roman"/>
          <w:sz w:val="22"/>
          <w:szCs w:val="22"/>
          <w:color w:val="auto"/>
        </w:rPr>
        <w:t>. The Released Parties are intended to be third-party beneficiaries of this General Release, and this General Release may be enforced by each of them in accordance with the terms hereof in respect of the rights granted to such Released Parties hereunder.</w:t>
      </w:r>
    </w:p>
    <w:p>
      <w:pPr>
        <w:spacing w:after="0" w:line="173" w:lineRule="exact"/>
        <w:rPr>
          <w:rFonts w:ascii="Times New Roman" w:cs="Times New Roman" w:eastAsia="Times New Roman" w:hAnsi="Times New Roman"/>
          <w:sz w:val="22"/>
          <w:szCs w:val="22"/>
          <w:color w:val="auto"/>
        </w:rPr>
      </w:pPr>
    </w:p>
    <w:p>
      <w:pPr>
        <w:jc w:val="both"/>
        <w:ind w:left="332" w:hanging="332"/>
        <w:spacing w:after="0" w:line="238" w:lineRule="auto"/>
        <w:tabs>
          <w:tab w:leader="none" w:pos="3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Executive agrees that neither this General Release, nor the furnishing of the consideration for this General Release, shall be deemed or construed at any time to be an admission by the Company, any Released Party or Executive of any improper or unlawful conduct. Rather, this General Release expresses the intention of the parties to resolve all issues and other Claims related to or arising out of the Executive’s employment by and termination of employment with the Company.</w:t>
      </w:r>
    </w:p>
    <w:p>
      <w:pPr>
        <w:spacing w:after="0" w:line="176" w:lineRule="exact"/>
        <w:rPr>
          <w:rFonts w:ascii="Times New Roman" w:cs="Times New Roman" w:eastAsia="Times New Roman" w:hAnsi="Times New Roman"/>
          <w:sz w:val="22"/>
          <w:szCs w:val="22"/>
          <w:color w:val="auto"/>
        </w:rPr>
      </w:pPr>
    </w:p>
    <w:p>
      <w:pPr>
        <w:jc w:val="both"/>
        <w:ind w:left="332" w:hanging="332"/>
        <w:spacing w:after="0" w:line="261" w:lineRule="auto"/>
        <w:tabs>
          <w:tab w:leader="none" w:pos="33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Subsequent Breach</w:t>
      </w:r>
      <w:r>
        <w:rPr>
          <w:rFonts w:ascii="Times New Roman" w:cs="Times New Roman" w:eastAsia="Times New Roman" w:hAnsi="Times New Roman"/>
          <w:sz w:val="21"/>
          <w:szCs w:val="21"/>
          <w:color w:val="auto"/>
        </w:rPr>
        <w:t>. Notwithstanding anything in this General Release to the contrary, this General Release shall not relinquish, diminish or in any way affect any rights or Claims arising out of any breach by Employer of the Employment Agreement after the date hereof, which are not subject to this General Release.</w:t>
      </w:r>
    </w:p>
    <w:p>
      <w:pPr>
        <w:spacing w:after="0" w:line="157" w:lineRule="exact"/>
        <w:rPr>
          <w:rFonts w:ascii="Times New Roman" w:cs="Times New Roman" w:eastAsia="Times New Roman" w:hAnsi="Times New Roman"/>
          <w:sz w:val="21"/>
          <w:szCs w:val="21"/>
          <w:color w:val="auto"/>
        </w:rPr>
      </w:pPr>
    </w:p>
    <w:p>
      <w:pPr>
        <w:jc w:val="both"/>
        <w:ind w:left="332" w:hanging="332"/>
        <w:spacing w:after="0" w:line="236" w:lineRule="auto"/>
        <w:tabs>
          <w:tab w:leader="none" w:pos="3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spacing w:after="0" w:line="181" w:lineRule="exact"/>
        <w:rPr>
          <w:rFonts w:ascii="Times New Roman" w:cs="Times New Roman" w:eastAsia="Times New Roman" w:hAnsi="Times New Roman"/>
          <w:sz w:val="22"/>
          <w:szCs w:val="22"/>
          <w:color w:val="auto"/>
        </w:rPr>
      </w:pPr>
    </w:p>
    <w:p>
      <w:pPr>
        <w:jc w:val="both"/>
        <w:ind w:left="332" w:hanging="332"/>
        <w:spacing w:after="0" w:line="238" w:lineRule="auto"/>
        <w:tabs>
          <w:tab w:leader="none" w:pos="3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xml:space="preserve">. Executive acknowledges that Executive will continue to be bound by Executive’s obligations under the Employment Agreement that survive the termination of Executive’s employment by the terms thereof or by necessary implication, including, without limitation, the restrictive covenant obligations set forth in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of the Employment Agreement (all of the foregoing obligations,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332" w:hanging="332"/>
        <w:spacing w:after="0" w:line="236" w:lineRule="auto"/>
        <w:tabs>
          <w:tab w:leader="none" w:pos="3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Non-Disparagement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General Release, Executive agrees that Executive will not disclose this General Release or any of its terms or provisions, directly or by implication, except to members of Executive’s immediate family and to Executive’s legal and tax advisors, and then only on condition that they agree not to further disclose this General Release or any of its terms or provisions to others.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General Release, Executive agrees that Executive will never disparage or criticize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767080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141" w:name="page142"/>
    <w:bookmarkEnd w:id="141"/>
    <w:p>
      <w:pPr>
        <w:jc w:val="both"/>
        <w:ind w:left="328"/>
        <w:spacing w:after="0" w:line="251" w:lineRule="auto"/>
        <w:rPr>
          <w:sz w:val="20"/>
          <w:szCs w:val="20"/>
          <w:color w:val="auto"/>
        </w:rPr>
      </w:pPr>
      <w:r>
        <w:rPr>
          <w:rFonts w:ascii="Times New Roman" w:cs="Times New Roman" w:eastAsia="Times New Roman" w:hAnsi="Times New Roman"/>
          <w:sz w:val="21"/>
          <w:szCs w:val="21"/>
          <w:color w:val="auto"/>
        </w:rPr>
        <w:t>Company, its Affiliates, their business, their management or their products or services, and that Executive will not otherwise do or say anything that could disrupt the good morale of employees of the Company or any of its Affiliates or harm the interests or reputation of the Company or any of its Affiliates. The Company has directed the senior officers and directors of the Company and its Affiliates not to make or cause to be made any statements that disparage or criticize Executive or Executive’s reputation.</w:t>
      </w:r>
    </w:p>
    <w:p>
      <w:pPr>
        <w:spacing w:after="0" w:line="168" w:lineRule="exact"/>
        <w:rPr>
          <w:sz w:val="20"/>
          <w:szCs w:val="20"/>
          <w:color w:val="auto"/>
        </w:rPr>
      </w:pPr>
    </w:p>
    <w:p>
      <w:pPr>
        <w:ind w:left="328" w:right="40" w:hanging="328"/>
        <w:spacing w:after="0" w:line="239" w:lineRule="auto"/>
        <w:tabs>
          <w:tab w:leader="none" w:pos="32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Cooperation with Non-Governmental Third Parties</w:t>
      </w:r>
      <w:r>
        <w:rPr>
          <w:rFonts w:ascii="Times New Roman" w:cs="Times New Roman" w:eastAsia="Times New Roman" w:hAnsi="Times New Roman"/>
          <w:sz w:val="22"/>
          <w:szCs w:val="22"/>
          <w:color w:val="auto"/>
        </w:rPr>
        <w:t>. Executive agrees that, to the maximum extent permitted by law, Executive shall not knowingly encourage, counsel or assist any non- governmental attorneys or their clients in the presentation or prosecution of any disputes, differences, grievances, claims, charges or complaints by any non-governmental third party against any of the Released Parties.</w:t>
      </w:r>
    </w:p>
    <w:p>
      <w:pPr>
        <w:spacing w:after="0" w:line="180" w:lineRule="exact"/>
        <w:rPr>
          <w:rFonts w:ascii="Times New Roman" w:cs="Times New Roman" w:eastAsia="Times New Roman" w:hAnsi="Times New Roman"/>
          <w:sz w:val="22"/>
          <w:szCs w:val="22"/>
          <w:color w:val="auto"/>
        </w:rPr>
      </w:pPr>
    </w:p>
    <w:p>
      <w:pPr>
        <w:ind w:left="328" w:right="140" w:hanging="328"/>
        <w:spacing w:after="0" w:line="236" w:lineRule="auto"/>
        <w:tabs>
          <w:tab w:leader="none" w:pos="32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Consultation; Voluntary Agreement</w:t>
      </w:r>
      <w:r>
        <w:rPr>
          <w:rFonts w:ascii="Times New Roman" w:cs="Times New Roman" w:eastAsia="Times New Roman" w:hAnsi="Times New Roman"/>
          <w:sz w:val="22"/>
          <w:szCs w:val="22"/>
          <w:color w:val="auto"/>
        </w:rPr>
        <w:t>. Executive acknowledges that the Company has advised Executive of Executive’s right to consult with an attorney prior to executing this General Release. Executive has carefully read and fully understands all of the provisions of this General Release. Executive is entering into this General Release knowingly, freely and voluntarily, in exchange for good and valuable consideration to which Executive would not be entitled in the absence of executing and not revoking this General Release.</w:t>
      </w:r>
    </w:p>
    <w:p>
      <w:pPr>
        <w:spacing w:after="0" w:line="181"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 and Revocation Period</w:t>
      </w:r>
      <w:r>
        <w:rPr>
          <w:rFonts w:ascii="Times New Roman" w:cs="Times New Roman" w:eastAsia="Times New Roman" w:hAnsi="Times New Roman"/>
          <w:sz w:val="22"/>
          <w:szCs w:val="22"/>
          <w:color w:val="auto"/>
        </w:rPr>
        <w:t>. Executive acknowledges that Executive has [twenty- one</w:t>
      </w:r>
    </w:p>
    <w:p>
      <w:pPr>
        <w:spacing w:after="0" w:line="14" w:lineRule="exact"/>
        <w:rPr>
          <w:rFonts w:ascii="Times New Roman" w:cs="Times New Roman" w:eastAsia="Times New Roman" w:hAnsi="Times New Roman"/>
          <w:sz w:val="22"/>
          <w:szCs w:val="22"/>
          <w:color w:val="auto"/>
        </w:rPr>
      </w:pPr>
    </w:p>
    <w:p>
      <w:pPr>
        <w:ind w:left="328" w:right="40"/>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(21)]/[forty-five (45)] calendar days to consider this General Release (the “</w:t>
      </w:r>
      <w:r>
        <w:rPr>
          <w:rFonts w:ascii="Times New Roman" w:cs="Times New Roman" w:eastAsia="Times New Roman" w:hAnsi="Times New Roman"/>
          <w:sz w:val="22"/>
          <w:szCs w:val="22"/>
          <w:u w:val="single" w:color="auto"/>
          <w:color w:val="auto"/>
        </w:rPr>
        <w:t>Consideration Period</w:t>
      </w:r>
      <w:r>
        <w:rPr>
          <w:rFonts w:ascii="Times New Roman" w:cs="Times New Roman" w:eastAsia="Times New Roman" w:hAnsi="Times New Roman"/>
          <w:sz w:val="22"/>
          <w:szCs w:val="22"/>
          <w:color w:val="auto"/>
        </w:rPr>
        <w:t xml:space="preserve">”). Executive agrees that changes to this General Release, whether material or immaterial, will not restart the Consideration Period. Executive understands that Executive may, at Executive’s own election, execute this General Release before the expiration of the Consideration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Executive may not execute this General Release prior to Executive’s final day of employment with the Company. Executive has seven (7) calendar days after the date on which Executive executes this General Release to revoke Executive’s consent to the General Release. Such revocation must be in writing and must be made to [●] at [●] via [●]. Notice of such revocation must be received within the seven (7) calendar days referenced above. In the event of such revocation by Executive, this General Release will be null and void, and Executive will have no entitlement to the Severance Benefits set forth in 5[(d)][(e)] of the Employment Agreement. Provided that Executive does not revoke Executive’s execution of this General Release within such seven (7) day period, this General Release shall become effective on the eighth (8</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calendar day after the date on which Executive initially executes it.</w:t>
      </w:r>
    </w:p>
    <w:p>
      <w:pPr>
        <w:spacing w:after="0" w:line="185" w:lineRule="exact"/>
        <w:rPr>
          <w:rFonts w:ascii="Times New Roman" w:cs="Times New Roman" w:eastAsia="Times New Roman" w:hAnsi="Times New Roman"/>
          <w:sz w:val="22"/>
          <w:szCs w:val="22"/>
          <w:color w:val="auto"/>
        </w:rPr>
      </w:pPr>
    </w:p>
    <w:p>
      <w:pPr>
        <w:ind w:left="328" w:right="380" w:hanging="328"/>
        <w:spacing w:after="0" w:line="261" w:lineRule="auto"/>
        <w:tabs>
          <w:tab w:leader="none" w:pos="32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Incorporation by Reference</w:t>
      </w:r>
      <w:r>
        <w:rPr>
          <w:rFonts w:ascii="Times New Roman" w:cs="Times New Roman" w:eastAsia="Times New Roman" w:hAnsi="Times New Roman"/>
          <w:sz w:val="21"/>
          <w:szCs w:val="21"/>
          <w:color w:val="auto"/>
        </w:rPr>
        <w:t xml:space="preserve">. Executive acknowledges that Sections 7 through 24 of the Employment Agreement shall survive Executive’s execution of this General Release. Section 24 of the Employment Agreement is incorporated herein by reference and shall apply hereto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751840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868" w:right="999" w:bottom="1440" w:gutter="0" w:footer="0" w:header="0"/>
        </w:sectPr>
      </w:pPr>
    </w:p>
    <w:bookmarkStart w:id="142" w:name="page143"/>
    <w:bookmarkEnd w:id="142"/>
    <w:p>
      <w:pPr>
        <w:ind w:left="200"/>
        <w:spacing w:after="0"/>
        <w:rPr>
          <w:sz w:val="20"/>
          <w:szCs w:val="20"/>
          <w:color w:val="auto"/>
        </w:rPr>
      </w:pPr>
      <w:r>
        <w:rPr>
          <w:rFonts w:ascii="Times New Roman" w:cs="Times New Roman" w:eastAsia="Times New Roman" w:hAnsi="Times New Roman"/>
          <w:sz w:val="22"/>
          <w:szCs w:val="22"/>
          <w:color w:val="auto"/>
        </w:rPr>
        <w:t>BY SIGNING THIS GENERAL RELEASE, EXECUTIVE REPRESENTS AND AGREES THAT:</w:t>
      </w:r>
    </w:p>
    <w:p>
      <w:pPr>
        <w:spacing w:after="0" w:line="206" w:lineRule="exact"/>
        <w:rPr>
          <w:sz w:val="20"/>
          <w:szCs w:val="20"/>
          <w:color w:val="auto"/>
        </w:rPr>
      </w:pPr>
    </w:p>
    <w:p>
      <w:pPr>
        <w:ind w:left="840" w:hanging="644"/>
        <w:spacing w:after="0"/>
        <w:tabs>
          <w:tab w:leader="none" w:pos="8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READ IT CAREFULLY;</w:t>
      </w:r>
    </w:p>
    <w:p>
      <w:pPr>
        <w:spacing w:after="0" w:line="206" w:lineRule="exact"/>
        <w:rPr>
          <w:rFonts w:ascii="Times New Roman" w:cs="Times New Roman" w:eastAsia="Times New Roman" w:hAnsi="Times New Roman"/>
          <w:sz w:val="22"/>
          <w:szCs w:val="22"/>
          <w:color w:val="auto"/>
        </w:rPr>
      </w:pPr>
    </w:p>
    <w:p>
      <w:pPr>
        <w:jc w:val="both"/>
        <w:ind w:left="840" w:hanging="644"/>
        <w:spacing w:after="0" w:line="247" w:lineRule="auto"/>
        <w:tabs>
          <w:tab w:leader="none" w:pos="84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UNDERSTANDS ALL OF ITS TERMS AND KNOWS THAT EXECUTIVE IS GIVING UP IMPORTANT RIGHTS, INCLUDING, BUT NOT LIMITED TO, RIGHTS UNDER THE AGE DISCRIMINATION IN EMPLOYMENT ACT OF 1967, AS AMENDED; TITLE VII OF THE CIVIL RIGHTS ACT OF 1964, AS AMENDED; THE EQUAL PAY ACT OF 1963;</w:t>
      </w:r>
    </w:p>
    <w:p>
      <w:pPr>
        <w:spacing w:after="0" w:line="1" w:lineRule="exact"/>
        <w:rPr>
          <w:rFonts w:ascii="Times New Roman" w:cs="Times New Roman" w:eastAsia="Times New Roman" w:hAnsi="Times New Roman"/>
          <w:sz w:val="21"/>
          <w:szCs w:val="21"/>
          <w:color w:val="auto"/>
        </w:rPr>
      </w:pPr>
    </w:p>
    <w:p>
      <w:pPr>
        <w:ind w:left="840"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AMERICANS WITH DISABILITIES ACT OF 1990; AND THE EMPLOYEE RETIREMENT INCOME SECURITY ACT OF 1974, AS AMENDED;</w:t>
      </w:r>
    </w:p>
    <w:p>
      <w:pPr>
        <w:spacing w:after="0" w:line="178" w:lineRule="exact"/>
        <w:rPr>
          <w:rFonts w:ascii="Times New Roman" w:cs="Times New Roman" w:eastAsia="Times New Roman" w:hAnsi="Times New Roman"/>
          <w:sz w:val="21"/>
          <w:szCs w:val="21"/>
          <w:color w:val="auto"/>
        </w:rPr>
      </w:pPr>
    </w:p>
    <w:p>
      <w:pPr>
        <w:ind w:left="840" w:hanging="644"/>
        <w:spacing w:after="0"/>
        <w:tabs>
          <w:tab w:leader="none" w:pos="8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VOLUNTARILY CONSENTS TO EVERYTHING IN IT;</w:t>
      </w:r>
    </w:p>
    <w:p>
      <w:pPr>
        <w:spacing w:after="0" w:line="206" w:lineRule="exact"/>
        <w:rPr>
          <w:rFonts w:ascii="Times New Roman" w:cs="Times New Roman" w:eastAsia="Times New Roman" w:hAnsi="Times New Roman"/>
          <w:sz w:val="22"/>
          <w:szCs w:val="22"/>
          <w:color w:val="auto"/>
        </w:rPr>
      </w:pPr>
    </w:p>
    <w:p>
      <w:pPr>
        <w:jc w:val="both"/>
        <w:ind w:left="840" w:hanging="644"/>
        <w:spacing w:after="0" w:line="239" w:lineRule="auto"/>
        <w:tabs>
          <w:tab w:leader="none" w:pos="8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ADVISED TO CONSULT WITH AN ATTORNEY BEFORE EXECUTING IT AND EXECUTIVE HAS DONE SO, OR, AFTER CAREFUL READING AND CONSIDERATION, EXECUTIVE HAS CHOSEN NOT TO DO SO OF EXECUTIVE’S OWN VOLITION;</w:t>
      </w:r>
    </w:p>
    <w:p>
      <w:pPr>
        <w:spacing w:after="0" w:line="180" w:lineRule="exact"/>
        <w:rPr>
          <w:rFonts w:ascii="Times New Roman" w:cs="Times New Roman" w:eastAsia="Times New Roman" w:hAnsi="Times New Roman"/>
          <w:sz w:val="22"/>
          <w:szCs w:val="22"/>
          <w:color w:val="auto"/>
        </w:rPr>
      </w:pPr>
    </w:p>
    <w:p>
      <w:pPr>
        <w:jc w:val="both"/>
        <w:ind w:left="840" w:right="20" w:hanging="644"/>
        <w:spacing w:after="0" w:line="244" w:lineRule="auto"/>
        <w:tabs>
          <w:tab w:leader="none" w:pos="8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EXECUTIVE MAY NOT SIGN THIS GENERAL RELEASE BEFORE THE DATE EXECUTIVE’S EMPLOYMENT WITH THE COMPANY TERMINATES;</w:t>
      </w:r>
    </w:p>
    <w:p>
      <w:pPr>
        <w:spacing w:after="0" w:line="173" w:lineRule="exact"/>
        <w:rPr>
          <w:rFonts w:ascii="Times New Roman" w:cs="Times New Roman" w:eastAsia="Times New Roman" w:hAnsi="Times New Roman"/>
          <w:sz w:val="22"/>
          <w:szCs w:val="22"/>
          <w:color w:val="auto"/>
        </w:rPr>
      </w:pPr>
    </w:p>
    <w:p>
      <w:pPr>
        <w:jc w:val="both"/>
        <w:ind w:left="840" w:hanging="644"/>
        <w:spacing w:after="0" w:line="235" w:lineRule="auto"/>
        <w:tabs>
          <w:tab w:leader="none" w:pos="8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GIVEN ALL TIME PERIODS REQUIRED BY LAW TO CONSIDER THIS GENERAL RELEASE (INCLUDING, BUT NOT LIMITED TO, THE TIME PERIODS REQUIRED UNDER THE AGE DISCRIMINATION AND EMPLOYMENT ACT, AS AMENDED) SINCE THE DATE OF EXECUTIVE’S RECEIPT OF THIS GENERAL RELEASE SUBSTANTIALLY IN ITS FINAL FORM ON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TO CONSIDER ITS TERMS AND TO CONSULT WITH AN ATTORNEY, IF EXECUTIVE WISHED TO DO SO, OR TO CONSULT WITH ANY OF THE OTHER PERSONS DESCRIBED IN SECTION 3 OF THIS GENERAL RELEASE;</w:t>
      </w:r>
    </w:p>
    <w:p>
      <w:pPr>
        <w:spacing w:after="0" w:line="178" w:lineRule="exact"/>
        <w:rPr>
          <w:rFonts w:ascii="Times New Roman" w:cs="Times New Roman" w:eastAsia="Times New Roman" w:hAnsi="Times New Roman"/>
          <w:sz w:val="22"/>
          <w:szCs w:val="22"/>
          <w:color w:val="auto"/>
        </w:rPr>
      </w:pPr>
    </w:p>
    <w:p>
      <w:pPr>
        <w:jc w:val="both"/>
        <w:ind w:left="840" w:hanging="644"/>
        <w:spacing w:after="0" w:line="261" w:lineRule="auto"/>
        <w:tabs>
          <w:tab w:leader="none" w:pos="84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HAS SIGNED THIS GENERAL RELEASE KNOWINGLY AND VOLUNTARILY, WITH A FULL UNDERSTANDING OF ITS TERMS AND WITH THE ADVICE OF ANY COUNSEL RETAINED TO ADVISE EXECUTIVE WITH RESPECT TO IT;</w:t>
      </w:r>
    </w:p>
    <w:p>
      <w:pPr>
        <w:spacing w:after="0" w:line="157" w:lineRule="exact"/>
        <w:rPr>
          <w:rFonts w:ascii="Times New Roman" w:cs="Times New Roman" w:eastAsia="Times New Roman" w:hAnsi="Times New Roman"/>
          <w:sz w:val="21"/>
          <w:szCs w:val="21"/>
          <w:color w:val="auto"/>
        </w:rPr>
      </w:pPr>
    </w:p>
    <w:p>
      <w:pPr>
        <w:jc w:val="both"/>
        <w:ind w:left="840" w:hanging="644"/>
        <w:spacing w:after="0" w:line="244" w:lineRule="auto"/>
        <w:tabs>
          <w:tab w:leader="none" w:pos="8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RELIED ON ANY PROMISES OR REPRESENTATIVES, EXPRESS OR IMPLIED, THAT ARE NOT SET FORTH EXPRESSLY IN THIS GENERAL RELEASE; AND</w:t>
      </w:r>
    </w:p>
    <w:p>
      <w:pPr>
        <w:spacing w:after="0" w:line="173" w:lineRule="exact"/>
        <w:rPr>
          <w:rFonts w:ascii="Times New Roman" w:cs="Times New Roman" w:eastAsia="Times New Roman" w:hAnsi="Times New Roman"/>
          <w:sz w:val="22"/>
          <w:szCs w:val="22"/>
          <w:color w:val="auto"/>
        </w:rPr>
      </w:pPr>
    </w:p>
    <w:p>
      <w:pPr>
        <w:jc w:val="both"/>
        <w:ind w:left="840" w:hanging="644"/>
        <w:spacing w:after="0" w:line="239" w:lineRule="auto"/>
        <w:tabs>
          <w:tab w:leader="none" w:pos="8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THE PROVISIONS OF THIS GENERAL RELEASE MAY NOT BE AMENDED, WAIVED, CHANGED OR MODIFIED, EXCEPT BY AN INSTRUMENT IN WRITING SIGNED BY AN AUTHORIZED REPRESENTATIVE OF THE COMPANY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766445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10795</wp:posOffset>
            </wp:positionV>
            <wp:extent cx="58718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8"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22"/>
          <w:szCs w:val="22"/>
          <w:color w:val="auto"/>
        </w:rPr>
        <w:t>Nicole D’Amato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1" w:right="144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212126"/>
        </w:rPr>
        <w:t>EXECUTION VERSION</w:t>
      </w: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212126"/>
        </w:rPr>
        <w:t>EMPLOYMENT AGREEMENT</w:t>
      </w:r>
    </w:p>
    <w:p>
      <w:pPr>
        <w:spacing w:after="0" w:line="206"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21"/>
          <w:szCs w:val="21"/>
          <w:color w:val="212126"/>
        </w:rPr>
        <w:t>This EMPLOYMENT AGREEMENT (this “</w:t>
      </w:r>
      <w:r>
        <w:rPr>
          <w:rFonts w:ascii="Times New Roman" w:cs="Times New Roman" w:eastAsia="Times New Roman" w:hAnsi="Times New Roman"/>
          <w:sz w:val="21"/>
          <w:szCs w:val="21"/>
          <w:u w:val="single" w:color="auto"/>
          <w:color w:val="212126"/>
        </w:rPr>
        <w:t>Agreement</w:t>
      </w:r>
      <w:r>
        <w:rPr>
          <w:rFonts w:ascii="Times New Roman" w:cs="Times New Roman" w:eastAsia="Times New Roman" w:hAnsi="Times New Roman"/>
          <w:sz w:val="21"/>
          <w:szCs w:val="21"/>
          <w:color w:val="212126"/>
        </w:rPr>
        <w:t>”) is made and entered into as of this 19</w:t>
      </w:r>
      <w:r>
        <w:rPr>
          <w:rFonts w:ascii="Times New Roman" w:cs="Times New Roman" w:eastAsia="Times New Roman" w:hAnsi="Times New Roman"/>
          <w:sz w:val="15"/>
          <w:szCs w:val="15"/>
          <w:color w:val="212126"/>
        </w:rPr>
        <w:t>th</w:t>
      </w:r>
      <w:r>
        <w:rPr>
          <w:rFonts w:ascii="Times New Roman" w:cs="Times New Roman" w:eastAsia="Times New Roman" w:hAnsi="Times New Roman"/>
          <w:sz w:val="21"/>
          <w:szCs w:val="21"/>
          <w:color w:val="212126"/>
        </w:rPr>
        <w:t xml:space="preserve"> day of February, 2018 (the “</w:t>
      </w:r>
      <w:r>
        <w:rPr>
          <w:rFonts w:ascii="Times New Roman" w:cs="Times New Roman" w:eastAsia="Times New Roman" w:hAnsi="Times New Roman"/>
          <w:sz w:val="21"/>
          <w:szCs w:val="21"/>
          <w:u w:val="single" w:color="auto"/>
          <w:color w:val="212126"/>
        </w:rPr>
        <w:t>Effective Date</w:t>
      </w:r>
      <w:r>
        <w:rPr>
          <w:rFonts w:ascii="Times New Roman" w:cs="Times New Roman" w:eastAsia="Times New Roman" w:hAnsi="Times New Roman"/>
          <w:sz w:val="21"/>
          <w:szCs w:val="21"/>
          <w:color w:val="212126"/>
        </w:rPr>
        <w:t>”) by and between Total Community Options, Inc., dba InnovAge, a Colorado corporation, and any successor entity thereto (the “</w:t>
      </w:r>
      <w:r>
        <w:rPr>
          <w:rFonts w:ascii="Times New Roman" w:cs="Times New Roman" w:eastAsia="Times New Roman" w:hAnsi="Times New Roman"/>
          <w:sz w:val="21"/>
          <w:szCs w:val="21"/>
          <w:u w:val="single" w:color="auto"/>
          <w:color w:val="212126"/>
        </w:rPr>
        <w:t>Company</w:t>
      </w:r>
      <w:r>
        <w:rPr>
          <w:rFonts w:ascii="Times New Roman" w:cs="Times New Roman" w:eastAsia="Times New Roman" w:hAnsi="Times New Roman"/>
          <w:sz w:val="21"/>
          <w:szCs w:val="21"/>
          <w:color w:val="212126"/>
        </w:rPr>
        <w:t>”) and Maria Lozzano (the “</w:t>
      </w:r>
      <w:r>
        <w:rPr>
          <w:rFonts w:ascii="Times New Roman" w:cs="Times New Roman" w:eastAsia="Times New Roman" w:hAnsi="Times New Roman"/>
          <w:sz w:val="21"/>
          <w:szCs w:val="21"/>
          <w:u w:val="single" w:color="auto"/>
          <w:color w:val="212126"/>
        </w:rPr>
        <w:t>Executive</w:t>
      </w:r>
      <w:r>
        <w:rPr>
          <w:rFonts w:ascii="Times New Roman" w:cs="Times New Roman" w:eastAsia="Times New Roman" w:hAnsi="Times New Roman"/>
          <w:sz w:val="21"/>
          <w:szCs w:val="21"/>
          <w:color w:val="212126"/>
        </w:rPr>
        <w:t>”).</w:t>
      </w:r>
    </w:p>
    <w:p>
      <w:pPr>
        <w:spacing w:after="0" w:line="1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212126"/>
        </w:rPr>
        <w:t>RECITALS</w:t>
      </w:r>
    </w:p>
    <w:p>
      <w:pPr>
        <w:spacing w:after="0" w:line="206" w:lineRule="exact"/>
        <w:rPr>
          <w:sz w:val="20"/>
          <w:szCs w:val="20"/>
          <w:color w:val="auto"/>
        </w:rPr>
      </w:pPr>
    </w:p>
    <w:p>
      <w:pPr>
        <w:jc w:val="both"/>
        <w:ind w:left="20" w:firstLine="652"/>
        <w:spacing w:after="0" w:line="239" w:lineRule="auto"/>
        <w:rPr>
          <w:sz w:val="20"/>
          <w:szCs w:val="20"/>
          <w:color w:val="auto"/>
        </w:rPr>
      </w:pPr>
      <w:r>
        <w:rPr>
          <w:rFonts w:ascii="Times New Roman" w:cs="Times New Roman" w:eastAsia="Times New Roman" w:hAnsi="Times New Roman"/>
          <w:sz w:val="22"/>
          <w:szCs w:val="22"/>
          <w:color w:val="212126"/>
        </w:rPr>
        <w:t>The Executive has been employed in the position of Chief Operations Officer-Western Region. The Company desires to continue the Executive’s employment on the terms and conditions set forth in this Agreement. In consideration of the foregoing premises and the mutual promises, terms, provisions and conditions set forth in this Agreement, the parties hereby agree:</w:t>
      </w:r>
    </w:p>
    <w:p>
      <w:pPr>
        <w:spacing w:after="0" w:line="180" w:lineRule="exact"/>
        <w:rPr>
          <w:sz w:val="20"/>
          <w:szCs w:val="20"/>
          <w:color w:val="auto"/>
        </w:rPr>
      </w:pPr>
    </w:p>
    <w:p>
      <w:pPr>
        <w:ind w:left="20" w:firstLine="1317"/>
        <w:spacing w:after="0" w:line="258" w:lineRule="auto"/>
        <w:tabs>
          <w:tab w:leader="none" w:pos="1903" w:val="left"/>
        </w:tabs>
        <w:numPr>
          <w:ilvl w:val="1"/>
          <w:numId w:val="91"/>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Employment</w:t>
      </w:r>
      <w:r>
        <w:rPr>
          <w:rFonts w:ascii="Times New Roman" w:cs="Times New Roman" w:eastAsia="Times New Roman" w:hAnsi="Times New Roman"/>
          <w:sz w:val="22"/>
          <w:szCs w:val="22"/>
          <w:color w:val="212126"/>
        </w:rPr>
        <w:t>. The Executive’s employment shall be subject to the terms and conditions set forth in this Agreement.</w:t>
      </w:r>
    </w:p>
    <w:p>
      <w:pPr>
        <w:spacing w:after="0" w:line="158" w:lineRule="exact"/>
        <w:rPr>
          <w:rFonts w:ascii="Times New Roman" w:cs="Times New Roman" w:eastAsia="Times New Roman" w:hAnsi="Times New Roman"/>
          <w:sz w:val="22"/>
          <w:szCs w:val="22"/>
          <w:color w:val="212126"/>
        </w:rPr>
      </w:pPr>
    </w:p>
    <w:p>
      <w:pPr>
        <w:jc w:val="both"/>
        <w:ind w:left="20" w:right="20" w:firstLine="1296"/>
        <w:spacing w:after="0" w:line="244" w:lineRule="auto"/>
        <w:tabs>
          <w:tab w:leader="none" w:pos="1965" w:val="left"/>
        </w:tabs>
        <w:numPr>
          <w:ilvl w:val="0"/>
          <w:numId w:val="9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Term</w:t>
      </w:r>
      <w:r>
        <w:rPr>
          <w:rFonts w:ascii="Times New Roman" w:cs="Times New Roman" w:eastAsia="Times New Roman" w:hAnsi="Times New Roman"/>
          <w:sz w:val="22"/>
          <w:szCs w:val="22"/>
          <w:color w:val="212126"/>
        </w:rPr>
        <w:t xml:space="preserve">. This Agreement will continue in effect until terminated in accordance with Section 5 hereof. The term of this Agreement is hereafter referred to as </w:t>
      </w:r>
      <w:r>
        <w:rPr>
          <w:rFonts w:ascii="Times New Roman" w:cs="Times New Roman" w:eastAsia="Times New Roman" w:hAnsi="Times New Roman"/>
          <w:sz w:val="22"/>
          <w:szCs w:val="22"/>
          <w:color w:val="363638"/>
        </w:rPr>
        <w:t>“</w:t>
      </w:r>
      <w:r>
        <w:rPr>
          <w:rFonts w:ascii="Times New Roman" w:cs="Times New Roman" w:eastAsia="Times New Roman" w:hAnsi="Times New Roman"/>
          <w:sz w:val="22"/>
          <w:szCs w:val="22"/>
          <w:u w:val="single" w:color="auto"/>
          <w:color w:val="363638"/>
        </w:rPr>
        <w:t>the</w:t>
      </w:r>
      <w:r>
        <w:rPr>
          <w:rFonts w:ascii="Times New Roman" w:cs="Times New Roman" w:eastAsia="Times New Roman" w:hAnsi="Times New Roman"/>
          <w:sz w:val="22"/>
          <w:szCs w:val="22"/>
          <w:color w:val="212126"/>
        </w:rPr>
        <w:t xml:space="preserve"> </w:t>
      </w:r>
      <w:r>
        <w:rPr>
          <w:rFonts w:ascii="Times New Roman" w:cs="Times New Roman" w:eastAsia="Times New Roman" w:hAnsi="Times New Roman"/>
          <w:sz w:val="22"/>
          <w:szCs w:val="22"/>
          <w:u w:val="single" w:color="auto"/>
          <w:color w:val="212126"/>
        </w:rPr>
        <w:t>term of this Agreement</w:t>
      </w:r>
      <w:r>
        <w:rPr>
          <w:rFonts w:ascii="Times New Roman" w:cs="Times New Roman" w:eastAsia="Times New Roman" w:hAnsi="Times New Roman"/>
          <w:sz w:val="22"/>
          <w:szCs w:val="22"/>
          <w:color w:val="212126"/>
        </w:rPr>
        <w:t>” or “</w:t>
      </w:r>
      <w:r>
        <w:rPr>
          <w:rFonts w:ascii="Times New Roman" w:cs="Times New Roman" w:eastAsia="Times New Roman" w:hAnsi="Times New Roman"/>
          <w:sz w:val="22"/>
          <w:szCs w:val="22"/>
          <w:u w:val="single" w:color="auto"/>
          <w:color w:val="212126"/>
        </w:rPr>
        <w:t>the term</w:t>
      </w:r>
      <w:r>
        <w:rPr>
          <w:rFonts w:ascii="Times New Roman" w:cs="Times New Roman" w:eastAsia="Times New Roman" w:hAnsi="Times New Roman"/>
          <w:sz w:val="22"/>
          <w:szCs w:val="22"/>
          <w:color w:val="212126"/>
        </w:rPr>
        <w:t xml:space="preserve"> </w:t>
      </w:r>
      <w:r>
        <w:rPr>
          <w:rFonts w:ascii="Times New Roman" w:cs="Times New Roman" w:eastAsia="Times New Roman" w:hAnsi="Times New Roman"/>
          <w:sz w:val="22"/>
          <w:szCs w:val="22"/>
          <w:u w:val="single" w:color="auto"/>
          <w:color w:val="212126"/>
        </w:rPr>
        <w:t>hereof”</w:t>
      </w:r>
      <w:r>
        <w:rPr>
          <w:rFonts w:ascii="Times New Roman" w:cs="Times New Roman" w:eastAsia="Times New Roman" w:hAnsi="Times New Roman"/>
          <w:sz w:val="22"/>
          <w:szCs w:val="22"/>
          <w:color w:val="212126"/>
        </w:rPr>
        <w:t>.</w:t>
      </w:r>
    </w:p>
    <w:p>
      <w:pPr>
        <w:spacing w:after="0" w:line="173" w:lineRule="exact"/>
        <w:rPr>
          <w:rFonts w:ascii="Times New Roman" w:cs="Times New Roman" w:eastAsia="Times New Roman" w:hAnsi="Times New Roman"/>
          <w:sz w:val="22"/>
          <w:szCs w:val="22"/>
          <w:color w:val="212126"/>
        </w:rPr>
      </w:pPr>
    </w:p>
    <w:p>
      <w:pPr>
        <w:ind w:left="1960" w:hanging="648"/>
        <w:spacing w:after="0"/>
        <w:tabs>
          <w:tab w:leader="none" w:pos="1960" w:val="left"/>
        </w:tabs>
        <w:numPr>
          <w:ilvl w:val="0"/>
          <w:numId w:val="9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Capacity and Performance</w:t>
      </w:r>
      <w:r>
        <w:rPr>
          <w:rFonts w:ascii="Times New Roman" w:cs="Times New Roman" w:eastAsia="Times New Roman" w:hAnsi="Times New Roman"/>
          <w:sz w:val="22"/>
          <w:szCs w:val="22"/>
          <w:color w:val="212126"/>
        </w:rPr>
        <w:t>.</w:t>
      </w:r>
    </w:p>
    <w:p>
      <w:pPr>
        <w:spacing w:after="0" w:line="206" w:lineRule="exact"/>
        <w:rPr>
          <w:rFonts w:ascii="Times New Roman" w:cs="Times New Roman" w:eastAsia="Times New Roman" w:hAnsi="Times New Roman"/>
          <w:sz w:val="22"/>
          <w:szCs w:val="22"/>
          <w:color w:val="212126"/>
        </w:rPr>
      </w:pPr>
    </w:p>
    <w:p>
      <w:pPr>
        <w:ind w:left="20" w:right="20" w:firstLine="1944"/>
        <w:spacing w:after="0" w:line="258" w:lineRule="auto"/>
        <w:tabs>
          <w:tab w:leader="none" w:pos="2611" w:val="left"/>
        </w:tabs>
        <w:numPr>
          <w:ilvl w:val="2"/>
          <w:numId w:val="9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During the term hereof, the Executive shall be employed by ‘the Company on a full-time basis and shall serve the Company as its Chief Operations Officer - Western Region.</w:t>
      </w:r>
    </w:p>
    <w:p>
      <w:pPr>
        <w:spacing w:after="0" w:line="158" w:lineRule="exact"/>
        <w:rPr>
          <w:rFonts w:ascii="Times New Roman" w:cs="Times New Roman" w:eastAsia="Times New Roman" w:hAnsi="Times New Roman"/>
          <w:sz w:val="22"/>
          <w:szCs w:val="22"/>
          <w:color w:val="212126"/>
        </w:rPr>
      </w:pPr>
    </w:p>
    <w:p>
      <w:pPr>
        <w:jc w:val="both"/>
        <w:ind w:firstLine="1960"/>
        <w:spacing w:after="0" w:line="246" w:lineRule="auto"/>
        <w:tabs>
          <w:tab w:leader="none" w:pos="2599" w:val="left"/>
        </w:tabs>
        <w:numPr>
          <w:ilvl w:val="2"/>
          <w:numId w:val="92"/>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color w:val="212126"/>
        </w:rPr>
        <w:t>During the term hereof, the Executive shall devote substantially all of her full business time and her best efforts, business judgment, skill and knowledge to the advancement of the business and interests of the Company and its Affiliates and to the discharge of her duties and responsibilities hereunder. The Executive shall not engage in any other business activity or serve in any industry, trade, professional, governmental or academic position during the term of this Agreement, except as may be expressly approved in advance by the Chief Executive Officer in writing, which approval shall not be unreasonably withheld; provided, however, that the Executive may without advance consent participate in charitable activities and passive personal investment activities, provided that such activities do not, individually or in the aggregate, interfere with the performance of the Executive’s duties under this Agreement, are not in conflict with the business interests of the Company or any of its Affiliates and do not violate Sections 7, 8 or 9 of this Agreement.</w:t>
      </w:r>
    </w:p>
    <w:p>
      <w:pPr>
        <w:spacing w:after="0" w:line="170" w:lineRule="exact"/>
        <w:rPr>
          <w:rFonts w:ascii="Times New Roman" w:cs="Times New Roman" w:eastAsia="Times New Roman" w:hAnsi="Times New Roman"/>
          <w:sz w:val="21"/>
          <w:szCs w:val="21"/>
          <w:color w:val="212126"/>
        </w:rPr>
      </w:pPr>
    </w:p>
    <w:p>
      <w:pPr>
        <w:jc w:val="both"/>
        <w:ind w:firstLine="1956"/>
        <w:spacing w:after="0" w:line="244" w:lineRule="auto"/>
        <w:tabs>
          <w:tab w:leader="none" w:pos="2586" w:val="left"/>
        </w:tabs>
        <w:numPr>
          <w:ilvl w:val="2"/>
          <w:numId w:val="9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During the term hereof, the Executive shall comply with all of the Company’s written policies, practices and codes of conduct applicable to the Executive’s position,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762000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324" w:right="999" w:bottom="1440" w:gutter="0" w:footer="0" w:header="0"/>
        </w:sectPr>
      </w:pPr>
    </w:p>
    <w:bookmarkStart w:id="145" w:name="page146"/>
    <w:bookmarkEnd w:id="145"/>
    <w:p>
      <w:pPr>
        <w:jc w:val="both"/>
        <w:ind w:left="20" w:firstLine="1304"/>
        <w:spacing w:after="0" w:line="244" w:lineRule="auto"/>
        <w:tabs>
          <w:tab w:leader="none" w:pos="1970" w:val="left"/>
        </w:tabs>
        <w:numPr>
          <w:ilvl w:val="1"/>
          <w:numId w:val="93"/>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Compensation and Benefits</w:t>
      </w:r>
      <w:r>
        <w:rPr>
          <w:rFonts w:ascii="Times New Roman" w:cs="Times New Roman" w:eastAsia="Times New Roman" w:hAnsi="Times New Roman"/>
          <w:sz w:val="22"/>
          <w:szCs w:val="22"/>
          <w:color w:val="212126"/>
        </w:rPr>
        <w:t>. As compensation for all services performed by the Executive hereunder during the term hereof, and subject to performance of the Executive’s duties and responsibilities to the Company and its Affiliates, pursuant to this Agreement or otherwise, Company</w:t>
      </w:r>
    </w:p>
    <w:p>
      <w:pPr>
        <w:spacing w:after="0" w:line="173" w:lineRule="exact"/>
        <w:rPr>
          <w:rFonts w:ascii="Times New Roman" w:cs="Times New Roman" w:eastAsia="Times New Roman" w:hAnsi="Times New Roman"/>
          <w:sz w:val="22"/>
          <w:szCs w:val="22"/>
          <w:color w:val="212126"/>
        </w:rPr>
      </w:pPr>
    </w:p>
    <w:p>
      <w:pPr>
        <w:jc w:val="both"/>
        <w:ind w:left="20" w:firstLine="1954"/>
        <w:spacing w:after="0" w:line="235" w:lineRule="auto"/>
        <w:tabs>
          <w:tab w:leader="none" w:pos="2609" w:val="left"/>
        </w:tabs>
        <w:numPr>
          <w:ilvl w:val="3"/>
          <w:numId w:val="93"/>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Base Salary</w:t>
      </w:r>
      <w:r>
        <w:rPr>
          <w:rFonts w:ascii="Times New Roman" w:cs="Times New Roman" w:eastAsia="Times New Roman" w:hAnsi="Times New Roman"/>
          <w:sz w:val="22"/>
          <w:szCs w:val="22"/>
          <w:color w:val="212126"/>
        </w:rPr>
        <w:t>. During the term of this Agreement, the Company will pay the Executive an annual base salary commensurate with her performance and experience within the compensation philosophy established by the Company. The Executive will be paid her annual salary in accordance with the normal payroll practices of the Company as in effect from time to time (but no less frequently than monthly), as from time to time adjusted, is hereafter referred to as the “</w:t>
      </w:r>
      <w:r>
        <w:rPr>
          <w:rFonts w:ascii="Times New Roman" w:cs="Times New Roman" w:eastAsia="Times New Roman" w:hAnsi="Times New Roman"/>
          <w:sz w:val="22"/>
          <w:szCs w:val="22"/>
          <w:u w:val="single" w:color="auto"/>
          <w:color w:val="212126"/>
        </w:rPr>
        <w:t>Base Salary</w:t>
      </w:r>
      <w:r>
        <w:rPr>
          <w:rFonts w:ascii="Times New Roman" w:cs="Times New Roman" w:eastAsia="Times New Roman" w:hAnsi="Times New Roman"/>
          <w:sz w:val="22"/>
          <w:szCs w:val="22"/>
          <w:color w:val="212126"/>
        </w:rPr>
        <w:t xml:space="preserve">”. The Chief Executive Officer, following consultation with the Company’s Board of Directors (the </w:t>
      </w:r>
      <w:r>
        <w:rPr>
          <w:rFonts w:ascii="Times New Roman" w:cs="Times New Roman" w:eastAsia="Times New Roman" w:hAnsi="Times New Roman"/>
          <w:sz w:val="22"/>
          <w:szCs w:val="22"/>
          <w:color w:val="36363A"/>
        </w:rPr>
        <w:t>“</w:t>
      </w:r>
      <w:r>
        <w:rPr>
          <w:rFonts w:ascii="Times New Roman" w:cs="Times New Roman" w:eastAsia="Times New Roman" w:hAnsi="Times New Roman"/>
          <w:sz w:val="22"/>
          <w:szCs w:val="22"/>
          <w:u w:val="single" w:color="auto"/>
          <w:color w:val="36363A"/>
        </w:rPr>
        <w:t>Board</w:t>
      </w:r>
      <w:r>
        <w:rPr>
          <w:rFonts w:ascii="Times New Roman" w:cs="Times New Roman" w:eastAsia="Times New Roman" w:hAnsi="Times New Roman"/>
          <w:sz w:val="22"/>
          <w:szCs w:val="22"/>
          <w:color w:val="36363A"/>
        </w:rPr>
        <w:t>”),</w:t>
      </w:r>
      <w:r>
        <w:rPr>
          <w:rFonts w:ascii="Times New Roman" w:cs="Times New Roman" w:eastAsia="Times New Roman" w:hAnsi="Times New Roman"/>
          <w:sz w:val="22"/>
          <w:szCs w:val="22"/>
          <w:color w:val="212126"/>
        </w:rPr>
        <w:t xml:space="preserve"> shall review the Base Salary each year for increase, but shall not decrease the Base Salary.</w:t>
      </w:r>
    </w:p>
    <w:p>
      <w:pPr>
        <w:spacing w:after="0" w:line="183" w:lineRule="exact"/>
        <w:rPr>
          <w:rFonts w:ascii="Times New Roman" w:cs="Times New Roman" w:eastAsia="Times New Roman" w:hAnsi="Times New Roman"/>
          <w:sz w:val="22"/>
          <w:szCs w:val="22"/>
          <w:color w:val="212126"/>
        </w:rPr>
      </w:pPr>
    </w:p>
    <w:p>
      <w:pPr>
        <w:jc w:val="both"/>
        <w:ind w:left="20" w:firstLine="1951"/>
        <w:spacing w:after="0" w:line="246" w:lineRule="auto"/>
        <w:tabs>
          <w:tab w:leader="none" w:pos="2609" w:val="left"/>
        </w:tabs>
        <w:numPr>
          <w:ilvl w:val="3"/>
          <w:numId w:val="93"/>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u w:val="single" w:color="auto"/>
          <w:color w:val="212126"/>
        </w:rPr>
        <w:t>Annual Bonus Compensation</w:t>
      </w:r>
      <w:r>
        <w:rPr>
          <w:rFonts w:ascii="Times New Roman" w:cs="Times New Roman" w:eastAsia="Times New Roman" w:hAnsi="Times New Roman"/>
          <w:sz w:val="21"/>
          <w:szCs w:val="21"/>
          <w:color w:val="212126"/>
        </w:rPr>
        <w:t>. For each fiscal year occurring during the term hereof, the Executive shall be eligible, but not entitled to receive, a discretionary annual bonus (the “</w:t>
      </w:r>
      <w:r>
        <w:rPr>
          <w:rFonts w:ascii="Times New Roman" w:cs="Times New Roman" w:eastAsia="Times New Roman" w:hAnsi="Times New Roman"/>
          <w:sz w:val="21"/>
          <w:szCs w:val="21"/>
          <w:u w:val="single" w:color="auto"/>
          <w:color w:val="212126"/>
        </w:rPr>
        <w:t>Annual</w:t>
      </w:r>
      <w:r>
        <w:rPr>
          <w:rFonts w:ascii="Times New Roman" w:cs="Times New Roman" w:eastAsia="Times New Roman" w:hAnsi="Times New Roman"/>
          <w:sz w:val="21"/>
          <w:szCs w:val="21"/>
          <w:color w:val="212126"/>
        </w:rPr>
        <w:t xml:space="preserve"> </w:t>
      </w:r>
      <w:r>
        <w:rPr>
          <w:rFonts w:ascii="Times New Roman" w:cs="Times New Roman" w:eastAsia="Times New Roman" w:hAnsi="Times New Roman"/>
          <w:sz w:val="21"/>
          <w:szCs w:val="21"/>
          <w:u w:val="single" w:color="auto"/>
          <w:color w:val="212126"/>
        </w:rPr>
        <w:t>Bonus</w:t>
      </w:r>
      <w:r>
        <w:rPr>
          <w:rFonts w:ascii="Times New Roman" w:cs="Times New Roman" w:eastAsia="Times New Roman" w:hAnsi="Times New Roman"/>
          <w:sz w:val="21"/>
          <w:szCs w:val="21"/>
          <w:color w:val="212126"/>
        </w:rPr>
        <w:t xml:space="preserve">”). The Annual Bonus shall be targeted at thirty percent (30%) of the Base Salary, with the actual amount of the Annual Bonus, if any, to be determined solely by the Chief Executive Officer, following consultation with the Board, acting in good faith and based on the achievement of pre-established performance criteria. The performance criteria shall be based on criteria established by Chief Executive Officer in consultation with the Board each fiscal year. Executive acknowledges and understands that there is no guarantee or entitlement to an Annual Bonus of any amount for any fiscal year and any such Annual Bonus is at the sole discretion of the Company. Except as otherwise provided for in Section 5, in order to receive the Annual Bonus for any fiscal year, the Executive must be employed by the Company through </w:t>
      </w:r>
      <w:r>
        <w:rPr>
          <w:rFonts w:ascii="Times New Roman" w:cs="Times New Roman" w:eastAsia="Times New Roman" w:hAnsi="Times New Roman"/>
          <w:sz w:val="21"/>
          <w:szCs w:val="21"/>
          <w:color w:val="36363A"/>
        </w:rPr>
        <w:t>the</w:t>
      </w:r>
      <w:r>
        <w:rPr>
          <w:rFonts w:ascii="Times New Roman" w:cs="Times New Roman" w:eastAsia="Times New Roman" w:hAnsi="Times New Roman"/>
          <w:sz w:val="21"/>
          <w:szCs w:val="21"/>
          <w:color w:val="212126"/>
        </w:rPr>
        <w:t xml:space="preserve"> last day of the fiscal year.</w:t>
      </w:r>
    </w:p>
    <w:p>
      <w:pPr>
        <w:spacing w:after="0" w:line="170" w:lineRule="exact"/>
        <w:rPr>
          <w:rFonts w:ascii="Times New Roman" w:cs="Times New Roman" w:eastAsia="Times New Roman" w:hAnsi="Times New Roman"/>
          <w:sz w:val="21"/>
          <w:szCs w:val="21"/>
          <w:color w:val="212126"/>
        </w:rPr>
      </w:pPr>
    </w:p>
    <w:p>
      <w:pPr>
        <w:ind w:left="2600" w:hanging="634"/>
        <w:spacing w:after="0"/>
        <w:tabs>
          <w:tab w:leader="none" w:pos="2600" w:val="left"/>
        </w:tabs>
        <w:numPr>
          <w:ilvl w:val="3"/>
          <w:numId w:val="93"/>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u w:val="single" w:color="auto"/>
          <w:color w:val="212126"/>
        </w:rPr>
        <w:t>Paid Time Off</w:t>
      </w:r>
      <w:r>
        <w:rPr>
          <w:rFonts w:ascii="Times New Roman" w:cs="Times New Roman" w:eastAsia="Times New Roman" w:hAnsi="Times New Roman"/>
          <w:sz w:val="21"/>
          <w:szCs w:val="21"/>
          <w:color w:val="212126"/>
        </w:rPr>
        <w:t>. During the term hereof, the Executive shall be entitled to earn four</w:t>
      </w:r>
    </w:p>
    <w:p>
      <w:pPr>
        <w:spacing w:after="0" w:line="25" w:lineRule="exact"/>
        <w:rPr>
          <w:rFonts w:ascii="Times New Roman" w:cs="Times New Roman" w:eastAsia="Times New Roman" w:hAnsi="Times New Roman"/>
          <w:sz w:val="21"/>
          <w:szCs w:val="21"/>
          <w:color w:val="212126"/>
        </w:rPr>
      </w:pPr>
    </w:p>
    <w:p>
      <w:pPr>
        <w:jc w:val="both"/>
        <w:ind w:firstLine="8"/>
        <w:spacing w:after="0" w:line="235" w:lineRule="auto"/>
        <w:tabs>
          <w:tab w:leader="none" w:pos="313" w:val="left"/>
        </w:tabs>
        <w:numPr>
          <w:ilvl w:val="0"/>
          <w:numId w:val="94"/>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weeks of paid time off (“</w:t>
      </w:r>
      <w:r>
        <w:rPr>
          <w:rFonts w:ascii="Times New Roman" w:cs="Times New Roman" w:eastAsia="Times New Roman" w:hAnsi="Times New Roman"/>
          <w:sz w:val="22"/>
          <w:szCs w:val="22"/>
          <w:u w:val="single" w:color="auto"/>
          <w:color w:val="212126"/>
        </w:rPr>
        <w:t>PTO</w:t>
      </w:r>
      <w:r>
        <w:rPr>
          <w:rFonts w:ascii="Times New Roman" w:cs="Times New Roman" w:eastAsia="Times New Roman" w:hAnsi="Times New Roman"/>
          <w:sz w:val="22"/>
          <w:szCs w:val="22"/>
          <w:color w:val="212126"/>
        </w:rPr>
        <w:t xml:space="preserve">”) per annum (in addition to Company holidays), to be taken at such times and </w:t>
      </w:r>
      <w:r>
        <w:rPr>
          <w:rFonts w:ascii="Times New Roman" w:cs="Times New Roman" w:eastAsia="Times New Roman" w:hAnsi="Times New Roman"/>
          <w:sz w:val="22"/>
          <w:szCs w:val="22"/>
          <w:color w:val="36363A"/>
        </w:rPr>
        <w:t xml:space="preserve">intervals </w:t>
      </w:r>
      <w:r>
        <w:rPr>
          <w:rFonts w:ascii="Times New Roman" w:cs="Times New Roman" w:eastAsia="Times New Roman" w:hAnsi="Times New Roman"/>
          <w:sz w:val="22"/>
          <w:szCs w:val="22"/>
          <w:color w:val="212126"/>
        </w:rPr>
        <w:t>as shall be determined by the Executive, subject to the reasonable business needs of the Company. PTO</w:t>
      </w:r>
      <w:r>
        <w:rPr>
          <w:rFonts w:ascii="Times New Roman" w:cs="Times New Roman" w:eastAsia="Times New Roman" w:hAnsi="Times New Roman"/>
          <w:sz w:val="22"/>
          <w:szCs w:val="22"/>
          <w:color w:val="36363A"/>
        </w:rPr>
        <w:t xml:space="preserve"> </w:t>
      </w:r>
      <w:r>
        <w:rPr>
          <w:rFonts w:ascii="Times New Roman" w:cs="Times New Roman" w:eastAsia="Times New Roman" w:hAnsi="Times New Roman"/>
          <w:sz w:val="22"/>
          <w:szCs w:val="22"/>
          <w:color w:val="212126"/>
        </w:rPr>
        <w:t>shall otherwise be governed by the policies of the Company, as in effect from time to time.</w:t>
      </w:r>
    </w:p>
    <w:p>
      <w:pPr>
        <w:spacing w:after="0" w:line="177" w:lineRule="exact"/>
        <w:rPr>
          <w:rFonts w:ascii="Times New Roman" w:cs="Times New Roman" w:eastAsia="Times New Roman" w:hAnsi="Times New Roman"/>
          <w:sz w:val="22"/>
          <w:szCs w:val="22"/>
          <w:color w:val="212126"/>
        </w:rPr>
      </w:pPr>
    </w:p>
    <w:p>
      <w:pPr>
        <w:jc w:val="both"/>
        <w:ind w:firstLine="1962"/>
        <w:spacing w:after="0" w:line="235" w:lineRule="auto"/>
        <w:tabs>
          <w:tab w:leader="none" w:pos="2593" w:val="left"/>
        </w:tabs>
        <w:numPr>
          <w:ilvl w:val="2"/>
          <w:numId w:val="94"/>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Employee Benefit Plans</w:t>
      </w:r>
      <w:r>
        <w:rPr>
          <w:rFonts w:ascii="Times New Roman" w:cs="Times New Roman" w:eastAsia="Times New Roman" w:hAnsi="Times New Roman"/>
          <w:sz w:val="22"/>
          <w:szCs w:val="22"/>
          <w:color w:val="212126"/>
        </w:rPr>
        <w:t>. During the term hereof and subject to any contribution therefore generally required of similarly-situated employees of the Company, the Executive shall be entitled to participate in any and all Employee Benefit Plans from time to time in effect for employees of the Company generally, except to the extent any Employee Benefit Plan provides for benefits otherwise provided to the Executive hereunder (</w:t>
      </w:r>
      <w:r>
        <w:rPr>
          <w:rFonts w:ascii="Times New Roman" w:cs="Times New Roman" w:eastAsia="Times New Roman" w:hAnsi="Times New Roman"/>
          <w:sz w:val="22"/>
          <w:szCs w:val="22"/>
          <w:u w:val="single" w:color="auto"/>
          <w:color w:val="212126"/>
        </w:rPr>
        <w:t>e.g</w:t>
      </w:r>
      <w:r>
        <w:rPr>
          <w:rFonts w:ascii="Times New Roman" w:cs="Times New Roman" w:eastAsia="Times New Roman" w:hAnsi="Times New Roman"/>
          <w:sz w:val="22"/>
          <w:szCs w:val="22"/>
          <w:color w:val="212126"/>
        </w:rPr>
        <w:t>., a severance pay plan). Such participation shall be subject to (i) the terms of the applicable plan documents, (ii) generally applicable Company policies and (iii) the discretion of the Company or any administrative or other committee provided for under or contemplated by such plan.</w:t>
      </w:r>
    </w:p>
    <w:p>
      <w:pPr>
        <w:spacing w:after="0" w:line="183" w:lineRule="exact"/>
        <w:rPr>
          <w:rFonts w:ascii="Times New Roman" w:cs="Times New Roman" w:eastAsia="Times New Roman" w:hAnsi="Times New Roman"/>
          <w:sz w:val="22"/>
          <w:szCs w:val="22"/>
          <w:color w:val="212126"/>
        </w:rPr>
      </w:pPr>
    </w:p>
    <w:p>
      <w:pPr>
        <w:jc w:val="both"/>
        <w:ind w:left="20" w:firstLine="1942"/>
        <w:spacing w:after="0" w:line="244" w:lineRule="auto"/>
        <w:tabs>
          <w:tab w:leader="none" w:pos="2604" w:val="left"/>
        </w:tabs>
        <w:numPr>
          <w:ilvl w:val="2"/>
          <w:numId w:val="94"/>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Business Expenses</w:t>
      </w:r>
      <w:r>
        <w:rPr>
          <w:rFonts w:ascii="Times New Roman" w:cs="Times New Roman" w:eastAsia="Times New Roman" w:hAnsi="Times New Roman"/>
          <w:sz w:val="22"/>
          <w:szCs w:val="22"/>
          <w:color w:val="212126"/>
        </w:rPr>
        <w:t xml:space="preserve">. The Company shall pay or reimburse the Executive for reasonable, customary and necessary business expenses incurred or paid by the Executive in the performance of her duties and </w:t>
      </w:r>
      <w:r>
        <w:rPr>
          <w:rFonts w:ascii="Times New Roman" w:cs="Times New Roman" w:eastAsia="Times New Roman" w:hAnsi="Times New Roman"/>
          <w:sz w:val="22"/>
          <w:szCs w:val="22"/>
          <w:color w:val="36363A"/>
        </w:rPr>
        <w:t>responsibilities</w:t>
      </w:r>
      <w:r>
        <w:rPr>
          <w:rFonts w:ascii="Times New Roman" w:cs="Times New Roman" w:eastAsia="Times New Roman" w:hAnsi="Times New Roman"/>
          <w:sz w:val="22"/>
          <w:szCs w:val="22"/>
          <w:color w:val="212126"/>
        </w:rPr>
        <w:t xml:space="preserve"> hereunder, subject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46" w:name="page147"/>
    <w:bookmarkEnd w:id="146"/>
    <w:p>
      <w:pPr>
        <w:ind w:left="40" w:hanging="3"/>
        <w:spacing w:after="0" w:line="258" w:lineRule="auto"/>
        <w:rPr>
          <w:sz w:val="20"/>
          <w:szCs w:val="20"/>
          <w:color w:val="auto"/>
        </w:rPr>
      </w:pPr>
      <w:r>
        <w:rPr>
          <w:rFonts w:ascii="Times New Roman" w:cs="Times New Roman" w:eastAsia="Times New Roman" w:hAnsi="Times New Roman"/>
          <w:sz w:val="22"/>
          <w:szCs w:val="22"/>
          <w:color w:val="212126"/>
        </w:rPr>
        <w:t xml:space="preserve">reasonable substantiation and documentation and to travel and other policies as may be required by the Company </w:t>
      </w:r>
      <w:r>
        <w:rPr>
          <w:rFonts w:ascii="Times New Roman" w:cs="Times New Roman" w:eastAsia="Times New Roman" w:hAnsi="Times New Roman"/>
          <w:sz w:val="22"/>
          <w:szCs w:val="22"/>
          <w:color w:val="363638"/>
        </w:rPr>
        <w:t xml:space="preserve">from </w:t>
      </w:r>
      <w:r>
        <w:rPr>
          <w:rFonts w:ascii="Times New Roman" w:cs="Times New Roman" w:eastAsia="Times New Roman" w:hAnsi="Times New Roman"/>
          <w:sz w:val="22"/>
          <w:szCs w:val="22"/>
          <w:color w:val="212126"/>
        </w:rPr>
        <w:t>time to time.</w:t>
      </w:r>
    </w:p>
    <w:p>
      <w:pPr>
        <w:spacing w:after="0" w:line="158" w:lineRule="exact"/>
        <w:rPr>
          <w:sz w:val="20"/>
          <w:szCs w:val="20"/>
          <w:color w:val="auto"/>
        </w:rPr>
      </w:pPr>
    </w:p>
    <w:p>
      <w:pPr>
        <w:ind w:left="40" w:firstLine="1291"/>
        <w:spacing w:after="0" w:line="258" w:lineRule="auto"/>
        <w:tabs>
          <w:tab w:leader="none" w:pos="1973" w:val="left"/>
        </w:tabs>
        <w:numPr>
          <w:ilvl w:val="0"/>
          <w:numId w:val="9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Termination of Employment and Severance Benefits</w:t>
      </w:r>
      <w:r>
        <w:rPr>
          <w:rFonts w:ascii="Times New Roman" w:cs="Times New Roman" w:eastAsia="Times New Roman" w:hAnsi="Times New Roman"/>
          <w:sz w:val="22"/>
          <w:szCs w:val="22"/>
          <w:color w:val="212126"/>
        </w:rPr>
        <w:t>. The Executive’s employment hereunder shall terminate under the following circumstances:</w:t>
      </w:r>
    </w:p>
    <w:p>
      <w:pPr>
        <w:spacing w:after="0" w:line="158" w:lineRule="exact"/>
        <w:rPr>
          <w:rFonts w:ascii="Times New Roman" w:cs="Times New Roman" w:eastAsia="Times New Roman" w:hAnsi="Times New Roman"/>
          <w:sz w:val="22"/>
          <w:szCs w:val="22"/>
          <w:color w:val="212126"/>
        </w:rPr>
      </w:pPr>
    </w:p>
    <w:p>
      <w:pPr>
        <w:jc w:val="both"/>
        <w:ind w:left="20" w:firstLine="1949"/>
        <w:spacing w:after="0" w:line="233" w:lineRule="auto"/>
        <w:tabs>
          <w:tab w:leader="none" w:pos="2604" w:val="left"/>
        </w:tabs>
        <w:numPr>
          <w:ilvl w:val="1"/>
          <w:numId w:val="9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Death</w:t>
      </w:r>
      <w:r>
        <w:rPr>
          <w:rFonts w:ascii="Times New Roman" w:cs="Times New Roman" w:eastAsia="Times New Roman" w:hAnsi="Times New Roman"/>
          <w:sz w:val="22"/>
          <w:szCs w:val="22"/>
          <w:color w:val="212126"/>
        </w:rPr>
        <w:t xml:space="preserve">. In the event of the Executive’s death during the term hereof, the date of death shall be the date of termination, and the Company shall pay or provide to the Executive’s designated beneficiary or, if no beneficiary has been designated by the Executive </w:t>
      </w:r>
      <w:r>
        <w:rPr>
          <w:rFonts w:ascii="Times New Roman" w:cs="Times New Roman" w:eastAsia="Times New Roman" w:hAnsi="Times New Roman"/>
          <w:sz w:val="22"/>
          <w:szCs w:val="22"/>
          <w:color w:val="363638"/>
        </w:rPr>
        <w:t>in</w:t>
      </w:r>
      <w:r>
        <w:rPr>
          <w:rFonts w:ascii="Times New Roman" w:cs="Times New Roman" w:eastAsia="Times New Roman" w:hAnsi="Times New Roman"/>
          <w:sz w:val="22"/>
          <w:szCs w:val="22"/>
          <w:color w:val="212126"/>
        </w:rPr>
        <w:t xml:space="preserve"> a notice received by the Company, to her estate: (i) any Base Salary earned but not paid through the date of termination, (ii) pay for any vacation time earned but not used through the date of termination, (iii) any business expenses incurred by the Executive but unreimbursed on the date of termination, provided that such expenses and required substantiation and documentation are submitted within one hundred twenty (120) days following termination, that such expenses are reimbursable under Company policy, and that any such expenses subject to Section 5(g)(iv) shall be paid not later than the deadline specified therein, and (iv) any Annual Bonus from the prior fiscal year that has not yet been paid (all of the foregoing, payable subject to the timing limitations described herein, </w:t>
      </w:r>
      <w:r>
        <w:rPr>
          <w:rFonts w:ascii="Times New Roman" w:cs="Times New Roman" w:eastAsia="Times New Roman" w:hAnsi="Times New Roman"/>
          <w:sz w:val="22"/>
          <w:szCs w:val="22"/>
          <w:color w:val="363638"/>
        </w:rPr>
        <w:t>“</w:t>
      </w:r>
      <w:r>
        <w:rPr>
          <w:rFonts w:ascii="Times New Roman" w:cs="Times New Roman" w:eastAsia="Times New Roman" w:hAnsi="Times New Roman"/>
          <w:sz w:val="22"/>
          <w:szCs w:val="22"/>
          <w:u w:val="single" w:color="auto"/>
          <w:color w:val="363638"/>
        </w:rPr>
        <w:t>Final</w:t>
      </w:r>
      <w:r>
        <w:rPr>
          <w:rFonts w:ascii="Times New Roman" w:cs="Times New Roman" w:eastAsia="Times New Roman" w:hAnsi="Times New Roman"/>
          <w:sz w:val="22"/>
          <w:szCs w:val="22"/>
          <w:color w:val="212126"/>
        </w:rPr>
        <w:t xml:space="preserve"> </w:t>
      </w:r>
      <w:r>
        <w:rPr>
          <w:rFonts w:ascii="Times New Roman" w:cs="Times New Roman" w:eastAsia="Times New Roman" w:hAnsi="Times New Roman"/>
          <w:sz w:val="22"/>
          <w:szCs w:val="22"/>
          <w:u w:val="single" w:color="auto"/>
          <w:color w:val="212126"/>
        </w:rPr>
        <w:t>Compensation</w:t>
      </w:r>
      <w:r>
        <w:rPr>
          <w:rFonts w:ascii="Times New Roman" w:cs="Times New Roman" w:eastAsia="Times New Roman" w:hAnsi="Times New Roman"/>
          <w:sz w:val="22"/>
          <w:szCs w:val="22"/>
          <w:color w:val="212126"/>
        </w:rPr>
        <w:t>”), The Company shall have no further obligation or liability to the Executive under this Agreement. Other than business expenses described in Section 5(a)(iii), Final Compensation shall be paid to the Executive’s designated beneficiary or estate at the time prescribed by applicable law and in all events within thirty (30) days following the date of death.</w:t>
      </w:r>
    </w:p>
    <w:p>
      <w:pPr>
        <w:spacing w:after="0" w:line="179" w:lineRule="exact"/>
        <w:rPr>
          <w:rFonts w:ascii="Times New Roman" w:cs="Times New Roman" w:eastAsia="Times New Roman" w:hAnsi="Times New Roman"/>
          <w:sz w:val="22"/>
          <w:szCs w:val="22"/>
          <w:color w:val="212126"/>
        </w:rPr>
      </w:pPr>
    </w:p>
    <w:p>
      <w:pPr>
        <w:ind w:left="2600" w:hanging="640"/>
        <w:spacing w:after="0"/>
        <w:tabs>
          <w:tab w:leader="none" w:pos="2600" w:val="left"/>
        </w:tabs>
        <w:numPr>
          <w:ilvl w:val="1"/>
          <w:numId w:val="9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Disability</w:t>
      </w:r>
      <w:r>
        <w:rPr>
          <w:rFonts w:ascii="Times New Roman" w:cs="Times New Roman" w:eastAsia="Times New Roman" w:hAnsi="Times New Roman"/>
          <w:sz w:val="22"/>
          <w:szCs w:val="22"/>
          <w:color w:val="212126"/>
        </w:rPr>
        <w:t>.</w:t>
      </w:r>
    </w:p>
    <w:p>
      <w:pPr>
        <w:spacing w:after="0" w:line="206" w:lineRule="exact"/>
        <w:rPr>
          <w:rFonts w:ascii="Times New Roman" w:cs="Times New Roman" w:eastAsia="Times New Roman" w:hAnsi="Times New Roman"/>
          <w:sz w:val="22"/>
          <w:szCs w:val="22"/>
          <w:color w:val="212126"/>
        </w:rPr>
      </w:pPr>
    </w:p>
    <w:p>
      <w:pPr>
        <w:jc w:val="both"/>
        <w:ind w:left="20" w:firstLine="2579"/>
        <w:spacing w:after="0" w:line="233" w:lineRule="auto"/>
        <w:tabs>
          <w:tab w:leader="none" w:pos="3247" w:val="left"/>
        </w:tabs>
        <w:numPr>
          <w:ilvl w:val="2"/>
          <w:numId w:val="9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 xml:space="preserve">The Company may terminate the Executive’s employment hereunder, upon notice to the Executive, in the event that the Executive becomes disabled during her employment hereunder through any illness, injury, accident or condition of either a physical or psychological nature and, as a result, is unable to perform substantially all of her duties and responsibilities hereunder (notwithstanding the provision of any reasonable accommodation exclusive of the leave of absence provided hereunder) for ninety (90) consecutive days, or one hundred and eighty (180) non-consecutive days during any period of three hundred and sixty five (365) consecutive calendar days. In the event of such termination, the Company shall have no further obligation or liability to the Executive under this Agreement, other than for payment of any Final Compensation due the Executive. Other than business expenses described in Section 5(a)(iii), Final Compensation shall be paid to the Executive at the </w:t>
      </w:r>
      <w:r>
        <w:rPr>
          <w:rFonts w:ascii="Times New Roman" w:cs="Times New Roman" w:eastAsia="Times New Roman" w:hAnsi="Times New Roman"/>
          <w:sz w:val="22"/>
          <w:szCs w:val="22"/>
          <w:color w:val="363638"/>
        </w:rPr>
        <w:t>time</w:t>
      </w:r>
      <w:r>
        <w:rPr>
          <w:rFonts w:ascii="Times New Roman" w:cs="Times New Roman" w:eastAsia="Times New Roman" w:hAnsi="Times New Roman"/>
          <w:sz w:val="22"/>
          <w:szCs w:val="22"/>
          <w:color w:val="212126"/>
        </w:rPr>
        <w:t xml:space="preserve"> prescribed by applicable law and in all events within thirty (30) days following the date of termination of employment.</w:t>
      </w:r>
    </w:p>
    <w:p>
      <w:pPr>
        <w:spacing w:after="0" w:line="187" w:lineRule="exact"/>
        <w:rPr>
          <w:rFonts w:ascii="Times New Roman" w:cs="Times New Roman" w:eastAsia="Times New Roman" w:hAnsi="Times New Roman"/>
          <w:sz w:val="22"/>
          <w:szCs w:val="22"/>
          <w:color w:val="212126"/>
        </w:rPr>
      </w:pPr>
    </w:p>
    <w:p>
      <w:pPr>
        <w:jc w:val="both"/>
        <w:ind w:firstLine="2591"/>
        <w:spacing w:after="0" w:line="236" w:lineRule="auto"/>
        <w:tabs>
          <w:tab w:leader="none" w:pos="3227" w:val="left"/>
        </w:tabs>
        <w:numPr>
          <w:ilvl w:val="2"/>
          <w:numId w:val="9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The Chief Executive Officer may designate another employee to act in the Executive’s place during any period of the Executive’s disability. Notwithstanding any such designation, the Executive shall continue to receive the Base Salary in accordance with Section 4(a) and to participate in Employee Benefit Plans in accordance with Section 4(d), to the extent permitted by the then-current terms of the applicable Employee Benefit Plans, until the Executive becomes eligible for disability income benefits under the Company’s disability income plan, if any, or until the termination of her employment, whichever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47" w:name="page148"/>
    <w:bookmarkEnd w:id="147"/>
    <w:p>
      <w:pPr>
        <w:jc w:val="both"/>
        <w:ind w:left="40" w:firstLine="4"/>
        <w:spacing w:after="0" w:line="238" w:lineRule="auto"/>
        <w:rPr>
          <w:sz w:val="20"/>
          <w:szCs w:val="20"/>
          <w:color w:val="auto"/>
        </w:rPr>
      </w:pPr>
      <w:r>
        <w:rPr>
          <w:rFonts w:ascii="Times New Roman" w:cs="Times New Roman" w:eastAsia="Times New Roman" w:hAnsi="Times New Roman"/>
          <w:sz w:val="22"/>
          <w:szCs w:val="22"/>
          <w:color w:val="212126"/>
        </w:rPr>
        <w:t>shall first occur. If Executive receives any disability income payments under the Company’s disability income plan, the Base Salary under Section 4(a) shall be reduced by the amount of such disability income. Executive shall continue to participate in the Employee Benefit Plans in accordance with Section 4(d) and to the extent permitted by and subject to the then-current terms of such plans, until the termination of her employment hereunder.</w:t>
      </w:r>
    </w:p>
    <w:p>
      <w:pPr>
        <w:spacing w:after="0" w:line="177" w:lineRule="exact"/>
        <w:rPr>
          <w:sz w:val="20"/>
          <w:szCs w:val="20"/>
          <w:color w:val="auto"/>
        </w:rPr>
      </w:pPr>
    </w:p>
    <w:p>
      <w:pPr>
        <w:jc w:val="both"/>
        <w:ind w:left="40" w:firstLine="2596"/>
        <w:spacing w:after="0" w:line="235" w:lineRule="auto"/>
        <w:tabs>
          <w:tab w:leader="none" w:pos="3283" w:val="left"/>
        </w:tabs>
        <w:numPr>
          <w:ilvl w:val="3"/>
          <w:numId w:val="96"/>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 xml:space="preserve">If any question shall arise as to whether the Executive </w:t>
      </w:r>
      <w:r>
        <w:rPr>
          <w:rFonts w:ascii="Times New Roman" w:cs="Times New Roman" w:eastAsia="Times New Roman" w:hAnsi="Times New Roman"/>
          <w:sz w:val="22"/>
          <w:szCs w:val="22"/>
          <w:color w:val="36363A"/>
        </w:rPr>
        <w:t>is</w:t>
      </w:r>
      <w:r>
        <w:rPr>
          <w:rFonts w:ascii="Times New Roman" w:cs="Times New Roman" w:eastAsia="Times New Roman" w:hAnsi="Times New Roman"/>
          <w:sz w:val="22"/>
          <w:szCs w:val="22"/>
          <w:color w:val="212126"/>
        </w:rPr>
        <w:t xml:space="preserve"> disabled through any illness, injury, accident or condition of either a physical or psychological nature so as to be unable to perform substantially all of her duties and responsibilities hereunder, the Executive may, and at the reasonable request of the Company shall, submit to a medical examination by a physician mutually agreed to by the Company and the Executive (or her duly appointed guardian, if any), and such determination for the purposes of this Agreement shall be conclusive. If such question shall arise and the Executive shall fail to submit to such medical examination, the Company’s determination of the issue shall be binding on the Executive.</w:t>
      </w:r>
    </w:p>
    <w:p>
      <w:pPr>
        <w:spacing w:after="0" w:line="183" w:lineRule="exact"/>
        <w:rPr>
          <w:rFonts w:ascii="Times New Roman" w:cs="Times New Roman" w:eastAsia="Times New Roman" w:hAnsi="Times New Roman"/>
          <w:sz w:val="22"/>
          <w:szCs w:val="22"/>
          <w:color w:val="212126"/>
        </w:rPr>
      </w:pPr>
    </w:p>
    <w:p>
      <w:pPr>
        <w:jc w:val="both"/>
        <w:ind w:left="40" w:firstLine="1942"/>
        <w:spacing w:after="0" w:line="244" w:lineRule="auto"/>
        <w:tabs>
          <w:tab w:leader="none" w:pos="2632" w:val="left"/>
        </w:tabs>
        <w:numPr>
          <w:ilvl w:val="0"/>
          <w:numId w:val="9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By the Company for Cause</w:t>
      </w:r>
      <w:r>
        <w:rPr>
          <w:rFonts w:ascii="Times New Roman" w:cs="Times New Roman" w:eastAsia="Times New Roman" w:hAnsi="Times New Roman"/>
          <w:sz w:val="22"/>
          <w:szCs w:val="22"/>
          <w:color w:val="212126"/>
        </w:rPr>
        <w:t xml:space="preserve">. The Company may terminate </w:t>
      </w:r>
      <w:r>
        <w:rPr>
          <w:rFonts w:ascii="Times New Roman" w:cs="Times New Roman" w:eastAsia="Times New Roman" w:hAnsi="Times New Roman"/>
          <w:sz w:val="22"/>
          <w:szCs w:val="22"/>
          <w:color w:val="36363A"/>
        </w:rPr>
        <w:t>the</w:t>
      </w:r>
      <w:r>
        <w:rPr>
          <w:rFonts w:ascii="Times New Roman" w:cs="Times New Roman" w:eastAsia="Times New Roman" w:hAnsi="Times New Roman"/>
          <w:sz w:val="22"/>
          <w:szCs w:val="22"/>
          <w:color w:val="212126"/>
        </w:rPr>
        <w:t xml:space="preserve"> Executive’s employment hereunder for Cause at any time upon delivery of written notice to the Executive. The following, as determined in the Company’s reasonable discretion, shall constitute Cause for termination:</w:t>
      </w:r>
    </w:p>
    <w:p>
      <w:pPr>
        <w:spacing w:after="0" w:line="173" w:lineRule="exact"/>
        <w:rPr>
          <w:rFonts w:ascii="Times New Roman" w:cs="Times New Roman" w:eastAsia="Times New Roman" w:hAnsi="Times New Roman"/>
          <w:sz w:val="22"/>
          <w:szCs w:val="22"/>
          <w:color w:val="212126"/>
        </w:rPr>
      </w:pPr>
    </w:p>
    <w:p>
      <w:pPr>
        <w:ind w:left="3260" w:hanging="637"/>
        <w:spacing w:after="0"/>
        <w:tabs>
          <w:tab w:leader="none" w:pos="3260" w:val="left"/>
        </w:tabs>
        <w:numPr>
          <w:ilvl w:val="2"/>
          <w:numId w:val="9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The Executive’s failure to perform her duties and responsibilities to the</w:t>
      </w:r>
    </w:p>
    <w:p>
      <w:pPr>
        <w:spacing w:after="0" w:line="14" w:lineRule="exact"/>
        <w:rPr>
          <w:rFonts w:ascii="Times New Roman" w:cs="Times New Roman" w:eastAsia="Times New Roman" w:hAnsi="Times New Roman"/>
          <w:sz w:val="22"/>
          <w:szCs w:val="22"/>
          <w:color w:val="212126"/>
        </w:rPr>
      </w:pPr>
    </w:p>
    <w:p>
      <w:pPr>
        <w:ind w:left="20"/>
        <w:spacing w:after="0"/>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Company or any of its Affiliates that are consistent with Executive’s title and authorities;</w:t>
      </w:r>
    </w:p>
    <w:p>
      <w:pPr>
        <w:spacing w:after="0" w:line="182" w:lineRule="exact"/>
        <w:rPr>
          <w:rFonts w:ascii="Times New Roman" w:cs="Times New Roman" w:eastAsia="Times New Roman" w:hAnsi="Times New Roman"/>
          <w:sz w:val="22"/>
          <w:szCs w:val="22"/>
          <w:color w:val="212126"/>
        </w:rPr>
      </w:pPr>
    </w:p>
    <w:p>
      <w:pPr>
        <w:jc w:val="both"/>
        <w:ind w:left="20" w:firstLine="2599"/>
        <w:spacing w:after="0" w:line="244" w:lineRule="auto"/>
        <w:tabs>
          <w:tab w:leader="none" w:pos="3251" w:val="left"/>
        </w:tabs>
        <w:numPr>
          <w:ilvl w:val="2"/>
          <w:numId w:val="9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The Executive’s material breach of any of the provisions of this Agreement or any other written agreement between the Executive and the Company or any of its Affiliates, resulting in material harm to the Company or any of its Affiliates; or</w:t>
      </w:r>
    </w:p>
    <w:p>
      <w:pPr>
        <w:spacing w:after="0" w:line="173" w:lineRule="exact"/>
        <w:rPr>
          <w:rFonts w:ascii="Times New Roman" w:cs="Times New Roman" w:eastAsia="Times New Roman" w:hAnsi="Times New Roman"/>
          <w:sz w:val="22"/>
          <w:szCs w:val="22"/>
          <w:color w:val="212126"/>
        </w:rPr>
      </w:pPr>
    </w:p>
    <w:p>
      <w:pPr>
        <w:ind w:left="20" w:firstLine="2599"/>
        <w:spacing w:after="0" w:line="258" w:lineRule="auto"/>
        <w:tabs>
          <w:tab w:leader="none" w:pos="3263" w:val="left"/>
        </w:tabs>
        <w:numPr>
          <w:ilvl w:val="2"/>
          <w:numId w:val="9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The Executive’s material breach of any fiduciary duty that the Executive has to the Company or any of its Affiliates;</w:t>
      </w:r>
    </w:p>
    <w:p>
      <w:pPr>
        <w:spacing w:after="0" w:line="158" w:lineRule="exact"/>
        <w:rPr>
          <w:rFonts w:ascii="Times New Roman" w:cs="Times New Roman" w:eastAsia="Times New Roman" w:hAnsi="Times New Roman"/>
          <w:sz w:val="22"/>
          <w:szCs w:val="22"/>
          <w:color w:val="212126"/>
        </w:rPr>
      </w:pPr>
    </w:p>
    <w:p>
      <w:pPr>
        <w:jc w:val="both"/>
        <w:ind w:left="20" w:firstLine="2595"/>
        <w:spacing w:after="0" w:line="244" w:lineRule="auto"/>
        <w:tabs>
          <w:tab w:leader="none" w:pos="3259" w:val="left"/>
        </w:tabs>
        <w:numPr>
          <w:ilvl w:val="2"/>
          <w:numId w:val="9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The Executive’s gross negligence, intentional misconduct or unethical or improper behavior by the Executive resulting in material harm to the business, interests or reputation of the Company or any of its Affiliates;</w:t>
      </w:r>
    </w:p>
    <w:p>
      <w:pPr>
        <w:spacing w:after="0" w:line="173" w:lineRule="exact"/>
        <w:rPr>
          <w:rFonts w:ascii="Times New Roman" w:cs="Times New Roman" w:eastAsia="Times New Roman" w:hAnsi="Times New Roman"/>
          <w:sz w:val="22"/>
          <w:szCs w:val="22"/>
          <w:color w:val="212126"/>
        </w:rPr>
      </w:pPr>
    </w:p>
    <w:p>
      <w:pPr>
        <w:ind w:left="3260" w:hanging="645"/>
        <w:spacing w:after="0"/>
        <w:tabs>
          <w:tab w:leader="none" w:pos="3260" w:val="left"/>
        </w:tabs>
        <w:numPr>
          <w:ilvl w:val="2"/>
          <w:numId w:val="9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The Executive’s commission of a felony or other crime involving moral</w:t>
      </w:r>
    </w:p>
    <w:p>
      <w:pPr>
        <w:spacing w:after="0" w:line="14" w:lineRule="exact"/>
        <w:rPr>
          <w:rFonts w:ascii="Times New Roman" w:cs="Times New Roman" w:eastAsia="Times New Roman" w:hAnsi="Times New Roman"/>
          <w:sz w:val="22"/>
          <w:szCs w:val="22"/>
          <w:color w:val="212126"/>
        </w:rPr>
      </w:pPr>
    </w:p>
    <w:p>
      <w:pPr>
        <w:ind w:left="20"/>
        <w:spacing w:after="0"/>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turpitude; or</w:t>
      </w:r>
    </w:p>
    <w:p>
      <w:pPr>
        <w:spacing w:after="0" w:line="182" w:lineRule="exact"/>
        <w:rPr>
          <w:rFonts w:ascii="Times New Roman" w:cs="Times New Roman" w:eastAsia="Times New Roman" w:hAnsi="Times New Roman"/>
          <w:sz w:val="22"/>
          <w:szCs w:val="22"/>
          <w:color w:val="212126"/>
        </w:rPr>
      </w:pPr>
    </w:p>
    <w:p>
      <w:pPr>
        <w:jc w:val="both"/>
        <w:ind w:left="20" w:firstLine="2591"/>
        <w:spacing w:after="0" w:line="244" w:lineRule="auto"/>
        <w:tabs>
          <w:tab w:leader="none" w:pos="3158" w:val="left"/>
        </w:tabs>
        <w:numPr>
          <w:ilvl w:val="1"/>
          <w:numId w:val="9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 xml:space="preserve">The Executive’s commission of conduct involving fraud, embezzlement, sexual harassment, material misappropriation of property or other substantial misconduct with </w:t>
      </w:r>
      <w:r>
        <w:rPr>
          <w:rFonts w:ascii="Times New Roman" w:cs="Times New Roman" w:eastAsia="Times New Roman" w:hAnsi="Times New Roman"/>
          <w:sz w:val="22"/>
          <w:szCs w:val="22"/>
          <w:color w:val="36363A"/>
        </w:rPr>
        <w:t>respect</w:t>
      </w:r>
      <w:r>
        <w:rPr>
          <w:rFonts w:ascii="Times New Roman" w:cs="Times New Roman" w:eastAsia="Times New Roman" w:hAnsi="Times New Roman"/>
          <w:sz w:val="22"/>
          <w:szCs w:val="22"/>
          <w:color w:val="212126"/>
        </w:rPr>
        <w:t xml:space="preserve"> to the Company or any of its Affiliates.</w:t>
      </w:r>
    </w:p>
    <w:p>
      <w:pPr>
        <w:spacing w:after="0" w:line="173" w:lineRule="exact"/>
        <w:rPr>
          <w:sz w:val="20"/>
          <w:szCs w:val="20"/>
          <w:color w:val="auto"/>
        </w:rPr>
      </w:pPr>
    </w:p>
    <w:p>
      <w:pPr>
        <w:jc w:val="both"/>
        <w:ind w:firstLine="4"/>
        <w:spacing w:after="0" w:line="238" w:lineRule="auto"/>
        <w:rPr>
          <w:sz w:val="20"/>
          <w:szCs w:val="20"/>
          <w:color w:val="auto"/>
        </w:rPr>
      </w:pPr>
      <w:r>
        <w:rPr>
          <w:rFonts w:ascii="Times New Roman" w:cs="Times New Roman" w:eastAsia="Times New Roman" w:hAnsi="Times New Roman"/>
          <w:sz w:val="22"/>
          <w:szCs w:val="22"/>
          <w:color w:val="212126"/>
        </w:rPr>
        <w:t>Any termination of the Executive’s employment for bases set forth in clauses (i), (ii), (iii), or (iv) shall not constitute a termination for Cause unless the Company shall have provided written notice to the Executive no later than fifteen (15) days from Executive’s act or omission constituting Cause setting forth in reasonable detail such acts or omissions, and the Executive shall have failed to cure such acts or omissions within fifteen (15) days following receipt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48" w:name="page149"/>
    <w:bookmarkEnd w:id="148"/>
    <w:p>
      <w:pPr>
        <w:jc w:val="both"/>
        <w:ind w:firstLine="4"/>
        <w:spacing w:after="0" w:line="238" w:lineRule="auto"/>
        <w:rPr>
          <w:sz w:val="20"/>
          <w:szCs w:val="20"/>
          <w:color w:val="auto"/>
        </w:rPr>
      </w:pPr>
      <w:r>
        <w:rPr>
          <w:rFonts w:ascii="Times New Roman" w:cs="Times New Roman" w:eastAsia="Times New Roman" w:hAnsi="Times New Roman"/>
          <w:sz w:val="22"/>
          <w:szCs w:val="22"/>
          <w:color w:val="212126"/>
        </w:rPr>
        <w:t>written notice. In the event of a termination of the Executive’s employment hereunder for Cause, the Company shall have no further obligation or liability to the Executive under this Agreement, other than for any Final Compensation due to the Executive</w:t>
      </w:r>
      <w:r>
        <w:rPr>
          <w:rFonts w:ascii="Times New Roman" w:cs="Times New Roman" w:eastAsia="Times New Roman" w:hAnsi="Times New Roman"/>
          <w:sz w:val="22"/>
          <w:szCs w:val="22"/>
          <w:color w:val="4D4D4D"/>
        </w:rPr>
        <w:t>.</w:t>
      </w:r>
      <w:r>
        <w:rPr>
          <w:rFonts w:ascii="Times New Roman" w:cs="Times New Roman" w:eastAsia="Times New Roman" w:hAnsi="Times New Roman"/>
          <w:sz w:val="22"/>
          <w:szCs w:val="22"/>
          <w:color w:val="212126"/>
        </w:rPr>
        <w:t xml:space="preserve"> Other than business expenses described in Section 5(a)(iii), Final Compensation shall be paid to the Executive at the time prescribed by applicable law and </w:t>
      </w:r>
      <w:r>
        <w:rPr>
          <w:rFonts w:ascii="Times New Roman" w:cs="Times New Roman" w:eastAsia="Times New Roman" w:hAnsi="Times New Roman"/>
          <w:sz w:val="22"/>
          <w:szCs w:val="22"/>
          <w:color w:val="38383A"/>
        </w:rPr>
        <w:t>in</w:t>
      </w:r>
      <w:r>
        <w:rPr>
          <w:rFonts w:ascii="Times New Roman" w:cs="Times New Roman" w:eastAsia="Times New Roman" w:hAnsi="Times New Roman"/>
          <w:sz w:val="22"/>
          <w:szCs w:val="22"/>
          <w:color w:val="212126"/>
        </w:rPr>
        <w:t xml:space="preserve"> all events within thirty (30) days following the date of termination of employment.</w:t>
      </w:r>
    </w:p>
    <w:p>
      <w:pPr>
        <w:spacing w:after="0" w:line="177" w:lineRule="exact"/>
        <w:rPr>
          <w:sz w:val="20"/>
          <w:szCs w:val="20"/>
          <w:color w:val="auto"/>
        </w:rPr>
      </w:pPr>
    </w:p>
    <w:p>
      <w:pPr>
        <w:jc w:val="both"/>
        <w:ind w:firstLine="1955"/>
        <w:spacing w:after="0" w:line="242" w:lineRule="auto"/>
        <w:rPr>
          <w:sz w:val="20"/>
          <w:szCs w:val="20"/>
          <w:color w:val="auto"/>
        </w:rPr>
      </w:pPr>
      <w:r>
        <w:rPr>
          <w:rFonts w:ascii="Times New Roman" w:cs="Times New Roman" w:eastAsia="Times New Roman" w:hAnsi="Times New Roman"/>
          <w:sz w:val="21"/>
          <w:szCs w:val="21"/>
          <w:color w:val="212126"/>
        </w:rPr>
        <w:t xml:space="preserve">(d) </w:t>
      </w:r>
      <w:r>
        <w:rPr>
          <w:rFonts w:ascii="Times New Roman" w:cs="Times New Roman" w:eastAsia="Times New Roman" w:hAnsi="Times New Roman"/>
          <w:sz w:val="21"/>
          <w:szCs w:val="21"/>
          <w:u w:val="single" w:color="auto"/>
          <w:color w:val="212126"/>
        </w:rPr>
        <w:t>By the Company Other Than for Cause</w:t>
      </w:r>
      <w:r>
        <w:rPr>
          <w:rFonts w:ascii="Times New Roman" w:cs="Times New Roman" w:eastAsia="Times New Roman" w:hAnsi="Times New Roman"/>
          <w:sz w:val="21"/>
          <w:szCs w:val="21"/>
          <w:color w:val="212126"/>
        </w:rPr>
        <w:t>. The Company may terminate the Executive’s employment hereunder other than for Cause at any time upon thirty (30) days prior written notice to the Executive. If the Company terminates the Executive’s employment other than for Cause after the Effective Date, in addition to any Final Compensation due to the Executive, the Company will pay the Executive (i) severance pay, at the same rate as the Base Salary, for a period of twelve (12) months following the date of termination of her employment, and (ii) ) a pro-rata portion of the Executive’s Annual Bonus for the year in which termination occurs, based on the Executive’s actual performance through the date of such termination and determined in accordance with Section 4(b) hereof (“</w:t>
      </w:r>
      <w:r>
        <w:rPr>
          <w:rFonts w:ascii="Times New Roman" w:cs="Times New Roman" w:eastAsia="Times New Roman" w:hAnsi="Times New Roman"/>
          <w:sz w:val="21"/>
          <w:szCs w:val="21"/>
          <w:u w:val="single" w:color="auto"/>
          <w:color w:val="212126"/>
        </w:rPr>
        <w:t>Pro-Rata Bonus</w:t>
      </w:r>
      <w:r>
        <w:rPr>
          <w:rFonts w:ascii="Times New Roman" w:cs="Times New Roman" w:eastAsia="Times New Roman" w:hAnsi="Times New Roman"/>
          <w:sz w:val="21"/>
          <w:szCs w:val="21"/>
          <w:color w:val="212126"/>
        </w:rPr>
        <w:t>”), with such pro-rata amount based on the number of days Executive was employed during the fiscal year (the “</w:t>
      </w:r>
      <w:r>
        <w:rPr>
          <w:rFonts w:ascii="Times New Roman" w:cs="Times New Roman" w:eastAsia="Times New Roman" w:hAnsi="Times New Roman"/>
          <w:sz w:val="21"/>
          <w:szCs w:val="21"/>
          <w:u w:val="single" w:color="auto"/>
          <w:color w:val="212126"/>
        </w:rPr>
        <w:t>Severance Payments</w:t>
      </w:r>
      <w:r>
        <w:rPr>
          <w:rFonts w:ascii="Times New Roman" w:cs="Times New Roman" w:eastAsia="Times New Roman" w:hAnsi="Times New Roman"/>
          <w:sz w:val="21"/>
          <w:szCs w:val="21"/>
          <w:color w:val="212126"/>
        </w:rPr>
        <w:t>”) and (iii) continued payment on Executive’s behalf of the premium required to be paid for Executive’s continued participation in the Company’s health care plan for a period of twelve (12) months following termination, unless the Executive is employed by another company, and in such instance, future payment for the health insurance premiums will cease (the “</w:t>
      </w:r>
      <w:r>
        <w:rPr>
          <w:rFonts w:ascii="Times New Roman" w:cs="Times New Roman" w:eastAsia="Times New Roman" w:hAnsi="Times New Roman"/>
          <w:sz w:val="21"/>
          <w:szCs w:val="21"/>
          <w:u w:val="single" w:color="auto"/>
          <w:color w:val="212126"/>
        </w:rPr>
        <w:t>Healthcare Payments</w:t>
      </w:r>
      <w:r>
        <w:rPr>
          <w:rFonts w:ascii="Times New Roman" w:cs="Times New Roman" w:eastAsia="Times New Roman" w:hAnsi="Times New Roman"/>
          <w:sz w:val="21"/>
          <w:szCs w:val="21"/>
          <w:color w:val="212126"/>
        </w:rPr>
        <w:t xml:space="preserve">” and collectively with the Severance Payments, the </w:t>
      </w:r>
      <w:r>
        <w:rPr>
          <w:rFonts w:ascii="Times New Roman" w:cs="Times New Roman" w:eastAsia="Times New Roman" w:hAnsi="Times New Roman"/>
          <w:sz w:val="21"/>
          <w:szCs w:val="21"/>
          <w:color w:val="38383A"/>
        </w:rPr>
        <w:t>“</w:t>
      </w:r>
      <w:r>
        <w:rPr>
          <w:rFonts w:ascii="Times New Roman" w:cs="Times New Roman" w:eastAsia="Times New Roman" w:hAnsi="Times New Roman"/>
          <w:sz w:val="21"/>
          <w:szCs w:val="21"/>
          <w:u w:val="single" w:color="auto"/>
          <w:color w:val="38383A"/>
        </w:rPr>
        <w:t>Severance</w:t>
      </w:r>
      <w:r>
        <w:rPr>
          <w:rFonts w:ascii="Times New Roman" w:cs="Times New Roman" w:eastAsia="Times New Roman" w:hAnsi="Times New Roman"/>
          <w:sz w:val="21"/>
          <w:szCs w:val="21"/>
          <w:color w:val="212126"/>
        </w:rPr>
        <w:t xml:space="preserve"> </w:t>
      </w:r>
      <w:r>
        <w:rPr>
          <w:rFonts w:ascii="Times New Roman" w:cs="Times New Roman" w:eastAsia="Times New Roman" w:hAnsi="Times New Roman"/>
          <w:sz w:val="21"/>
          <w:szCs w:val="21"/>
          <w:u w:val="single" w:color="auto"/>
          <w:color w:val="212126"/>
        </w:rPr>
        <w:t>Benefits</w:t>
      </w:r>
      <w:r>
        <w:rPr>
          <w:rFonts w:ascii="Times New Roman" w:cs="Times New Roman" w:eastAsia="Times New Roman" w:hAnsi="Times New Roman"/>
          <w:sz w:val="21"/>
          <w:szCs w:val="21"/>
          <w:color w:val="212126"/>
        </w:rPr>
        <w:t>”). Other than business expenses described in Section 5(a)(iii), Final Compensation shall be paid to the Executive at the time prescribed by applicable law and in all events within thirty (30) days following the date of termination of employment. Any obligation of the Company to provide the Severance Benefits is conditioned, however, on the Executive signing and returning to the Company (without revoking) a timely and effective general release of claims in substantially the form attached hereto as Exhibit A (the “</w:t>
      </w:r>
      <w:r>
        <w:rPr>
          <w:rFonts w:ascii="Times New Roman" w:cs="Times New Roman" w:eastAsia="Times New Roman" w:hAnsi="Times New Roman"/>
          <w:sz w:val="21"/>
          <w:szCs w:val="21"/>
          <w:u w:val="single" w:color="auto"/>
          <w:color w:val="212126"/>
        </w:rPr>
        <w:t>Release of Claims</w:t>
      </w:r>
      <w:r>
        <w:rPr>
          <w:rFonts w:ascii="Times New Roman" w:cs="Times New Roman" w:eastAsia="Times New Roman" w:hAnsi="Times New Roman"/>
          <w:sz w:val="21"/>
          <w:szCs w:val="21"/>
          <w:color w:val="212126"/>
        </w:rPr>
        <w:t xml:space="preserve">”), all of which (including the lapse of the period for revoking the release of claims as specified in the release of claims) shall have occurred no later than the sixtieth (60th) day following the date of termination and on the Executive’s continued compliance with the obligations of the Executive to the Company and its Affiliates that survive termination of her employment, including without limitation under Sections 7, 8 and 9 of this Agreement. Subject to Section 5(g) below, (A) the Severance Payments to which the Executive is entitled hereunder shall be in the form of salary continuation, payable in accordance with the normal payroll practices of the Company, and (B) the Healthcare Payments shall be paid monthly, and in both cases with </w:t>
      </w:r>
      <w:r>
        <w:rPr>
          <w:rFonts w:ascii="Times New Roman" w:cs="Times New Roman" w:eastAsia="Times New Roman" w:hAnsi="Times New Roman"/>
          <w:sz w:val="21"/>
          <w:szCs w:val="21"/>
          <w:color w:val="38383A"/>
        </w:rPr>
        <w:t>the</w:t>
      </w:r>
      <w:r>
        <w:rPr>
          <w:rFonts w:ascii="Times New Roman" w:cs="Times New Roman" w:eastAsia="Times New Roman" w:hAnsi="Times New Roman"/>
          <w:sz w:val="21"/>
          <w:szCs w:val="21"/>
          <w:color w:val="212126"/>
        </w:rPr>
        <w:t xml:space="preserve"> first payment, which shall be retroactive to the day immediately following the date the Executive’s employment terminated, being due and payable on the Company’s next regular payday for executives that follows the expiration of sixty (60) calendar days from the date the Executive’s employment terminates. Notwithstanding the foregoing, in the event the Healthcare Payments would, in the determination of the Board or its delegate</w:t>
      </w:r>
      <w:r>
        <w:rPr>
          <w:rFonts w:ascii="Times New Roman" w:cs="Times New Roman" w:eastAsia="Times New Roman" w:hAnsi="Times New Roman"/>
          <w:sz w:val="21"/>
          <w:szCs w:val="21"/>
          <w:color w:val="4D4D4D"/>
        </w:rPr>
        <w:t>,</w:t>
      </w:r>
      <w:r>
        <w:rPr>
          <w:rFonts w:ascii="Times New Roman" w:cs="Times New Roman" w:eastAsia="Times New Roman" w:hAnsi="Times New Roman"/>
          <w:sz w:val="21"/>
          <w:szCs w:val="21"/>
          <w:color w:val="212126"/>
        </w:rPr>
        <w:t xml:space="preserve"> subject the Executive, the Company or any of its Affiliates to any tax or penalty under the Patient Protection and Affordable Care Act (as amended from time to time, the </w:t>
      </w:r>
      <w:r>
        <w:rPr>
          <w:rFonts w:ascii="Times New Roman" w:cs="Times New Roman" w:eastAsia="Times New Roman" w:hAnsi="Times New Roman"/>
          <w:sz w:val="21"/>
          <w:szCs w:val="21"/>
          <w:color w:val="38383A"/>
        </w:rPr>
        <w:t>“</w:t>
      </w:r>
      <w:r>
        <w:rPr>
          <w:rFonts w:ascii="Times New Roman" w:cs="Times New Roman" w:eastAsia="Times New Roman" w:hAnsi="Times New Roman"/>
          <w:sz w:val="21"/>
          <w:szCs w:val="21"/>
          <w:u w:val="single" w:color="auto"/>
          <w:color w:val="38383A"/>
        </w:rPr>
        <w:t>ACA</w:t>
      </w:r>
      <w:r>
        <w:rPr>
          <w:rFonts w:ascii="Times New Roman" w:cs="Times New Roman" w:eastAsia="Times New Roman" w:hAnsi="Times New Roman"/>
          <w:sz w:val="21"/>
          <w:szCs w:val="21"/>
          <w:color w:val="38383A"/>
        </w:rPr>
        <w:t>”)</w:t>
      </w:r>
      <w:r>
        <w:rPr>
          <w:rFonts w:ascii="Times New Roman" w:cs="Times New Roman" w:eastAsia="Times New Roman" w:hAnsi="Times New Roman"/>
          <w:sz w:val="21"/>
          <w:szCs w:val="21"/>
          <w:color w:val="212126"/>
        </w:rPr>
        <w:t xml:space="preserve"> or Section 105(h) of the Internal Revenue Code of 1986, as amended (“</w:t>
      </w:r>
      <w:r>
        <w:rPr>
          <w:rFonts w:ascii="Times New Roman" w:cs="Times New Roman" w:eastAsia="Times New Roman" w:hAnsi="Times New Roman"/>
          <w:sz w:val="21"/>
          <w:szCs w:val="21"/>
          <w:u w:val="single" w:color="auto"/>
          <w:color w:val="212126"/>
        </w:rPr>
        <w:t>Section 105(h)</w:t>
      </w:r>
      <w:r>
        <w:rPr>
          <w:rFonts w:ascii="Times New Roman" w:cs="Times New Roman" w:eastAsia="Times New Roman" w:hAnsi="Times New Roman"/>
          <w:sz w:val="21"/>
          <w:szCs w:val="21"/>
          <w:color w:val="212126"/>
        </w:rPr>
        <w:t>”), or applicable regulations or guidance issued under the ACA or Section 105(h), the Healthcare Payments shall be treated as taxable payments and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49" w:name="page150"/>
    <w:bookmarkEnd w:id="149"/>
    <w:p>
      <w:pPr>
        <w:ind w:left="40" w:right="20"/>
        <w:spacing w:after="0" w:line="258" w:lineRule="auto"/>
        <w:rPr>
          <w:sz w:val="20"/>
          <w:szCs w:val="20"/>
          <w:color w:val="auto"/>
        </w:rPr>
      </w:pPr>
      <w:r>
        <w:rPr>
          <w:rFonts w:ascii="Times New Roman" w:cs="Times New Roman" w:eastAsia="Times New Roman" w:hAnsi="Times New Roman"/>
          <w:sz w:val="22"/>
          <w:szCs w:val="22"/>
          <w:color w:val="212126"/>
        </w:rPr>
        <w:t>subject to imputed income tax treatment to the extent necessary to eliminate any such adverse consequences under the ACA or Section 105(h).</w:t>
      </w:r>
    </w:p>
    <w:p>
      <w:pPr>
        <w:spacing w:after="0" w:line="158" w:lineRule="exact"/>
        <w:rPr>
          <w:sz w:val="20"/>
          <w:szCs w:val="20"/>
          <w:color w:val="auto"/>
        </w:rPr>
      </w:pPr>
    </w:p>
    <w:p>
      <w:pPr>
        <w:jc w:val="both"/>
        <w:ind w:left="40" w:firstLine="1942"/>
        <w:spacing w:after="0" w:line="234" w:lineRule="auto"/>
        <w:tabs>
          <w:tab w:leader="none" w:pos="2622" w:val="left"/>
        </w:tabs>
        <w:numPr>
          <w:ilvl w:val="0"/>
          <w:numId w:val="98"/>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By the Executive for Good Reason</w:t>
      </w:r>
      <w:r>
        <w:rPr>
          <w:rFonts w:ascii="Times New Roman" w:cs="Times New Roman" w:eastAsia="Times New Roman" w:hAnsi="Times New Roman"/>
          <w:sz w:val="22"/>
          <w:szCs w:val="22"/>
          <w:color w:val="212126"/>
        </w:rPr>
        <w:t>. The Executive may terminate her employment hereunder for Good Reason by (A) providing written notice to the Company specifying in reasonable detail the condition giving rise to the Good Reason no later than the thirtieth (30</w:t>
      </w:r>
      <w:r>
        <w:rPr>
          <w:rFonts w:ascii="Times New Roman" w:cs="Times New Roman" w:eastAsia="Times New Roman" w:hAnsi="Times New Roman"/>
          <w:sz w:val="16"/>
          <w:szCs w:val="16"/>
          <w:color w:val="212126"/>
        </w:rPr>
        <w:t>th</w:t>
      </w:r>
      <w:r>
        <w:rPr>
          <w:rFonts w:ascii="Times New Roman" w:cs="Times New Roman" w:eastAsia="Times New Roman" w:hAnsi="Times New Roman"/>
          <w:sz w:val="22"/>
          <w:szCs w:val="22"/>
          <w:color w:val="212126"/>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212126"/>
        </w:rPr>
        <w:t xml:space="preserve"> day following the occurrence of that condition, and (B) providing the Company a period of thirty (30) days to remedy the condition, if such condition may be remedied. The Executive’s termination of employment for Good Reason will be effective on the thirty first (31</w:t>
      </w:r>
      <w:r>
        <w:rPr>
          <w:rFonts w:ascii="Times New Roman" w:cs="Times New Roman" w:eastAsia="Times New Roman" w:hAnsi="Times New Roman"/>
          <w:sz w:val="16"/>
          <w:szCs w:val="16"/>
          <w:color w:val="212126"/>
        </w:rPr>
        <w:t>st</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212126"/>
        </w:rPr>
        <w:t xml:space="preserve"> calendar day following the expiration of the period to remedy if the Company has failed to remedy the condition or on the date of such notice of Good Reason if the condition may not be remedied. The following, if occurring without the Executive’s written consent, shall constitute </w:t>
      </w:r>
      <w:r>
        <w:rPr>
          <w:rFonts w:ascii="Times New Roman" w:cs="Times New Roman" w:eastAsia="Times New Roman" w:hAnsi="Times New Roman"/>
          <w:sz w:val="22"/>
          <w:szCs w:val="22"/>
          <w:color w:val="36363A"/>
        </w:rPr>
        <w:t>“</w:t>
      </w:r>
      <w:r>
        <w:rPr>
          <w:rFonts w:ascii="Times New Roman" w:cs="Times New Roman" w:eastAsia="Times New Roman" w:hAnsi="Times New Roman"/>
          <w:sz w:val="22"/>
          <w:szCs w:val="22"/>
          <w:u w:val="single" w:color="auto"/>
          <w:color w:val="36363A"/>
        </w:rPr>
        <w:t>Good</w:t>
      </w:r>
      <w:r>
        <w:rPr>
          <w:rFonts w:ascii="Times New Roman" w:cs="Times New Roman" w:eastAsia="Times New Roman" w:hAnsi="Times New Roman"/>
          <w:sz w:val="22"/>
          <w:szCs w:val="22"/>
          <w:color w:val="212126"/>
        </w:rPr>
        <w:t xml:space="preserve"> </w:t>
      </w:r>
      <w:r>
        <w:rPr>
          <w:rFonts w:ascii="Times New Roman" w:cs="Times New Roman" w:eastAsia="Times New Roman" w:hAnsi="Times New Roman"/>
          <w:sz w:val="22"/>
          <w:szCs w:val="22"/>
          <w:u w:val="single" w:color="auto"/>
          <w:color w:val="212126"/>
        </w:rPr>
        <w:t>R</w:t>
      </w:r>
      <w:r>
        <w:rPr>
          <w:rFonts w:ascii="Times New Roman" w:cs="Times New Roman" w:eastAsia="Times New Roman" w:hAnsi="Times New Roman"/>
          <w:sz w:val="22"/>
          <w:szCs w:val="22"/>
          <w:color w:val="212126"/>
        </w:rPr>
        <w:t>eason” for termination by the Executive:</w:t>
      </w:r>
    </w:p>
    <w:p>
      <w:pPr>
        <w:spacing w:after="0" w:line="183" w:lineRule="exact"/>
        <w:rPr>
          <w:rFonts w:ascii="Times New Roman" w:cs="Times New Roman" w:eastAsia="Times New Roman" w:hAnsi="Times New Roman"/>
          <w:sz w:val="22"/>
          <w:szCs w:val="22"/>
          <w:color w:val="212126"/>
        </w:rPr>
      </w:pPr>
    </w:p>
    <w:p>
      <w:pPr>
        <w:ind w:left="3260" w:hanging="643"/>
        <w:spacing w:after="0"/>
        <w:tabs>
          <w:tab w:leader="none" w:pos="3260" w:val="left"/>
        </w:tabs>
        <w:numPr>
          <w:ilvl w:val="2"/>
          <w:numId w:val="98"/>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a material diminution in the nature or scope of the Executive’s duties,</w:t>
      </w:r>
    </w:p>
    <w:p>
      <w:pPr>
        <w:spacing w:after="0" w:line="14" w:lineRule="exact"/>
        <w:rPr>
          <w:rFonts w:ascii="Times New Roman" w:cs="Times New Roman" w:eastAsia="Times New Roman" w:hAnsi="Times New Roman"/>
          <w:sz w:val="22"/>
          <w:szCs w:val="22"/>
          <w:color w:val="212126"/>
        </w:rPr>
      </w:pPr>
    </w:p>
    <w:p>
      <w:pPr>
        <w:ind w:left="40"/>
        <w:spacing w:after="0"/>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authority and/or responsibilities;</w:t>
      </w:r>
    </w:p>
    <w:p>
      <w:pPr>
        <w:spacing w:after="0" w:line="182" w:lineRule="exact"/>
        <w:rPr>
          <w:rFonts w:ascii="Times New Roman" w:cs="Times New Roman" w:eastAsia="Times New Roman" w:hAnsi="Times New Roman"/>
          <w:sz w:val="22"/>
          <w:szCs w:val="22"/>
          <w:color w:val="212126"/>
        </w:rPr>
      </w:pPr>
    </w:p>
    <w:p>
      <w:pPr>
        <w:ind w:left="20" w:firstLine="2589"/>
        <w:spacing w:after="0" w:line="258" w:lineRule="auto"/>
        <w:tabs>
          <w:tab w:leader="none" w:pos="3251" w:val="left"/>
        </w:tabs>
        <w:numPr>
          <w:ilvl w:val="2"/>
          <w:numId w:val="98"/>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 xml:space="preserve">a requirement that </w:t>
      </w:r>
      <w:r>
        <w:rPr>
          <w:rFonts w:ascii="Times New Roman" w:cs="Times New Roman" w:eastAsia="Times New Roman" w:hAnsi="Times New Roman"/>
          <w:sz w:val="22"/>
          <w:szCs w:val="22"/>
          <w:color w:val="36363A"/>
        </w:rPr>
        <w:t>the</w:t>
      </w:r>
      <w:r>
        <w:rPr>
          <w:rFonts w:ascii="Times New Roman" w:cs="Times New Roman" w:eastAsia="Times New Roman" w:hAnsi="Times New Roman"/>
          <w:sz w:val="22"/>
          <w:szCs w:val="22"/>
          <w:color w:val="212126"/>
        </w:rPr>
        <w:t xml:space="preserve"> Executive relocate to a location more than fifty (50) miles from the </w:t>
      </w:r>
      <w:r>
        <w:rPr>
          <w:rFonts w:ascii="Times New Roman" w:cs="Times New Roman" w:eastAsia="Times New Roman" w:hAnsi="Times New Roman"/>
          <w:sz w:val="22"/>
          <w:szCs w:val="22"/>
          <w:color w:val="36363A"/>
        </w:rPr>
        <w:t>location</w:t>
      </w:r>
      <w:r>
        <w:rPr>
          <w:rFonts w:ascii="Times New Roman" w:cs="Times New Roman" w:eastAsia="Times New Roman" w:hAnsi="Times New Roman"/>
          <w:sz w:val="22"/>
          <w:szCs w:val="22"/>
          <w:color w:val="212126"/>
        </w:rPr>
        <w:t xml:space="preserve"> where the Executive is then providing services;</w:t>
      </w:r>
    </w:p>
    <w:p>
      <w:pPr>
        <w:spacing w:after="0" w:line="158" w:lineRule="exact"/>
        <w:rPr>
          <w:rFonts w:ascii="Times New Roman" w:cs="Times New Roman" w:eastAsia="Times New Roman" w:hAnsi="Times New Roman"/>
          <w:sz w:val="22"/>
          <w:szCs w:val="22"/>
          <w:color w:val="212126"/>
        </w:rPr>
      </w:pPr>
    </w:p>
    <w:p>
      <w:pPr>
        <w:ind w:left="3240" w:hanging="638"/>
        <w:spacing w:after="0"/>
        <w:tabs>
          <w:tab w:leader="none" w:pos="3240" w:val="left"/>
        </w:tabs>
        <w:numPr>
          <w:ilvl w:val="1"/>
          <w:numId w:val="98"/>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material breach of any of the terms of this Agreement.</w:t>
      </w:r>
    </w:p>
    <w:p>
      <w:pPr>
        <w:spacing w:after="0" w:line="206" w:lineRule="exact"/>
        <w:rPr>
          <w:sz w:val="20"/>
          <w:szCs w:val="20"/>
          <w:color w:val="auto"/>
        </w:rPr>
      </w:pPr>
    </w:p>
    <w:p>
      <w:pPr>
        <w:jc w:val="both"/>
        <w:ind w:left="20" w:firstLine="648"/>
        <w:spacing w:after="0" w:line="239" w:lineRule="auto"/>
        <w:rPr>
          <w:sz w:val="20"/>
          <w:szCs w:val="20"/>
          <w:color w:val="auto"/>
        </w:rPr>
      </w:pPr>
      <w:r>
        <w:rPr>
          <w:rFonts w:ascii="Times New Roman" w:cs="Times New Roman" w:eastAsia="Times New Roman" w:hAnsi="Times New Roman"/>
          <w:sz w:val="22"/>
          <w:szCs w:val="22"/>
          <w:color w:val="212126"/>
        </w:rPr>
        <w:t>In the event of termination of the Executive’s employment in accordance with this Section 5(e), the Executive will be entitled to all amounts she would have been entitled to receive had her employment been terminated by the Company other than for Cause pursuant to Section 5(d) above, provided that the Executive signs and returns (without revoking) a timely and effective Release of Claims as set forth in Section 5(d).</w:t>
      </w:r>
    </w:p>
    <w:p>
      <w:pPr>
        <w:spacing w:after="0" w:line="180" w:lineRule="exact"/>
        <w:rPr>
          <w:sz w:val="20"/>
          <w:szCs w:val="20"/>
          <w:color w:val="auto"/>
        </w:rPr>
      </w:pPr>
    </w:p>
    <w:p>
      <w:pPr>
        <w:jc w:val="both"/>
        <w:ind w:firstLine="1956"/>
        <w:spacing w:after="0" w:line="235" w:lineRule="auto"/>
        <w:tabs>
          <w:tab w:leader="none" w:pos="2594" w:val="left"/>
        </w:tabs>
        <w:numPr>
          <w:ilvl w:val="0"/>
          <w:numId w:val="99"/>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By the Executive without Good Reason</w:t>
      </w:r>
      <w:r>
        <w:rPr>
          <w:rFonts w:ascii="Times New Roman" w:cs="Times New Roman" w:eastAsia="Times New Roman" w:hAnsi="Times New Roman"/>
          <w:sz w:val="22"/>
          <w:szCs w:val="22"/>
          <w:color w:val="212126"/>
        </w:rPr>
        <w:t xml:space="preserve">. The Executive may terminate her employment hereunder without Good Reason at any time upon sixty (60) days’ prior written notice to the Company. In the event of termination of the Executive’s employment in accordance with this Section 5(f), the Chief Executive Officer may elect to waive the period of notice, or any portion thereof, and, if the Chief Executive Officer so elects, the Company will pay the Executive the Base Salary for the period so waived. The Company shall also pay the Executive any Final Compensation due her (other than business expenses described in Section 5(a)(iii)) at the time prescribed by applicable </w:t>
      </w:r>
      <w:r>
        <w:rPr>
          <w:rFonts w:ascii="Times New Roman" w:cs="Times New Roman" w:eastAsia="Times New Roman" w:hAnsi="Times New Roman"/>
          <w:sz w:val="22"/>
          <w:szCs w:val="22"/>
          <w:color w:val="36363A"/>
        </w:rPr>
        <w:t>law</w:t>
      </w:r>
      <w:r>
        <w:rPr>
          <w:rFonts w:ascii="Times New Roman" w:cs="Times New Roman" w:eastAsia="Times New Roman" w:hAnsi="Times New Roman"/>
          <w:sz w:val="22"/>
          <w:szCs w:val="22"/>
          <w:color w:val="212126"/>
        </w:rPr>
        <w:t xml:space="preserve"> and in all events within thirty (30) days following the date of the termination of employment.</w:t>
      </w:r>
    </w:p>
    <w:p>
      <w:pPr>
        <w:spacing w:after="0" w:line="178" w:lineRule="exact"/>
        <w:rPr>
          <w:sz w:val="20"/>
          <w:szCs w:val="20"/>
          <w:color w:val="auto"/>
        </w:rPr>
      </w:pPr>
    </w:p>
    <w:p>
      <w:pPr>
        <w:ind w:left="2580" w:hanging="640"/>
        <w:spacing w:after="0"/>
        <w:tabs>
          <w:tab w:leader="none" w:pos="2580" w:val="left"/>
        </w:tabs>
        <w:numPr>
          <w:ilvl w:val="0"/>
          <w:numId w:val="10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Timing of Payments and Section 409A</w:t>
      </w:r>
      <w:r>
        <w:rPr>
          <w:rFonts w:ascii="Times New Roman" w:cs="Times New Roman" w:eastAsia="Times New Roman" w:hAnsi="Times New Roman"/>
          <w:sz w:val="22"/>
          <w:szCs w:val="22"/>
          <w:color w:val="212126"/>
        </w:rPr>
        <w:t>.</w:t>
      </w:r>
    </w:p>
    <w:p>
      <w:pPr>
        <w:spacing w:after="0" w:line="206" w:lineRule="exact"/>
        <w:rPr>
          <w:rFonts w:ascii="Times New Roman" w:cs="Times New Roman" w:eastAsia="Times New Roman" w:hAnsi="Times New Roman"/>
          <w:sz w:val="22"/>
          <w:szCs w:val="22"/>
          <w:color w:val="212126"/>
        </w:rPr>
      </w:pPr>
    </w:p>
    <w:p>
      <w:pPr>
        <w:jc w:val="both"/>
        <w:ind w:firstLine="2587"/>
        <w:spacing w:after="0" w:line="236" w:lineRule="auto"/>
        <w:tabs>
          <w:tab w:leader="none" w:pos="3226" w:val="left"/>
        </w:tabs>
        <w:numPr>
          <w:ilvl w:val="1"/>
          <w:numId w:val="10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 xml:space="preserve">Notwithstanding anything </w:t>
      </w:r>
      <w:r>
        <w:rPr>
          <w:rFonts w:ascii="Times New Roman" w:cs="Times New Roman" w:eastAsia="Times New Roman" w:hAnsi="Times New Roman"/>
          <w:sz w:val="22"/>
          <w:szCs w:val="22"/>
          <w:color w:val="36363A"/>
        </w:rPr>
        <w:t>to</w:t>
      </w:r>
      <w:r>
        <w:rPr>
          <w:rFonts w:ascii="Times New Roman" w:cs="Times New Roman" w:eastAsia="Times New Roman" w:hAnsi="Times New Roman"/>
          <w:sz w:val="22"/>
          <w:szCs w:val="22"/>
          <w:color w:val="212126"/>
        </w:rPr>
        <w:t xml:space="preserve"> the contrary in this Agreement, if at the time of the Executive’s termination of employment, the Executive is a “specified employee,” as defined below, any and all amounts payable under this Section 5 on account of such separation from service that constitute deferred compensation and would (but for this provision) be payable within six (6) months following the date of termination, shall instead be paid on the next business day following the expiration of such six (6) month period or, if earlier, upon the Executive’s death; except (A) to the extent of amounts that do not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1151" w:right="999" w:bottom="1440" w:gutter="0" w:footer="0" w:header="0"/>
        </w:sectPr>
      </w:pPr>
    </w:p>
    <w:bookmarkStart w:id="150" w:name="page151"/>
    <w:bookmarkEnd w:id="150"/>
    <w:p>
      <w:pPr>
        <w:jc w:val="both"/>
        <w:ind w:left="20" w:firstLine="8"/>
        <w:spacing w:after="0" w:line="238" w:lineRule="auto"/>
        <w:rPr>
          <w:sz w:val="20"/>
          <w:szCs w:val="20"/>
          <w:color w:val="auto"/>
        </w:rPr>
      </w:pPr>
      <w:r>
        <w:rPr>
          <w:rFonts w:ascii="Times New Roman" w:cs="Times New Roman" w:eastAsia="Times New Roman" w:hAnsi="Times New Roman"/>
          <w:sz w:val="22"/>
          <w:szCs w:val="22"/>
          <w:color w:val="212126"/>
        </w:rPr>
        <w:t>deferral of compensation within the meaning of Treasury regulation Section 1.409A-1 (b) (including without limitation by reason of the safe harbor set forth in Section 1.409A-l(b)(9)(iii), as determined by the Company in its reasonable good faith discretion); (B) benefits that qualify as excepted welfare benefits pursuant to Treasury regulation Section 1.409A-1(a)(5); or (C) other amounts or benefits that are not subject to the requirements of Section 409A of the Internal Revenue Code of 1986, as amended (“</w:t>
      </w:r>
      <w:r>
        <w:rPr>
          <w:rFonts w:ascii="Times New Roman" w:cs="Times New Roman" w:eastAsia="Times New Roman" w:hAnsi="Times New Roman"/>
          <w:sz w:val="22"/>
          <w:szCs w:val="22"/>
          <w:u w:val="single" w:color="auto"/>
          <w:color w:val="212126"/>
        </w:rPr>
        <w:t>Section 409A</w:t>
      </w:r>
      <w:r>
        <w:rPr>
          <w:rFonts w:ascii="Times New Roman" w:cs="Times New Roman" w:eastAsia="Times New Roman" w:hAnsi="Times New Roman"/>
          <w:sz w:val="22"/>
          <w:szCs w:val="22"/>
          <w:color w:val="212126"/>
        </w:rPr>
        <w:t>”).</w:t>
      </w:r>
    </w:p>
    <w:p>
      <w:pPr>
        <w:spacing w:after="0" w:line="177" w:lineRule="exact"/>
        <w:rPr>
          <w:sz w:val="20"/>
          <w:szCs w:val="20"/>
          <w:color w:val="auto"/>
        </w:rPr>
      </w:pPr>
    </w:p>
    <w:p>
      <w:pPr>
        <w:jc w:val="both"/>
        <w:ind w:left="20" w:firstLine="2606"/>
        <w:spacing w:after="0" w:line="238" w:lineRule="auto"/>
        <w:tabs>
          <w:tab w:leader="none" w:pos="3259" w:val="left"/>
        </w:tabs>
        <w:numPr>
          <w:ilvl w:val="4"/>
          <w:numId w:val="101"/>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For purposes of this Agreement,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76" w:lineRule="exact"/>
        <w:rPr>
          <w:rFonts w:ascii="Times New Roman" w:cs="Times New Roman" w:eastAsia="Times New Roman" w:hAnsi="Times New Roman"/>
          <w:sz w:val="22"/>
          <w:szCs w:val="22"/>
          <w:color w:val="212126"/>
        </w:rPr>
      </w:pPr>
    </w:p>
    <w:p>
      <w:pPr>
        <w:jc w:val="both"/>
        <w:ind w:left="20" w:firstLine="2597"/>
        <w:spacing w:after="0" w:line="244" w:lineRule="auto"/>
        <w:tabs>
          <w:tab w:leader="none" w:pos="3259" w:val="left"/>
        </w:tabs>
        <w:numPr>
          <w:ilvl w:val="4"/>
          <w:numId w:val="101"/>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Each payment made under this Agreement shall be treated as a separate payment and the right to a series of installment payments under this Agreement is to be treated as a right to a series of separate payments.</w:t>
      </w:r>
    </w:p>
    <w:p>
      <w:pPr>
        <w:spacing w:after="0" w:line="173" w:lineRule="exact"/>
        <w:rPr>
          <w:rFonts w:ascii="Times New Roman" w:cs="Times New Roman" w:eastAsia="Times New Roman" w:hAnsi="Times New Roman"/>
          <w:sz w:val="22"/>
          <w:szCs w:val="22"/>
          <w:color w:val="212126"/>
        </w:rPr>
      </w:pPr>
    </w:p>
    <w:p>
      <w:pPr>
        <w:jc w:val="both"/>
        <w:ind w:left="20" w:firstLine="2597"/>
        <w:spacing w:after="0" w:line="239" w:lineRule="auto"/>
        <w:tabs>
          <w:tab w:leader="none" w:pos="3255" w:val="left"/>
        </w:tabs>
        <w:numPr>
          <w:ilvl w:val="4"/>
          <w:numId w:val="101"/>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Any payment of or reimbursement for expenses that would constitute nonqualified deferred compensation subject to Section 409A shall be subject to the following additional rules: (i) no reimbursement or payment of any such expense shall affect the Executive’s right to reimbursement or payment of any such expense in any other calendar year;</w:t>
      </w:r>
    </w:p>
    <w:p>
      <w:pPr>
        <w:spacing w:after="0" w:line="180" w:lineRule="exact"/>
        <w:rPr>
          <w:rFonts w:ascii="Times New Roman" w:cs="Times New Roman" w:eastAsia="Times New Roman" w:hAnsi="Times New Roman"/>
          <w:sz w:val="22"/>
          <w:szCs w:val="22"/>
          <w:color w:val="212126"/>
        </w:rPr>
      </w:pPr>
    </w:p>
    <w:p>
      <w:pPr>
        <w:ind w:left="20" w:right="20" w:firstLine="5"/>
        <w:spacing w:after="0" w:line="258" w:lineRule="auto"/>
        <w:tabs>
          <w:tab w:leader="none" w:pos="347" w:val="left"/>
        </w:tabs>
        <w:numPr>
          <w:ilvl w:val="0"/>
          <w:numId w:val="10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reimbursement or payment of the expense shall be made, if at all, promptly, but not later than the end of the calendar year following the calendar year in which the expense was incurred; and</w:t>
      </w:r>
    </w:p>
    <w:p>
      <w:pPr>
        <w:spacing w:after="0" w:line="158" w:lineRule="exact"/>
        <w:rPr>
          <w:rFonts w:ascii="Times New Roman" w:cs="Times New Roman" w:eastAsia="Times New Roman" w:hAnsi="Times New Roman"/>
          <w:sz w:val="22"/>
          <w:szCs w:val="22"/>
          <w:color w:val="212126"/>
        </w:rPr>
      </w:pPr>
    </w:p>
    <w:p>
      <w:pPr>
        <w:ind w:left="400" w:hanging="375"/>
        <w:spacing w:after="0"/>
        <w:tabs>
          <w:tab w:leader="none" w:pos="400" w:val="left"/>
        </w:tabs>
        <w:numPr>
          <w:ilvl w:val="0"/>
          <w:numId w:val="10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the right to reimbursement or payment shall not be subject to liquidation or exchange for any other benefit.</w:t>
      </w:r>
    </w:p>
    <w:p>
      <w:pPr>
        <w:spacing w:after="0" w:line="206" w:lineRule="exact"/>
        <w:rPr>
          <w:rFonts w:ascii="Times New Roman" w:cs="Times New Roman" w:eastAsia="Times New Roman" w:hAnsi="Times New Roman"/>
          <w:sz w:val="22"/>
          <w:szCs w:val="22"/>
          <w:color w:val="212126"/>
        </w:rPr>
      </w:pPr>
    </w:p>
    <w:p>
      <w:pPr>
        <w:jc w:val="both"/>
        <w:ind w:left="20" w:firstLine="2588"/>
        <w:spacing w:after="0" w:line="244" w:lineRule="auto"/>
        <w:tabs>
          <w:tab w:leader="none" w:pos="3152" w:val="left"/>
        </w:tabs>
        <w:numPr>
          <w:ilvl w:val="3"/>
          <w:numId w:val="10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In no event shall the Company have any liability relating to the failure or alleged failure of any payment or benefit under this Agreement to comply with, or be exempt from, the requirements of Section 409A.</w:t>
      </w:r>
    </w:p>
    <w:p>
      <w:pPr>
        <w:spacing w:after="0" w:line="173" w:lineRule="exact"/>
        <w:rPr>
          <w:rFonts w:ascii="Times New Roman" w:cs="Times New Roman" w:eastAsia="Times New Roman" w:hAnsi="Times New Roman"/>
          <w:sz w:val="22"/>
          <w:szCs w:val="22"/>
          <w:color w:val="212126"/>
        </w:rPr>
      </w:pPr>
    </w:p>
    <w:p>
      <w:pPr>
        <w:jc w:val="both"/>
        <w:ind w:firstLine="1958"/>
        <w:spacing w:after="0" w:line="235" w:lineRule="auto"/>
        <w:tabs>
          <w:tab w:leader="none" w:pos="2593" w:val="left"/>
        </w:tabs>
        <w:numPr>
          <w:ilvl w:val="2"/>
          <w:numId w:val="10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Exclusive Right to Severance</w:t>
      </w:r>
      <w:r>
        <w:rPr>
          <w:rFonts w:ascii="Times New Roman" w:cs="Times New Roman" w:eastAsia="Times New Roman" w:hAnsi="Times New Roman"/>
          <w:sz w:val="22"/>
          <w:szCs w:val="22"/>
          <w:color w:val="212126"/>
        </w:rPr>
        <w:t>. The Executive agrees that the Severance Benefits to be provided to her in accordance with the terms and conditions set forth in this Agreement are intended to be exclusive. The Executive hereby knowingly and voluntarily waives any right she might otherwise have to participate in or receive payments or benefits under any other plan, program or policy of the Company providing for severance or termination pay or other termination benefits (other than any benefits payable pursuant to a long-term disability or other similar insurance program, which shall be governed by the terms and provisions of the applicable plan or program).</w:t>
      </w:r>
    </w:p>
    <w:p>
      <w:pPr>
        <w:spacing w:after="0" w:line="183" w:lineRule="exact"/>
        <w:rPr>
          <w:rFonts w:ascii="Times New Roman" w:cs="Times New Roman" w:eastAsia="Times New Roman" w:hAnsi="Times New Roman"/>
          <w:sz w:val="22"/>
          <w:szCs w:val="22"/>
          <w:color w:val="212126"/>
        </w:rPr>
      </w:pPr>
    </w:p>
    <w:p>
      <w:pPr>
        <w:ind w:firstLine="1308"/>
        <w:spacing w:after="0" w:line="258" w:lineRule="auto"/>
        <w:tabs>
          <w:tab w:leader="none" w:pos="1947" w:val="left"/>
        </w:tabs>
        <w:numPr>
          <w:ilvl w:val="1"/>
          <w:numId w:val="10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Effect of Termination</w:t>
      </w:r>
      <w:r>
        <w:rPr>
          <w:rFonts w:ascii="Times New Roman" w:cs="Times New Roman" w:eastAsia="Times New Roman" w:hAnsi="Times New Roman"/>
          <w:sz w:val="22"/>
          <w:szCs w:val="22"/>
          <w:color w:val="212126"/>
        </w:rPr>
        <w:t>. The provisions of this Section 6 shall apply to any termination of the Executive’s employment under this Agreement, whether pursuant to Section 5 or otherwise.</w:t>
      </w:r>
    </w:p>
    <w:p>
      <w:pPr>
        <w:spacing w:after="0" w:line="158" w:lineRule="exact"/>
        <w:rPr>
          <w:rFonts w:ascii="Times New Roman" w:cs="Times New Roman" w:eastAsia="Times New Roman" w:hAnsi="Times New Roman"/>
          <w:sz w:val="22"/>
          <w:szCs w:val="22"/>
          <w:color w:val="212126"/>
        </w:rPr>
      </w:pPr>
    </w:p>
    <w:p>
      <w:pPr>
        <w:ind w:firstLine="1955"/>
        <w:spacing w:after="0" w:line="258" w:lineRule="auto"/>
        <w:tabs>
          <w:tab w:leader="none" w:pos="2593" w:val="left"/>
        </w:tabs>
        <w:numPr>
          <w:ilvl w:val="2"/>
          <w:numId w:val="103"/>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Provision by the Company of Final Compensation and Severance Benefits, if any, that are due to the Executive in each case under the applicable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51" w:name="page152"/>
    <w:bookmarkEnd w:id="151"/>
    <w:p>
      <w:pPr>
        <w:ind w:left="20" w:hanging="3"/>
        <w:spacing w:after="0" w:line="258" w:lineRule="auto"/>
        <w:rPr>
          <w:sz w:val="20"/>
          <w:szCs w:val="20"/>
          <w:color w:val="auto"/>
        </w:rPr>
      </w:pPr>
      <w:r>
        <w:rPr>
          <w:rFonts w:ascii="Times New Roman" w:cs="Times New Roman" w:eastAsia="Times New Roman" w:hAnsi="Times New Roman"/>
          <w:sz w:val="22"/>
          <w:szCs w:val="22"/>
          <w:color w:val="212126"/>
        </w:rPr>
        <w:t>provisions of Section 5, shall constitute the entire obligation of the Company to the Executive under this Agreement.</w:t>
      </w:r>
    </w:p>
    <w:p>
      <w:pPr>
        <w:spacing w:after="0" w:line="158" w:lineRule="exact"/>
        <w:rPr>
          <w:sz w:val="20"/>
          <w:szCs w:val="20"/>
          <w:color w:val="auto"/>
        </w:rPr>
      </w:pPr>
    </w:p>
    <w:p>
      <w:pPr>
        <w:jc w:val="both"/>
        <w:ind w:left="20" w:firstLine="1942"/>
        <w:spacing w:after="0" w:line="238" w:lineRule="auto"/>
        <w:tabs>
          <w:tab w:leader="none" w:pos="2610" w:val="left"/>
        </w:tabs>
        <w:numPr>
          <w:ilvl w:val="1"/>
          <w:numId w:val="104"/>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Except for any right of the Executive to continue group health plan participation in accordance with applicable law, the Executive’s participation in all Employee Benefit Plans shall terminate pursuant to the terms of the applicable plan documents based on the date of termination of the Executive’s employment without regard to any Base Salary for notice waived pursuant to Section 5(e) hereof or to any Severance Benefits or other payment made to or on behalf of the Executive following such termination date.</w:t>
      </w:r>
    </w:p>
    <w:p>
      <w:pPr>
        <w:spacing w:after="0" w:line="176" w:lineRule="exact"/>
        <w:rPr>
          <w:rFonts w:ascii="Times New Roman" w:cs="Times New Roman" w:eastAsia="Times New Roman" w:hAnsi="Times New Roman"/>
          <w:sz w:val="22"/>
          <w:szCs w:val="22"/>
          <w:color w:val="212126"/>
        </w:rPr>
      </w:pPr>
    </w:p>
    <w:p>
      <w:pPr>
        <w:jc w:val="both"/>
        <w:ind w:left="20" w:firstLine="1938"/>
        <w:spacing w:after="0" w:line="235" w:lineRule="auto"/>
        <w:tabs>
          <w:tab w:leader="none" w:pos="2606" w:val="left"/>
        </w:tabs>
        <w:numPr>
          <w:ilvl w:val="1"/>
          <w:numId w:val="104"/>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Provisions of this Agreement shall survive any termination of the Executive’s employment if so provided herein or if necessary or desirable fully to accomplish the purposes of other surviving provisions, including without limitation the obligations of the Executive under Sections 7, 8 and 9 hereof. The obligation of the Company to provide Severance Benefits hereunder, and Executive’s right to retain such payments, is expressly conditioned on the Executive’s continued full performance in accordance with Sections 7, 8 and 9 hereof. The Executive recognizes that, except as expressly provided in Section 5(d), or with respect to Base Salary paid for notice waived pursuant to Section 5(e) hereof, no compensation or benefits will be earned after termination of employment.</w:t>
      </w:r>
    </w:p>
    <w:p>
      <w:pPr>
        <w:spacing w:after="0" w:line="178" w:lineRule="exact"/>
        <w:rPr>
          <w:rFonts w:ascii="Times New Roman" w:cs="Times New Roman" w:eastAsia="Times New Roman" w:hAnsi="Times New Roman"/>
          <w:sz w:val="22"/>
          <w:szCs w:val="22"/>
          <w:color w:val="212126"/>
        </w:rPr>
      </w:pPr>
    </w:p>
    <w:p>
      <w:pPr>
        <w:ind w:left="1940" w:hanging="641"/>
        <w:spacing w:after="0"/>
        <w:tabs>
          <w:tab w:leader="none" w:pos="1940" w:val="left"/>
        </w:tabs>
        <w:numPr>
          <w:ilvl w:val="0"/>
          <w:numId w:val="10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Confidential Information</w:t>
      </w:r>
      <w:r>
        <w:rPr>
          <w:rFonts w:ascii="Times New Roman" w:cs="Times New Roman" w:eastAsia="Times New Roman" w:hAnsi="Times New Roman"/>
          <w:sz w:val="22"/>
          <w:szCs w:val="22"/>
          <w:color w:val="212126"/>
        </w:rPr>
        <w:t>.</w:t>
      </w:r>
    </w:p>
    <w:p>
      <w:pPr>
        <w:spacing w:after="0" w:line="206" w:lineRule="exact"/>
        <w:rPr>
          <w:rFonts w:ascii="Times New Roman" w:cs="Times New Roman" w:eastAsia="Times New Roman" w:hAnsi="Times New Roman"/>
          <w:sz w:val="22"/>
          <w:szCs w:val="22"/>
          <w:color w:val="212126"/>
        </w:rPr>
      </w:pPr>
    </w:p>
    <w:p>
      <w:pPr>
        <w:jc w:val="both"/>
        <w:ind w:firstLine="1954"/>
        <w:spacing w:after="0" w:line="232" w:lineRule="auto"/>
        <w:tabs>
          <w:tab w:leader="none" w:pos="2590" w:val="left"/>
        </w:tabs>
        <w:numPr>
          <w:ilvl w:val="1"/>
          <w:numId w:val="10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The Executive acknowledges that the Company and its Affiliates continually develop Confidential Information, that the Executive has developed and will continue to develop Confidential Information for the Company or its Affiliates and that the Executive has learned of and will continue to learn of Confidential Information during the course of employment. The Executive agrees that all Confidential Information which the Executive creates or to which she has access as a result of her employment or other associations with the Company or any of its Affiliates since November 18, 2013 is and shall remain the sole and exclusive property of the Company or its Affiliate, as applicable. The Executive shall comply with the policies and procedures of the Company and its Affiliates for protecting Confidential Information and shall never disclose to any Person (except as required by applicable law or for the proper performance of her duties and responsibilities to the Company and its Affiliates), or use for her own benefit or gain or the benefit or gain of any other Person, any Confidential Information obtained by the Executive incident to her employment or any other association with the Company or any of its Affiliates. The Executive understands that this restriction shall continue to apply after her employment terminates, regardless of the reason for such termination. Further, the Executive agrees to furnish prompt notice to the Company of any required disclosure of Confidential Information sought pursuant to subpoena, court order or any other legal process or requirement, and agrees to provide the Company a reasonable opportunity to seek protection of the Confidential Information prior to any such disclosure</w:t>
      </w:r>
      <w:r>
        <w:rPr>
          <w:rFonts w:ascii="Times New Roman" w:cs="Times New Roman" w:eastAsia="Times New Roman" w:hAnsi="Times New Roman"/>
          <w:sz w:val="22"/>
          <w:szCs w:val="22"/>
          <w:color w:val="505050"/>
        </w:rPr>
        <w:t>.</w:t>
      </w:r>
      <w:r>
        <w:rPr>
          <w:rFonts w:ascii="Times New Roman" w:cs="Times New Roman" w:eastAsia="Times New Roman" w:hAnsi="Times New Roman"/>
          <w:sz w:val="22"/>
          <w:szCs w:val="22"/>
          <w:color w:val="212126"/>
        </w:rPr>
        <w:t xml:space="preserve"> The confidentiality obligation under this Section 7 shall not apply to information that has become generally known through no wrongful act on the part of the Executive or any other Person having an obligation of confidentiality to the Company or any of its Affiliates. For the avoidance of doubt, the Executive acknowledges that nothing contained herein limits, restricts or in any other way affects her communicating with any governmental agency or entity, or communicating with any official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52" w:name="page153"/>
    <w:bookmarkEnd w:id="152"/>
    <w:p>
      <w:pPr>
        <w:ind w:left="40"/>
        <w:spacing w:after="0" w:line="258" w:lineRule="auto"/>
        <w:rPr>
          <w:sz w:val="20"/>
          <w:szCs w:val="20"/>
          <w:color w:val="auto"/>
        </w:rPr>
      </w:pPr>
      <w:r>
        <w:rPr>
          <w:rFonts w:ascii="Times New Roman" w:cs="Times New Roman" w:eastAsia="Times New Roman" w:hAnsi="Times New Roman"/>
          <w:sz w:val="22"/>
          <w:szCs w:val="22"/>
          <w:color w:val="212126"/>
        </w:rPr>
        <w:t>staff person of a governmental agency or entity, concerning matters relevant to the governmental agency or entity.</w:t>
      </w:r>
    </w:p>
    <w:p>
      <w:pPr>
        <w:spacing w:after="0" w:line="158" w:lineRule="exact"/>
        <w:rPr>
          <w:sz w:val="20"/>
          <w:szCs w:val="20"/>
          <w:color w:val="auto"/>
        </w:rPr>
      </w:pPr>
    </w:p>
    <w:p>
      <w:pPr>
        <w:jc w:val="both"/>
        <w:ind w:left="20" w:firstLine="1961"/>
        <w:spacing w:after="0" w:line="232" w:lineRule="auto"/>
        <w:tabs>
          <w:tab w:leader="none" w:pos="2631" w:val="left"/>
        </w:tabs>
        <w:numPr>
          <w:ilvl w:val="2"/>
          <w:numId w:val="106"/>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All documents, records, tapes and other media of every kind and description relating to the business, present or otherwise, of the Company or any of its Affiliates and any copies or derivatives (including without limitation electronic), in whole or in part, thereof (the “</w:t>
      </w:r>
      <w:r>
        <w:rPr>
          <w:rFonts w:ascii="Times New Roman" w:cs="Times New Roman" w:eastAsia="Times New Roman" w:hAnsi="Times New Roman"/>
          <w:sz w:val="22"/>
          <w:szCs w:val="22"/>
          <w:u w:val="single" w:color="auto"/>
          <w:color w:val="212126"/>
        </w:rPr>
        <w:t>Documents</w:t>
      </w:r>
      <w:r>
        <w:rPr>
          <w:rFonts w:ascii="Times New Roman" w:cs="Times New Roman" w:eastAsia="Times New Roman" w:hAnsi="Times New Roman"/>
          <w:sz w:val="22"/>
          <w:szCs w:val="22"/>
          <w:color w:val="212126"/>
        </w:rPr>
        <w:t>”), whether or not prepared by the Executive, shall be the sole and exclusive property of the Company and its Affiliates. Except as necessary for the proper performance of the Executive’s regular duties for the Company or as expressly authorized in writing in advance by the Company or its expressly authorized designee, the Executive will not copy any Documents or remove any Documents or copies or derivatives thereof from the premises of the Company. The Executive shall safeguard all Documents and shall surrender to the Company at the time her employment terminates, and at such earlier time or times as the Company or its designee may specify, all Documents and other property of the Company or any of its Affiliates and all documents, records and files of the customers and other Persons with whom the Company or any of its Affiliates does business (“</w:t>
      </w:r>
      <w:r>
        <w:rPr>
          <w:rFonts w:ascii="Times New Roman" w:cs="Times New Roman" w:eastAsia="Times New Roman" w:hAnsi="Times New Roman"/>
          <w:sz w:val="22"/>
          <w:szCs w:val="22"/>
          <w:u w:val="single" w:color="auto"/>
          <w:color w:val="212126"/>
        </w:rPr>
        <w:t>Third Party</w:t>
      </w:r>
      <w:r>
        <w:rPr>
          <w:rFonts w:ascii="Times New Roman" w:cs="Times New Roman" w:eastAsia="Times New Roman" w:hAnsi="Times New Roman"/>
          <w:sz w:val="22"/>
          <w:szCs w:val="22"/>
          <w:color w:val="212126"/>
        </w:rPr>
        <w:t xml:space="preserve"> </w:t>
      </w:r>
      <w:r>
        <w:rPr>
          <w:rFonts w:ascii="Times New Roman" w:cs="Times New Roman" w:eastAsia="Times New Roman" w:hAnsi="Times New Roman"/>
          <w:sz w:val="22"/>
          <w:szCs w:val="22"/>
          <w:u w:val="single" w:color="auto"/>
          <w:color w:val="212126"/>
        </w:rPr>
        <w:t>Documents</w:t>
      </w:r>
      <w:r>
        <w:rPr>
          <w:rFonts w:ascii="Times New Roman" w:cs="Times New Roman" w:eastAsia="Times New Roman" w:hAnsi="Times New Roman"/>
          <w:sz w:val="22"/>
          <w:szCs w:val="22"/>
          <w:color w:val="212126"/>
        </w:rPr>
        <w:t>”) and each individually a “</w:t>
      </w:r>
      <w:r>
        <w:rPr>
          <w:rFonts w:ascii="Times New Roman" w:cs="Times New Roman" w:eastAsia="Times New Roman" w:hAnsi="Times New Roman"/>
          <w:sz w:val="22"/>
          <w:szCs w:val="22"/>
          <w:u w:val="single" w:color="auto"/>
          <w:color w:val="212126"/>
        </w:rPr>
        <w:t>Third Party Document</w:t>
      </w:r>
      <w:r>
        <w:rPr>
          <w:rFonts w:ascii="Times New Roman" w:cs="Times New Roman" w:eastAsia="Times New Roman" w:hAnsi="Times New Roman"/>
          <w:sz w:val="22"/>
          <w:szCs w:val="22"/>
          <w:color w:val="212126"/>
        </w:rPr>
        <w:t>”) then in the Executive’s possession or control and not accessible by the Company; provided, however, that if a Document or Third-Party Document is on electronic media, the Executive may, in lieu of surrendering the Document or Third-Party Document, provide a copy to the Company on electronic media and delete and overwrite all other electronic media copies thereof. The Executive also agrees that, upon request of any duly authorized officer of the Company, the Executive shall disclose all passwords and passcodes necessary or desirable to enable the Company or any of its Affiliates or the Persons with whom the Company or any of its Affiliates do business to obtain access to the Documents and Third Party Documents.</w:t>
      </w:r>
    </w:p>
    <w:p>
      <w:pPr>
        <w:spacing w:after="0" w:line="186" w:lineRule="exact"/>
        <w:rPr>
          <w:rFonts w:ascii="Times New Roman" w:cs="Times New Roman" w:eastAsia="Times New Roman" w:hAnsi="Times New Roman"/>
          <w:sz w:val="22"/>
          <w:szCs w:val="22"/>
          <w:color w:val="212126"/>
        </w:rPr>
      </w:pPr>
    </w:p>
    <w:p>
      <w:pPr>
        <w:jc w:val="both"/>
        <w:ind w:firstLine="1322"/>
        <w:spacing w:after="0" w:line="233" w:lineRule="auto"/>
        <w:tabs>
          <w:tab w:leader="none" w:pos="1956" w:val="left"/>
        </w:tabs>
        <w:numPr>
          <w:ilvl w:val="1"/>
          <w:numId w:val="10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Assignment of Rights to Intellectual Property</w:t>
      </w:r>
      <w:r>
        <w:rPr>
          <w:rFonts w:ascii="Times New Roman" w:cs="Times New Roman" w:eastAsia="Times New Roman" w:hAnsi="Times New Roman"/>
          <w:sz w:val="22"/>
          <w:szCs w:val="22"/>
          <w:color w:val="212126"/>
        </w:rPr>
        <w:t xml:space="preserve">.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(or as otherwise directed by the Company) and to permit the Company to enforce any patents, copyrights or other proprietary rights to the Intellectual Property. The Executive will not charge </w:t>
      </w:r>
      <w:r>
        <w:rPr>
          <w:rFonts w:ascii="Times New Roman" w:cs="Times New Roman" w:eastAsia="Times New Roman" w:hAnsi="Times New Roman"/>
          <w:sz w:val="22"/>
          <w:szCs w:val="22"/>
          <w:color w:val="363638"/>
        </w:rPr>
        <w:t>the</w:t>
      </w:r>
      <w:r>
        <w:rPr>
          <w:rFonts w:ascii="Times New Roman" w:cs="Times New Roman" w:eastAsia="Times New Roman" w:hAnsi="Times New Roman"/>
          <w:sz w:val="22"/>
          <w:szCs w:val="22"/>
          <w:color w:val="212126"/>
        </w:rPr>
        <w:t xml:space="preserve"> Company for time spent in complying with these obligations. All copyrightable works that the Executive creates shall be considered “work made for hire” and shall, upon creation, be owned exclusively by the Company.</w:t>
      </w:r>
    </w:p>
    <w:p>
      <w:pPr>
        <w:spacing w:after="0" w:line="187" w:lineRule="exact"/>
        <w:rPr>
          <w:rFonts w:ascii="Times New Roman" w:cs="Times New Roman" w:eastAsia="Times New Roman" w:hAnsi="Times New Roman"/>
          <w:sz w:val="22"/>
          <w:szCs w:val="22"/>
          <w:color w:val="212126"/>
        </w:rPr>
      </w:pPr>
    </w:p>
    <w:p>
      <w:pPr>
        <w:jc w:val="both"/>
        <w:ind w:firstLine="1310"/>
        <w:spacing w:after="0" w:line="236" w:lineRule="auto"/>
        <w:tabs>
          <w:tab w:leader="none" w:pos="1951" w:val="left"/>
        </w:tabs>
        <w:numPr>
          <w:ilvl w:val="0"/>
          <w:numId w:val="108"/>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Restricted Activities</w:t>
      </w:r>
      <w:r>
        <w:rPr>
          <w:rFonts w:ascii="Times New Roman" w:cs="Times New Roman" w:eastAsia="Times New Roman" w:hAnsi="Times New Roman"/>
          <w:sz w:val="22"/>
          <w:szCs w:val="22"/>
          <w:color w:val="212126"/>
        </w:rPr>
        <w:t>. The Executive acknowledges and agrees that (a) she is an executive or management employee of the Company and is provided access to the Company’s “</w:t>
      </w:r>
      <w:r>
        <w:rPr>
          <w:rFonts w:ascii="Times New Roman" w:cs="Times New Roman" w:eastAsia="Times New Roman" w:hAnsi="Times New Roman"/>
          <w:sz w:val="22"/>
          <w:szCs w:val="22"/>
          <w:u w:val="single" w:color="auto"/>
          <w:color w:val="212126"/>
        </w:rPr>
        <w:t>Trade Secrets</w:t>
      </w:r>
      <w:r>
        <w:rPr>
          <w:rFonts w:ascii="Times New Roman" w:cs="Times New Roman" w:eastAsia="Times New Roman" w:hAnsi="Times New Roman"/>
          <w:sz w:val="22"/>
          <w:szCs w:val="22"/>
          <w:color w:val="212126"/>
        </w:rPr>
        <w:t>,” defined as the whole or any portion or phase of any scientific or technical information, design, process, procedure, formula, improvement, confidential business or financial information, listing of names, addresses, or telephone numbers, or other information relating to the Company which is secret and of value, and (b) the following restrictions on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360045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868" w:right="999" w:bottom="1440" w:gutter="0" w:footer="0" w:header="0"/>
        </w:sectPr>
      </w:pPr>
    </w:p>
    <w:bookmarkStart w:id="153" w:name="page154"/>
    <w:bookmarkEnd w:id="153"/>
    <w:p>
      <w:pPr>
        <w:ind w:left="20" w:hanging="3"/>
        <w:spacing w:after="0" w:line="258" w:lineRule="auto"/>
        <w:rPr>
          <w:sz w:val="20"/>
          <w:szCs w:val="20"/>
          <w:color w:val="auto"/>
        </w:rPr>
      </w:pPr>
      <w:r>
        <w:rPr>
          <w:rFonts w:ascii="Times New Roman" w:cs="Times New Roman" w:eastAsia="Times New Roman" w:hAnsi="Times New Roman"/>
          <w:sz w:val="22"/>
          <w:szCs w:val="22"/>
          <w:color w:val="212126"/>
        </w:rPr>
        <w:t xml:space="preserve">activities during and after employment with the Company are necessary </w:t>
      </w:r>
      <w:r>
        <w:rPr>
          <w:rFonts w:ascii="Times New Roman" w:cs="Times New Roman" w:eastAsia="Times New Roman" w:hAnsi="Times New Roman"/>
          <w:sz w:val="22"/>
          <w:szCs w:val="22"/>
          <w:color w:val="3A383B"/>
        </w:rPr>
        <w:t>to</w:t>
      </w:r>
      <w:r>
        <w:rPr>
          <w:rFonts w:ascii="Times New Roman" w:cs="Times New Roman" w:eastAsia="Times New Roman" w:hAnsi="Times New Roman"/>
          <w:sz w:val="22"/>
          <w:szCs w:val="22"/>
          <w:color w:val="212126"/>
        </w:rPr>
        <w:t xml:space="preserve"> protect the Company’s Trade Secrets and other legitimate interests of the Company and its Affiliates:</w:t>
      </w:r>
    </w:p>
    <w:p>
      <w:pPr>
        <w:spacing w:after="0" w:line="158" w:lineRule="exact"/>
        <w:rPr>
          <w:sz w:val="20"/>
          <w:szCs w:val="20"/>
          <w:color w:val="auto"/>
        </w:rPr>
      </w:pPr>
    </w:p>
    <w:p>
      <w:pPr>
        <w:jc w:val="both"/>
        <w:ind w:firstLine="1961"/>
        <w:spacing w:after="0" w:line="243" w:lineRule="auto"/>
        <w:tabs>
          <w:tab w:leader="none" w:pos="2603" w:val="left"/>
        </w:tabs>
        <w:numPr>
          <w:ilvl w:val="2"/>
          <w:numId w:val="109"/>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color w:val="212126"/>
        </w:rPr>
        <w:t xml:space="preserve">While the Executive is employed by the Company and during the one (1) year period immediately following termination of the Executive’s employment (the </w:t>
      </w:r>
      <w:r>
        <w:rPr>
          <w:rFonts w:ascii="Times New Roman" w:cs="Times New Roman" w:eastAsia="Times New Roman" w:hAnsi="Times New Roman"/>
          <w:sz w:val="21"/>
          <w:szCs w:val="21"/>
          <w:color w:val="3A383B"/>
        </w:rPr>
        <w:t>“</w:t>
      </w:r>
      <w:r>
        <w:rPr>
          <w:rFonts w:ascii="Times New Roman" w:cs="Times New Roman" w:eastAsia="Times New Roman" w:hAnsi="Times New Roman"/>
          <w:sz w:val="21"/>
          <w:szCs w:val="21"/>
          <w:u w:val="single" w:color="auto"/>
          <w:color w:val="3A383B"/>
        </w:rPr>
        <w:t>Restricted</w:t>
      </w:r>
      <w:r>
        <w:rPr>
          <w:rFonts w:ascii="Times New Roman" w:cs="Times New Roman" w:eastAsia="Times New Roman" w:hAnsi="Times New Roman"/>
          <w:sz w:val="21"/>
          <w:szCs w:val="21"/>
          <w:color w:val="212126"/>
        </w:rPr>
        <w:t xml:space="preserve"> </w:t>
      </w:r>
      <w:r>
        <w:rPr>
          <w:rFonts w:ascii="Times New Roman" w:cs="Times New Roman" w:eastAsia="Times New Roman" w:hAnsi="Times New Roman"/>
          <w:sz w:val="21"/>
          <w:szCs w:val="21"/>
          <w:u w:val="single" w:color="auto"/>
          <w:color w:val="212126"/>
        </w:rPr>
        <w:t>Period</w:t>
      </w:r>
      <w:r>
        <w:rPr>
          <w:rFonts w:ascii="Times New Roman" w:cs="Times New Roman" w:eastAsia="Times New Roman" w:hAnsi="Times New Roman"/>
          <w:sz w:val="21"/>
          <w:szCs w:val="21"/>
          <w:color w:val="212126"/>
        </w:rPr>
        <w:t>”), the Executive shall not, directly or indirectly, whether as owner, partner, investor, consultant, agent, employee, independent contractor, co-venturer or otherwise, whether with or without compensation, compete with the Business (as defined below), or any portion of the Business, in the United States of America (the “</w:t>
      </w:r>
      <w:r>
        <w:rPr>
          <w:rFonts w:ascii="Times New Roman" w:cs="Times New Roman" w:eastAsia="Times New Roman" w:hAnsi="Times New Roman"/>
          <w:sz w:val="21"/>
          <w:szCs w:val="21"/>
          <w:u w:val="single" w:color="auto"/>
          <w:color w:val="212126"/>
        </w:rPr>
        <w:t>Restricted</w:t>
      </w:r>
      <w:r>
        <w:rPr>
          <w:rFonts w:ascii="Times New Roman" w:cs="Times New Roman" w:eastAsia="Times New Roman" w:hAnsi="Times New Roman"/>
          <w:sz w:val="21"/>
          <w:szCs w:val="21"/>
          <w:color w:val="212126"/>
        </w:rPr>
        <w:t xml:space="preserve"> </w:t>
      </w:r>
      <w:r>
        <w:rPr>
          <w:rFonts w:ascii="Times New Roman" w:cs="Times New Roman" w:eastAsia="Times New Roman" w:hAnsi="Times New Roman"/>
          <w:sz w:val="21"/>
          <w:szCs w:val="21"/>
          <w:u w:val="single" w:color="auto"/>
          <w:color w:val="212126"/>
        </w:rPr>
        <w:t>Area</w:t>
      </w:r>
      <w:r>
        <w:rPr>
          <w:rFonts w:ascii="Times New Roman" w:cs="Times New Roman" w:eastAsia="Times New Roman" w:hAnsi="Times New Roman"/>
          <w:sz w:val="21"/>
          <w:szCs w:val="21"/>
          <w:color w:val="212126"/>
        </w:rPr>
        <w:t xml:space="preserve">”) or undertake any planning for any business competitive with all or a portion of the Business in the Restricted Area. Specifically, but without limiting the foregoing, the Executive agrees not to work or provide services, in any capacity, whether as an employee, independent contractor or otherwise, whether with or without compensation, to any Person that is engaged in all or any portion of the Business, as conducted or in active planning to be conducted during the Executive’s employment with the Company or, with respect to the portion of the Restricted Period that follows the termination of the Executive’s employment, at the time the Executive’s employment terminates, in the Restricted Area. Notwithstanding the foregoing, nothing </w:t>
      </w:r>
      <w:r>
        <w:rPr>
          <w:rFonts w:ascii="Times New Roman" w:cs="Times New Roman" w:eastAsia="Times New Roman" w:hAnsi="Times New Roman"/>
          <w:sz w:val="21"/>
          <w:szCs w:val="21"/>
          <w:color w:val="3A383B"/>
        </w:rPr>
        <w:t>in</w:t>
      </w:r>
      <w:r>
        <w:rPr>
          <w:rFonts w:ascii="Times New Roman" w:cs="Times New Roman" w:eastAsia="Times New Roman" w:hAnsi="Times New Roman"/>
          <w:sz w:val="21"/>
          <w:szCs w:val="21"/>
          <w:color w:val="212126"/>
        </w:rPr>
        <w:t xml:space="preserve"> this Agreement shall</w:t>
      </w:r>
    </w:p>
    <w:p>
      <w:pPr>
        <w:spacing w:after="0" w:line="5" w:lineRule="exact"/>
        <w:rPr>
          <w:rFonts w:ascii="Times New Roman" w:cs="Times New Roman" w:eastAsia="Times New Roman" w:hAnsi="Times New Roman"/>
          <w:sz w:val="21"/>
          <w:szCs w:val="21"/>
          <w:color w:val="212126"/>
        </w:rPr>
      </w:pPr>
    </w:p>
    <w:p>
      <w:pPr>
        <w:jc w:val="both"/>
        <w:ind w:firstLine="7"/>
        <w:spacing w:after="0" w:line="232" w:lineRule="auto"/>
        <w:tabs>
          <w:tab w:leader="none" w:pos="329" w:val="left"/>
        </w:tabs>
        <w:numPr>
          <w:ilvl w:val="0"/>
          <w:numId w:val="11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prevent Executive from providing services to a consulting firm that provides services to any business that competes with the Business, (y) preclude Executive from owning up to 2% of the publicly traded securities of any business, or (z) prevent the Executive from providing services to an entity that contains a business that competes with the Business, provided the Executive is not responsible for (and does not engage or participate in) the day-to-day management, oversight or supervision of such business and provided the Executive does not have direct supervision over the individual or individuals who are so responsible for such day-to-day management, oversight or supervision.</w:t>
      </w:r>
    </w:p>
    <w:p>
      <w:pPr>
        <w:spacing w:after="0" w:line="181" w:lineRule="exact"/>
        <w:rPr>
          <w:rFonts w:ascii="Times New Roman" w:cs="Times New Roman" w:eastAsia="Times New Roman" w:hAnsi="Times New Roman"/>
          <w:sz w:val="22"/>
          <w:szCs w:val="22"/>
          <w:color w:val="212126"/>
        </w:rPr>
      </w:pPr>
    </w:p>
    <w:p>
      <w:pPr>
        <w:ind w:right="40" w:firstLine="1948"/>
        <w:spacing w:after="0" w:line="251" w:lineRule="auto"/>
        <w:tabs>
          <w:tab w:leader="none" w:pos="2594" w:val="left"/>
        </w:tabs>
        <w:numPr>
          <w:ilvl w:val="1"/>
          <w:numId w:val="110"/>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color w:val="212126"/>
        </w:rPr>
        <w:t xml:space="preserve">During the Restricted Period, the Executive will not directly or indirectly (i) solicit or encourage any customer of the Company or any of its Affiliates to </w:t>
      </w:r>
      <w:r>
        <w:rPr>
          <w:rFonts w:ascii="Times New Roman" w:cs="Times New Roman" w:eastAsia="Times New Roman" w:hAnsi="Times New Roman"/>
          <w:sz w:val="21"/>
          <w:szCs w:val="21"/>
          <w:color w:val="3A383B"/>
        </w:rPr>
        <w:t>terminate</w:t>
      </w:r>
      <w:r>
        <w:rPr>
          <w:rFonts w:ascii="Times New Roman" w:cs="Times New Roman" w:eastAsia="Times New Roman" w:hAnsi="Times New Roman"/>
          <w:sz w:val="21"/>
          <w:szCs w:val="21"/>
          <w:color w:val="212126"/>
        </w:rPr>
        <w:t xml:space="preserve"> or diminish its relationship with them; or (ii) seek to persuade any such customer or prospective customer of the Company or any of its Affiliates to conduct with anyone else any business or activity which such customer or prospective customer conducts or could </w:t>
      </w:r>
      <w:r>
        <w:rPr>
          <w:rFonts w:ascii="Times New Roman" w:cs="Times New Roman" w:eastAsia="Times New Roman" w:hAnsi="Times New Roman"/>
          <w:sz w:val="21"/>
          <w:szCs w:val="21"/>
          <w:color w:val="3A383B"/>
        </w:rPr>
        <w:t>conduct</w:t>
      </w:r>
      <w:r>
        <w:rPr>
          <w:rFonts w:ascii="Times New Roman" w:cs="Times New Roman" w:eastAsia="Times New Roman" w:hAnsi="Times New Roman"/>
          <w:sz w:val="21"/>
          <w:szCs w:val="21"/>
          <w:color w:val="212126"/>
        </w:rPr>
        <w:t xml:space="preserve"> with the Company or any of its Affiliates; provided, however, that these restrictions shall apply</w:t>
      </w:r>
    </w:p>
    <w:p>
      <w:pPr>
        <w:spacing w:after="0" w:line="168" w:lineRule="exact"/>
        <w:rPr>
          <w:rFonts w:ascii="Times New Roman" w:cs="Times New Roman" w:eastAsia="Times New Roman" w:hAnsi="Times New Roman"/>
          <w:sz w:val="21"/>
          <w:szCs w:val="21"/>
          <w:color w:val="212126"/>
        </w:rPr>
      </w:pPr>
    </w:p>
    <w:p>
      <w:pPr>
        <w:jc w:val="both"/>
        <w:ind w:firstLine="6"/>
        <w:spacing w:after="0" w:line="234" w:lineRule="auto"/>
        <w:tabs>
          <w:tab w:leader="none" w:pos="323" w:val="left"/>
        </w:tabs>
        <w:numPr>
          <w:ilvl w:val="0"/>
          <w:numId w:val="11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only with respect to those Persons who are or have been a customer of the Company or any of its Affiliates at any time within the immediately preceding two (2) year period or whose business has been solicited on behalf of the Company or any of its Affiliates by any of their officers, employees or agents within such two (2) year period, other than by form letter, blanket mailing or published advertisement, and (z) only if the Executive has performed work for such Person during the Executive’s employment with the Company or one of its Affiliates or been introduced to, or otherwise had contact with, such Person as a result the Executive’s employment or other associations with the Company or one of its Affiliates or has had access to Confidential Information which would assist in the Executive’s solicitation of such Person. Notwithstanding anything in this Section 10(b) to the contrary, Executive may solicit customers and prospective customers for purposes of providing or selling products or services that that do not compete with the Business.</w:t>
      </w:r>
    </w:p>
    <w:p>
      <w:pPr>
        <w:spacing w:after="0" w:line="179" w:lineRule="exact"/>
        <w:rPr>
          <w:rFonts w:ascii="Times New Roman" w:cs="Times New Roman" w:eastAsia="Times New Roman" w:hAnsi="Times New Roman"/>
          <w:sz w:val="22"/>
          <w:szCs w:val="22"/>
          <w:color w:val="212126"/>
        </w:rPr>
      </w:pPr>
    </w:p>
    <w:p>
      <w:pPr>
        <w:ind w:right="20" w:firstLine="1939"/>
        <w:spacing w:after="0" w:line="258" w:lineRule="auto"/>
        <w:tabs>
          <w:tab w:leader="none" w:pos="2552" w:val="left"/>
        </w:tabs>
        <w:numPr>
          <w:ilvl w:val="1"/>
          <w:numId w:val="111"/>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During the Restricted Period, the Executive will not, and will not assist any other person to, (i) hire or solicit for hiring any employee of the Company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68" w:right="999" w:bottom="1440" w:gutter="0" w:footer="0" w:header="0"/>
        </w:sectPr>
      </w:pPr>
    </w:p>
    <w:bookmarkStart w:id="154" w:name="page155"/>
    <w:bookmarkEnd w:id="154"/>
    <w:p>
      <w:pPr>
        <w:jc w:val="center"/>
        <w:ind w:left="1120" w:right="40"/>
        <w:spacing w:after="0" w:line="238" w:lineRule="auto"/>
        <w:rPr>
          <w:sz w:val="20"/>
          <w:szCs w:val="20"/>
          <w:color w:val="auto"/>
        </w:rPr>
      </w:pPr>
      <w:r>
        <w:rPr>
          <w:rFonts w:ascii="Times New Roman" w:cs="Times New Roman" w:eastAsia="Times New Roman" w:hAnsi="Times New Roman"/>
          <w:sz w:val="22"/>
          <w:szCs w:val="22"/>
          <w:color w:val="212126"/>
        </w:rPr>
        <w:t>Affiliates or seek to persuade any employee of the Company or any of its Affiliates to discontinue employment or (ii) solicit or encourage any independent contractor providing services to the Company or any of its Affiliates to terminate or diminish its relationship with them. For the purposes of this Agreement, an “</w:t>
      </w:r>
      <w:r>
        <w:rPr>
          <w:rFonts w:ascii="Times New Roman" w:cs="Times New Roman" w:eastAsia="Times New Roman" w:hAnsi="Times New Roman"/>
          <w:sz w:val="22"/>
          <w:szCs w:val="22"/>
          <w:u w:val="single" w:color="auto"/>
          <w:color w:val="212126"/>
        </w:rPr>
        <w:t>employee</w:t>
      </w:r>
      <w:r>
        <w:rPr>
          <w:rFonts w:ascii="Times New Roman" w:cs="Times New Roman" w:eastAsia="Times New Roman" w:hAnsi="Times New Roman"/>
          <w:sz w:val="22"/>
          <w:szCs w:val="22"/>
          <w:color w:val="212126"/>
        </w:rPr>
        <w:t>” or an “</w:t>
      </w:r>
      <w:r>
        <w:rPr>
          <w:rFonts w:ascii="Times New Roman" w:cs="Times New Roman" w:eastAsia="Times New Roman" w:hAnsi="Times New Roman"/>
          <w:sz w:val="22"/>
          <w:szCs w:val="22"/>
          <w:u w:val="single" w:color="auto"/>
          <w:color w:val="212126"/>
        </w:rPr>
        <w:t>independent contractor</w:t>
      </w:r>
      <w:r>
        <w:rPr>
          <w:rFonts w:ascii="Times New Roman" w:cs="Times New Roman" w:eastAsia="Times New Roman" w:hAnsi="Times New Roman"/>
          <w:sz w:val="22"/>
          <w:szCs w:val="22"/>
          <w:color w:val="212126"/>
        </w:rPr>
        <w:t>” of the Company or any of its Affiliates is any Person who was such at any time within the preceding two (2) years.</w:t>
      </w:r>
    </w:p>
    <w:p>
      <w:pPr>
        <w:spacing w:after="0" w:line="177" w:lineRule="exact"/>
        <w:rPr>
          <w:sz w:val="20"/>
          <w:szCs w:val="20"/>
          <w:color w:val="auto"/>
        </w:rPr>
      </w:pPr>
    </w:p>
    <w:p>
      <w:pPr>
        <w:jc w:val="both"/>
        <w:ind w:firstLine="1336"/>
        <w:spacing w:after="0" w:line="243" w:lineRule="auto"/>
        <w:tabs>
          <w:tab w:leader="none" w:pos="1963" w:val="left"/>
        </w:tabs>
        <w:numPr>
          <w:ilvl w:val="1"/>
          <w:numId w:val="112"/>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u w:val="single" w:color="auto"/>
          <w:color w:val="212126"/>
        </w:rPr>
        <w:t>Enforcement of Covenants</w:t>
      </w:r>
      <w:r>
        <w:rPr>
          <w:rFonts w:ascii="Times New Roman" w:cs="Times New Roman" w:eastAsia="Times New Roman" w:hAnsi="Times New Roman"/>
          <w:sz w:val="21"/>
          <w:szCs w:val="21"/>
          <w:color w:val="212126"/>
        </w:rPr>
        <w:t>. The Executive acknowledges that she has carefully read and considered all the terms and conditions of this Agreement, including the restraints imposed upon her pursuant to Sections 7, 8 and 9 hereof. The Executive agrees without reservation that each of the restraints contained herein is necessary for the reasonable and proper protection of the goodwill, Confidential Information and other legitimate interests of the Company and its Affiliates; that each and every one of these restraints is reasonable in respect to subject matter, length of time and geographic area; and that these restraints, individually or in the aggregate, will not prevent her from obtaining other suitable employment during the period in which the Executive is bound by them. The Executive further agrees that she will never assert, or permit to be asserted on her behalf, in any forum, any position contrary to the foregoing. The Executive further acknowledges that, were she to breach any of the covenants contained in Sections 7, 8 or 9 hereof, the damage to the Company and its Affiliates would be irreparable. The Executive therefore agrees that the Company, in addition and not in the alternative to any other remedies available to it, shall be entitled to preliminary and permanent injunctive relief against any breach or threatened breach by the Executive of any of said covenants, without having to post bond. The parties further agree that, in the event that any provision of Section 7, 8 or 9 hereof shall be determined by any court of competent jurisdiction to be unenforceable such provision shall be deemed to be modified to permit its enforcement to the maximum extent permitted by law. The Executive agrees that the Restricted Period shall be tolled, and shall not run, during any period of time in which she is in violation of the terms thereof, in order that the Company and its Affiliates shall have all of the agreed-upon temporal protection recited herein. No breach of any provision of this Agreement by the Company, or any other claimed breach of contract or violation of law, or change in the nature or scope of the Executive’s employment relationship with the Company, shall operate to extinguish the Executive’s obligation to comply with Sections 7, 8 and 9 hereof. Each of the Company’s Affiliates shall have the right to enforce all of the Executive’s obligations to that Affiliate under this Agreement, including without limitation pursuant to Section 7, 8 or 9 hereof.</w:t>
      </w:r>
    </w:p>
    <w:p>
      <w:pPr>
        <w:spacing w:after="0" w:line="181" w:lineRule="exact"/>
        <w:rPr>
          <w:rFonts w:ascii="Times New Roman" w:cs="Times New Roman" w:eastAsia="Times New Roman" w:hAnsi="Times New Roman"/>
          <w:sz w:val="21"/>
          <w:szCs w:val="21"/>
          <w:color w:val="212126"/>
        </w:rPr>
      </w:pPr>
    </w:p>
    <w:p>
      <w:pPr>
        <w:jc w:val="both"/>
        <w:ind w:firstLine="1319"/>
        <w:spacing w:after="0" w:line="235" w:lineRule="auto"/>
        <w:tabs>
          <w:tab w:leader="none" w:pos="1938" w:val="left"/>
        </w:tabs>
        <w:numPr>
          <w:ilvl w:val="0"/>
          <w:numId w:val="113"/>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No Conflicting Agreements</w:t>
      </w:r>
      <w:r>
        <w:rPr>
          <w:rFonts w:ascii="Times New Roman" w:cs="Times New Roman" w:eastAsia="Times New Roman" w:hAnsi="Times New Roman"/>
          <w:sz w:val="22"/>
          <w:szCs w:val="22"/>
          <w:color w:val="212126"/>
        </w:rPr>
        <w:t>. The Executive hereby represents and warrants that the execution of this Agreement and the performance of her obligations hereunder will not breach or be in conflict with any other agreement to which the Executive is a party or is bound and that the Executive is not now subject to any covenants against competition or similar covenants or any other obligations to any Person or to any court order, judgment or decree that would affect the performance of her obligations hereunder. The Executive will not disclose to or use on behalf of the Company any proprietary information of a third party without such party’s consent.</w:t>
      </w:r>
    </w:p>
    <w:p>
      <w:pPr>
        <w:spacing w:after="0" w:line="183" w:lineRule="exact"/>
        <w:rPr>
          <w:rFonts w:ascii="Times New Roman" w:cs="Times New Roman" w:eastAsia="Times New Roman" w:hAnsi="Times New Roman"/>
          <w:sz w:val="22"/>
          <w:szCs w:val="22"/>
          <w:color w:val="212126"/>
        </w:rPr>
      </w:pPr>
    </w:p>
    <w:p>
      <w:pPr>
        <w:ind w:left="1940" w:hanging="629"/>
        <w:spacing w:after="0"/>
        <w:tabs>
          <w:tab w:leader="none" w:pos="1940" w:val="left"/>
        </w:tabs>
        <w:numPr>
          <w:ilvl w:val="0"/>
          <w:numId w:val="113"/>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u w:val="single" w:color="auto"/>
          <w:color w:val="212126"/>
        </w:rPr>
        <w:t>Definitions</w:t>
      </w:r>
      <w:r>
        <w:rPr>
          <w:rFonts w:ascii="Times New Roman" w:cs="Times New Roman" w:eastAsia="Times New Roman" w:hAnsi="Times New Roman"/>
          <w:sz w:val="21"/>
          <w:szCs w:val="21"/>
          <w:color w:val="212126"/>
        </w:rPr>
        <w:t>. Capitalized words or phrases shall have the meanings provided in this Section</w:t>
      </w:r>
    </w:p>
    <w:p>
      <w:pPr>
        <w:spacing w:after="0" w:line="25" w:lineRule="exact"/>
        <w:rPr>
          <w:rFonts w:ascii="Times New Roman" w:cs="Times New Roman" w:eastAsia="Times New Roman" w:hAnsi="Times New Roman"/>
          <w:sz w:val="21"/>
          <w:szCs w:val="21"/>
          <w:color w:val="212126"/>
        </w:rPr>
      </w:pPr>
    </w:p>
    <w:p>
      <w:pPr>
        <w:spacing w:after="0"/>
        <w:rPr>
          <w:rFonts w:ascii="Times New Roman" w:cs="Times New Roman" w:eastAsia="Times New Roman" w:hAnsi="Times New Roman"/>
          <w:sz w:val="21"/>
          <w:szCs w:val="21"/>
          <w:color w:val="212126"/>
        </w:rPr>
      </w:pPr>
      <w:r>
        <w:rPr>
          <w:rFonts w:ascii="Times New Roman" w:cs="Times New Roman" w:eastAsia="Times New Roman" w:hAnsi="Times New Roman"/>
          <w:sz w:val="22"/>
          <w:szCs w:val="22"/>
          <w:color w:val="212126"/>
        </w:rPr>
        <w:t>12 and as provided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868" w:right="999" w:bottom="1440" w:gutter="0" w:footer="0" w:header="0"/>
        </w:sectPr>
      </w:pPr>
    </w:p>
    <w:bookmarkStart w:id="155" w:name="page156"/>
    <w:bookmarkEnd w:id="155"/>
    <w:p>
      <w:pPr>
        <w:ind w:left="60" w:firstLine="1938"/>
        <w:spacing w:after="0" w:line="258" w:lineRule="auto"/>
        <w:tabs>
          <w:tab w:leader="none" w:pos="2649" w:val="left"/>
        </w:tabs>
        <w:numPr>
          <w:ilvl w:val="2"/>
          <w:numId w:val="114"/>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32126"/>
        </w:rPr>
        <w:t>“</w:t>
      </w:r>
      <w:r>
        <w:rPr>
          <w:rFonts w:ascii="Times New Roman" w:cs="Times New Roman" w:eastAsia="Times New Roman" w:hAnsi="Times New Roman"/>
          <w:sz w:val="22"/>
          <w:szCs w:val="22"/>
          <w:u w:val="single" w:color="auto"/>
          <w:color w:val="232126"/>
        </w:rPr>
        <w:t>Affiliate</w:t>
      </w:r>
      <w:r>
        <w:rPr>
          <w:rFonts w:ascii="Times New Roman" w:cs="Times New Roman" w:eastAsia="Times New Roman" w:hAnsi="Times New Roman"/>
          <w:sz w:val="22"/>
          <w:szCs w:val="22"/>
          <w:color w:val="232126"/>
        </w:rPr>
        <w:t>” means any person or entity directly or indirectly controlling, controlled by the Company, where control may be by either management authority or equity interest.</w:t>
      </w:r>
    </w:p>
    <w:p>
      <w:pPr>
        <w:spacing w:after="0" w:line="158" w:lineRule="exact"/>
        <w:rPr>
          <w:rFonts w:ascii="Times New Roman" w:cs="Times New Roman" w:eastAsia="Times New Roman" w:hAnsi="Times New Roman"/>
          <w:sz w:val="22"/>
          <w:szCs w:val="22"/>
          <w:color w:val="212126"/>
        </w:rPr>
      </w:pPr>
    </w:p>
    <w:p>
      <w:pPr>
        <w:ind w:left="40" w:firstLine="1953"/>
        <w:spacing w:after="0" w:line="258" w:lineRule="auto"/>
        <w:tabs>
          <w:tab w:leader="none" w:pos="2628" w:val="left"/>
        </w:tabs>
        <w:numPr>
          <w:ilvl w:val="2"/>
          <w:numId w:val="114"/>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32126"/>
        </w:rPr>
        <w:t>“</w:t>
      </w:r>
      <w:r>
        <w:rPr>
          <w:rFonts w:ascii="Times New Roman" w:cs="Times New Roman" w:eastAsia="Times New Roman" w:hAnsi="Times New Roman"/>
          <w:sz w:val="22"/>
          <w:szCs w:val="22"/>
          <w:u w:val="single" w:color="auto"/>
          <w:color w:val="232126"/>
        </w:rPr>
        <w:t>Business</w:t>
      </w:r>
      <w:r>
        <w:rPr>
          <w:rFonts w:ascii="Times New Roman" w:cs="Times New Roman" w:eastAsia="Times New Roman" w:hAnsi="Times New Roman"/>
          <w:sz w:val="22"/>
          <w:szCs w:val="22"/>
          <w:color w:val="232126"/>
        </w:rPr>
        <w:t>” means the business of delivery of services to the frail and elderly population through the operation of PACE Programs.</w:t>
      </w:r>
    </w:p>
    <w:p>
      <w:pPr>
        <w:spacing w:after="0" w:line="158" w:lineRule="exact"/>
        <w:rPr>
          <w:rFonts w:ascii="Times New Roman" w:cs="Times New Roman" w:eastAsia="Times New Roman" w:hAnsi="Times New Roman"/>
          <w:sz w:val="22"/>
          <w:szCs w:val="22"/>
          <w:color w:val="212126"/>
        </w:rPr>
      </w:pPr>
    </w:p>
    <w:p>
      <w:pPr>
        <w:jc w:val="both"/>
        <w:ind w:left="40" w:firstLine="1950"/>
        <w:spacing w:after="0" w:line="233" w:lineRule="auto"/>
        <w:tabs>
          <w:tab w:leader="none" w:pos="2638" w:val="left"/>
        </w:tabs>
        <w:numPr>
          <w:ilvl w:val="2"/>
          <w:numId w:val="114"/>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32126"/>
        </w:rPr>
        <w:t>“</w:t>
      </w:r>
      <w:r>
        <w:rPr>
          <w:rFonts w:ascii="Times New Roman" w:cs="Times New Roman" w:eastAsia="Times New Roman" w:hAnsi="Times New Roman"/>
          <w:sz w:val="22"/>
          <w:szCs w:val="22"/>
          <w:u w:val="single" w:color="auto"/>
          <w:color w:val="232126"/>
        </w:rPr>
        <w:t>Confidential Information</w:t>
      </w:r>
      <w:r>
        <w:rPr>
          <w:rFonts w:ascii="Times New Roman" w:cs="Times New Roman" w:eastAsia="Times New Roman" w:hAnsi="Times New Roman"/>
          <w:sz w:val="22"/>
          <w:szCs w:val="22"/>
          <w:color w:val="232126"/>
        </w:rPr>
        <w:t>” means any and all information of the Company and its Affiliates that is not generally available to the public, and any and all information, which, if disclosed by the Company or any of its Affiliates, would assist in competition against any of them. Confidential Information includes without limitation such information relating to (i) the development, research, testing, manufacturing, marketing and financial activities of the Company and its Affiliates, (ii) the Services, (iii) the costs, sources of supply, financial performance and strategic plans of the Company and its Affiliates, (iv) the identity and special needs of the patients of the Company and its Affiliates and (v) the people and organizations with whom the Company and its Affiliates have business relationships and the nature and substance of those relationships. Confidential Information also includes information that the Company or any of its Affiliates has received, or may receive hereafter, belonging to others or that was received by the Company or any of its Affiliates with any understanding, express or implied, that it would not be disclosed</w:t>
      </w:r>
      <w:r>
        <w:rPr>
          <w:rFonts w:ascii="Times New Roman" w:cs="Times New Roman" w:eastAsia="Times New Roman" w:hAnsi="Times New Roman"/>
          <w:sz w:val="22"/>
          <w:szCs w:val="22"/>
          <w:color w:val="49484F"/>
        </w:rPr>
        <w:t>.</w:t>
      </w:r>
    </w:p>
    <w:p>
      <w:pPr>
        <w:spacing w:after="0" w:line="187" w:lineRule="exact"/>
        <w:rPr>
          <w:rFonts w:ascii="Times New Roman" w:cs="Times New Roman" w:eastAsia="Times New Roman" w:hAnsi="Times New Roman"/>
          <w:sz w:val="22"/>
          <w:szCs w:val="22"/>
          <w:color w:val="212126"/>
        </w:rPr>
      </w:pPr>
    </w:p>
    <w:p>
      <w:pPr>
        <w:jc w:val="both"/>
        <w:ind w:left="20" w:firstLine="1961"/>
        <w:spacing w:after="0" w:line="247" w:lineRule="auto"/>
        <w:tabs>
          <w:tab w:leader="none" w:pos="2622" w:val="left"/>
        </w:tabs>
        <w:numPr>
          <w:ilvl w:val="2"/>
          <w:numId w:val="114"/>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color w:val="232126"/>
        </w:rPr>
        <w:t>“</w:t>
      </w:r>
      <w:r>
        <w:rPr>
          <w:rFonts w:ascii="Times New Roman" w:cs="Times New Roman" w:eastAsia="Times New Roman" w:hAnsi="Times New Roman"/>
          <w:sz w:val="21"/>
          <w:szCs w:val="21"/>
          <w:u w:val="single" w:color="auto"/>
          <w:color w:val="232126"/>
        </w:rPr>
        <w:t>Intellectual Property</w:t>
      </w:r>
      <w:r>
        <w:rPr>
          <w:rFonts w:ascii="Times New Roman" w:cs="Times New Roman" w:eastAsia="Times New Roman" w:hAnsi="Times New Roman"/>
          <w:sz w:val="21"/>
          <w:szCs w:val="21"/>
          <w:color w:val="232126"/>
        </w:rPr>
        <w:t>” means inventions, discoveries, developments, methods, processes, compositions, works, concepts and ideas (whether or not patentable or copyrightable or constituting trade secrets) conceived, made, created, developed or reduced to practice by the Executive (whether alone or with others, whether or not during normal business hours or on or off Company premises) during the Executive’s employment and during the period of six (6) months immediately following termination of her employment that relate either to the Services or to any prospective activity of the Company or any of its Affiliates or that result from any work performed by the Executive for the Company or any of its Affiliates or that make use of Confidential Information or any of the equipment or facilities of the Company or any of its Affiliates.</w:t>
      </w:r>
    </w:p>
    <w:p>
      <w:pPr>
        <w:spacing w:after="0" w:line="171" w:lineRule="exact"/>
        <w:rPr>
          <w:rFonts w:ascii="Times New Roman" w:cs="Times New Roman" w:eastAsia="Times New Roman" w:hAnsi="Times New Roman"/>
          <w:sz w:val="21"/>
          <w:szCs w:val="21"/>
          <w:color w:val="212126"/>
        </w:rPr>
      </w:pPr>
    </w:p>
    <w:p>
      <w:pPr>
        <w:jc w:val="both"/>
        <w:ind w:left="20" w:firstLine="1953"/>
        <w:spacing w:after="0" w:line="244" w:lineRule="auto"/>
        <w:tabs>
          <w:tab w:leader="none" w:pos="2609" w:val="left"/>
        </w:tabs>
        <w:numPr>
          <w:ilvl w:val="1"/>
          <w:numId w:val="11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32126"/>
        </w:rPr>
        <w:t>“</w:t>
      </w:r>
      <w:r>
        <w:rPr>
          <w:rFonts w:ascii="Times New Roman" w:cs="Times New Roman" w:eastAsia="Times New Roman" w:hAnsi="Times New Roman"/>
          <w:sz w:val="22"/>
          <w:szCs w:val="22"/>
          <w:u w:val="single" w:color="auto"/>
          <w:color w:val="232126"/>
        </w:rPr>
        <w:t>Person</w:t>
      </w:r>
      <w:r>
        <w:rPr>
          <w:rFonts w:ascii="Times New Roman" w:cs="Times New Roman" w:eastAsia="Times New Roman" w:hAnsi="Times New Roman"/>
          <w:sz w:val="22"/>
          <w:szCs w:val="22"/>
          <w:color w:val="232126"/>
        </w:rPr>
        <w:t>” means a natural person, a corporation, a limited liability company, an association, a partnership, an estate, a trust and any other entity or organization, other than the Company or any of its Affiliates.</w:t>
      </w:r>
    </w:p>
    <w:p>
      <w:pPr>
        <w:spacing w:after="0" w:line="173" w:lineRule="exact"/>
        <w:rPr>
          <w:rFonts w:ascii="Times New Roman" w:cs="Times New Roman" w:eastAsia="Times New Roman" w:hAnsi="Times New Roman"/>
          <w:sz w:val="22"/>
          <w:szCs w:val="22"/>
          <w:color w:val="212126"/>
        </w:rPr>
      </w:pPr>
    </w:p>
    <w:p>
      <w:pPr>
        <w:jc w:val="both"/>
        <w:ind w:left="20" w:firstLine="1948"/>
        <w:spacing w:after="0" w:line="239" w:lineRule="auto"/>
        <w:tabs>
          <w:tab w:leader="none" w:pos="2617" w:val="left"/>
        </w:tabs>
        <w:numPr>
          <w:ilvl w:val="1"/>
          <w:numId w:val="11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32126"/>
        </w:rPr>
        <w:t>“</w:t>
      </w:r>
      <w:r>
        <w:rPr>
          <w:rFonts w:ascii="Times New Roman" w:cs="Times New Roman" w:eastAsia="Times New Roman" w:hAnsi="Times New Roman"/>
          <w:sz w:val="22"/>
          <w:szCs w:val="22"/>
          <w:u w:val="single" w:color="auto"/>
          <w:color w:val="232126"/>
        </w:rPr>
        <w:t>Services</w:t>
      </w:r>
      <w:r>
        <w:rPr>
          <w:rFonts w:ascii="Times New Roman" w:cs="Times New Roman" w:eastAsia="Times New Roman" w:hAnsi="Times New Roman"/>
          <w:sz w:val="22"/>
          <w:szCs w:val="22"/>
          <w:color w:val="232126"/>
        </w:rPr>
        <w:t>” means all services planned, researched, developed, tested, sold, licensed, leased, or otherwise distributed or put into use by the Company or any of its Affiliates, together with all products provided or otherwise planned by the Company or any of its Affiliates, during the Executive’s employment.</w:t>
      </w:r>
    </w:p>
    <w:p>
      <w:pPr>
        <w:spacing w:after="0" w:line="180" w:lineRule="exact"/>
        <w:rPr>
          <w:rFonts w:ascii="Times New Roman" w:cs="Times New Roman" w:eastAsia="Times New Roman" w:hAnsi="Times New Roman"/>
          <w:sz w:val="22"/>
          <w:szCs w:val="22"/>
          <w:color w:val="212126"/>
        </w:rPr>
      </w:pPr>
    </w:p>
    <w:p>
      <w:pPr>
        <w:jc w:val="both"/>
        <w:ind w:firstLine="1334"/>
        <w:spacing w:after="0" w:line="238" w:lineRule="auto"/>
        <w:tabs>
          <w:tab w:leader="none" w:pos="1955" w:val="left"/>
        </w:tabs>
        <w:numPr>
          <w:ilvl w:val="0"/>
          <w:numId w:val="116"/>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32126"/>
        </w:rPr>
        <w:t>Indemnification</w:t>
      </w:r>
      <w:r>
        <w:rPr>
          <w:rFonts w:ascii="Times New Roman" w:cs="Times New Roman" w:eastAsia="Times New Roman" w:hAnsi="Times New Roman"/>
          <w:sz w:val="22"/>
          <w:szCs w:val="22"/>
          <w:color w:val="232126"/>
        </w:rPr>
        <w:t>. During Executive’s employment with the Company and thereafter, the Company shall indemnify and hold Executive and her heirs and representatives harmless against any and all damages, costs, liabilities, losses and expenses (including reasonable attorneys’ fees) as a result of any claim or proceeding (whether civil, criminal, administrative or investigative), against Executive that arises out of or relates to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56" w:name="page157"/>
    <w:bookmarkEnd w:id="156"/>
    <w:p>
      <w:pPr>
        <w:jc w:val="both"/>
        <w:ind w:left="20" w:firstLine="17"/>
        <w:spacing w:after="0" w:line="232" w:lineRule="auto"/>
        <w:rPr>
          <w:sz w:val="20"/>
          <w:szCs w:val="20"/>
          <w:color w:val="auto"/>
        </w:rPr>
      </w:pPr>
      <w:r>
        <w:rPr>
          <w:rFonts w:ascii="Times New Roman" w:cs="Times New Roman" w:eastAsia="Times New Roman" w:hAnsi="Times New Roman"/>
          <w:sz w:val="22"/>
          <w:szCs w:val="22"/>
          <w:color w:val="232126"/>
        </w:rPr>
        <w:t xml:space="preserve">service as an officer, director or employee, as the case may be, of the Company, or Executive’s service in any such capacity or similar capacity with any Affiliate of the Company or other entity at the Company’s request, except, however, the Company’s indemnity shall not apply with respect to matters where the Executive has been grossly negligent, reckless, or intentionally violated the rights of the Company or of any third party unless at the direction of the Company, or where the Executive fails to cooperate fully with the Company in the Company’s defense of any claim or proceeding. The Company agrees to promptly advance to Executive or her heirs or representatives the expenses, including attorneys’ fees and litigation costs, upon written request with documentation of such expenses satisfactory to the Company and upon receipt of an undertaking by Executive or on Executive’s behalf </w:t>
      </w:r>
      <w:r>
        <w:rPr>
          <w:rFonts w:ascii="Times New Roman" w:cs="Times New Roman" w:eastAsia="Times New Roman" w:hAnsi="Times New Roman"/>
          <w:sz w:val="22"/>
          <w:szCs w:val="22"/>
          <w:color w:val="38383B"/>
        </w:rPr>
        <w:t>that</w:t>
      </w:r>
      <w:r>
        <w:rPr>
          <w:rFonts w:ascii="Times New Roman" w:cs="Times New Roman" w:eastAsia="Times New Roman" w:hAnsi="Times New Roman"/>
          <w:sz w:val="22"/>
          <w:szCs w:val="22"/>
          <w:color w:val="232126"/>
        </w:rPr>
        <w:t xml:space="preserve"> such amounts will be promptly repaid should it ultimately be determined that Executive is not entitled to be indemnified by the Company. The Executive agrees to assist and cooperate with the Company, both during Executive’s employment with the Company and thereafter, in the defense of any legal action related to the Executive’s employment upon reasonable notice and at reasonable times and places. During Executive’s employment with the Company and thereafter, the Company also shall provide Executive with coverage under its current directors’ and officers’ liability policy to the same extent that it provides such coverage to its other executive officers or directors and shall be entitled to the same rights of indemnification provided to such other executive officers or directors under the Company’s by-laws, certificate of incorporation, or other governing documents</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232126"/>
        </w:rPr>
        <w:t xml:space="preserve"> This Section 13 shall continue in effect after </w:t>
      </w:r>
      <w:r>
        <w:rPr>
          <w:rFonts w:ascii="Times New Roman" w:cs="Times New Roman" w:eastAsia="Times New Roman" w:hAnsi="Times New Roman"/>
          <w:sz w:val="22"/>
          <w:szCs w:val="22"/>
          <w:color w:val="38383B"/>
        </w:rPr>
        <w:t>the</w:t>
      </w:r>
      <w:r>
        <w:rPr>
          <w:rFonts w:ascii="Times New Roman" w:cs="Times New Roman" w:eastAsia="Times New Roman" w:hAnsi="Times New Roman"/>
          <w:sz w:val="22"/>
          <w:szCs w:val="22"/>
          <w:color w:val="232126"/>
        </w:rPr>
        <w:t xml:space="preserve"> termination of Executive’s employment or the termination of this Agreement.</w:t>
      </w:r>
    </w:p>
    <w:p>
      <w:pPr>
        <w:spacing w:after="0" w:line="188" w:lineRule="exact"/>
        <w:rPr>
          <w:sz w:val="20"/>
          <w:szCs w:val="20"/>
          <w:color w:val="auto"/>
        </w:rPr>
      </w:pPr>
    </w:p>
    <w:p>
      <w:pPr>
        <w:ind w:left="20" w:firstLine="1305"/>
        <w:spacing w:after="0" w:line="258" w:lineRule="auto"/>
        <w:tabs>
          <w:tab w:leader="none" w:pos="1963" w:val="left"/>
        </w:tabs>
        <w:numPr>
          <w:ilvl w:val="1"/>
          <w:numId w:val="11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32126"/>
        </w:rPr>
        <w:t>Withholding</w:t>
      </w:r>
      <w:r>
        <w:rPr>
          <w:rFonts w:ascii="Times New Roman" w:cs="Times New Roman" w:eastAsia="Times New Roman" w:hAnsi="Times New Roman"/>
          <w:sz w:val="22"/>
          <w:szCs w:val="22"/>
          <w:color w:val="232126"/>
        </w:rPr>
        <w:t>. All payments made by the Company under this Agreement shall be reduced by any tax or other amounts required to be withheld by the Company under applicable law.</w:t>
      </w:r>
    </w:p>
    <w:p>
      <w:pPr>
        <w:spacing w:after="0" w:line="158" w:lineRule="exact"/>
        <w:rPr>
          <w:rFonts w:ascii="Times New Roman" w:cs="Times New Roman" w:eastAsia="Times New Roman" w:hAnsi="Times New Roman"/>
          <w:sz w:val="22"/>
          <w:szCs w:val="22"/>
          <w:color w:val="212126"/>
        </w:rPr>
      </w:pPr>
    </w:p>
    <w:p>
      <w:pPr>
        <w:jc w:val="both"/>
        <w:ind w:firstLine="1320"/>
        <w:spacing w:after="0" w:line="235" w:lineRule="auto"/>
        <w:tabs>
          <w:tab w:leader="none" w:pos="1947" w:val="left"/>
        </w:tabs>
        <w:numPr>
          <w:ilvl w:val="1"/>
          <w:numId w:val="11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32126"/>
        </w:rPr>
        <w:t>Assignment</w:t>
      </w:r>
      <w:r>
        <w:rPr>
          <w:rFonts w:ascii="Times New Roman" w:cs="Times New Roman" w:eastAsia="Times New Roman" w:hAnsi="Times New Roman"/>
          <w:sz w:val="22"/>
          <w:szCs w:val="22"/>
          <w:color w:val="232126"/>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to one of its Affiliates or in the event that the Company shall hereafter effect a reorganization with, consolidate with, or merge into, an Affiliate or any Person or transfer all or substantially all of its properties, stock, or assets to an Affiliate or any Person. This Agreement shall inure to the benefit of and be binding upon the Company and the Executive, and their respective successors, executors, administrators, heirs and permitted assigns.</w:t>
      </w:r>
    </w:p>
    <w:p>
      <w:pPr>
        <w:spacing w:after="0" w:line="178" w:lineRule="exact"/>
        <w:rPr>
          <w:rFonts w:ascii="Times New Roman" w:cs="Times New Roman" w:eastAsia="Times New Roman" w:hAnsi="Times New Roman"/>
          <w:sz w:val="22"/>
          <w:szCs w:val="22"/>
          <w:color w:val="212126"/>
        </w:rPr>
      </w:pPr>
    </w:p>
    <w:p>
      <w:pPr>
        <w:jc w:val="both"/>
        <w:ind w:firstLine="1315"/>
        <w:spacing w:after="0" w:line="238" w:lineRule="auto"/>
        <w:tabs>
          <w:tab w:leader="none" w:pos="1956" w:val="left"/>
        </w:tabs>
        <w:numPr>
          <w:ilvl w:val="1"/>
          <w:numId w:val="11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32126"/>
        </w:rPr>
        <w:t>Severability</w:t>
      </w:r>
      <w:r>
        <w:rPr>
          <w:rFonts w:ascii="Times New Roman" w:cs="Times New Roman" w:eastAsia="Times New Roman" w:hAnsi="Times New Roman"/>
          <w:sz w:val="22"/>
          <w:szCs w:val="22"/>
          <w:color w:val="232126"/>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22"/>
          <w:szCs w:val="22"/>
          <w:color w:val="212126"/>
        </w:rPr>
      </w:pPr>
    </w:p>
    <w:p>
      <w:pPr>
        <w:jc w:val="both"/>
        <w:ind w:firstLine="1312"/>
        <w:spacing w:after="0" w:line="244" w:lineRule="auto"/>
        <w:tabs>
          <w:tab w:leader="none" w:pos="1952" w:val="left"/>
        </w:tabs>
        <w:numPr>
          <w:ilvl w:val="0"/>
          <w:numId w:val="118"/>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32126"/>
        </w:rPr>
        <w:t>Waiver</w:t>
      </w:r>
      <w:r>
        <w:rPr>
          <w:rFonts w:ascii="Times New Roman" w:cs="Times New Roman" w:eastAsia="Times New Roman" w:hAnsi="Times New Roman"/>
          <w:sz w:val="22"/>
          <w:szCs w:val="22"/>
          <w:color w:val="232126"/>
        </w:rPr>
        <w:t>. No waiver of any provision hereof shall be effective unless made in writing and signed by the waiving party. The failure of either party to require the performance of any term or obligation of this Agreement, or the waiver by either party of any breach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68" w:right="999" w:bottom="1440" w:gutter="0" w:footer="0" w:header="0"/>
        </w:sectPr>
      </w:pPr>
    </w:p>
    <w:bookmarkStart w:id="157" w:name="page158"/>
    <w:bookmarkEnd w:id="157"/>
    <w:p>
      <w:pPr>
        <w:ind w:left="140" w:right="20" w:hanging="3"/>
        <w:spacing w:after="0" w:line="258" w:lineRule="auto"/>
        <w:rPr>
          <w:sz w:val="20"/>
          <w:szCs w:val="20"/>
          <w:color w:val="auto"/>
        </w:rPr>
      </w:pPr>
      <w:r>
        <w:rPr>
          <w:rFonts w:ascii="Times New Roman" w:cs="Times New Roman" w:eastAsia="Times New Roman" w:hAnsi="Times New Roman"/>
          <w:sz w:val="22"/>
          <w:szCs w:val="22"/>
          <w:color w:val="212126"/>
        </w:rPr>
        <w:t>Agreement, shall not prevent any subsequent enforcement of such term or obligation or be deemed a waiver of any subsequent breach.</w:t>
      </w:r>
    </w:p>
    <w:p>
      <w:pPr>
        <w:spacing w:after="0" w:line="158" w:lineRule="exact"/>
        <w:rPr>
          <w:sz w:val="20"/>
          <w:szCs w:val="20"/>
          <w:color w:val="auto"/>
        </w:rPr>
      </w:pPr>
    </w:p>
    <w:p>
      <w:pPr>
        <w:jc w:val="both"/>
        <w:ind w:left="120" w:firstLine="1323"/>
        <w:spacing w:after="0" w:line="236" w:lineRule="auto"/>
        <w:tabs>
          <w:tab w:leader="none" w:pos="2053" w:val="left"/>
        </w:tabs>
        <w:numPr>
          <w:ilvl w:val="1"/>
          <w:numId w:val="119"/>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Notices</w:t>
      </w:r>
      <w:r>
        <w:rPr>
          <w:rFonts w:ascii="Times New Roman" w:cs="Times New Roman" w:eastAsia="Times New Roman" w:hAnsi="Times New Roman"/>
          <w:sz w:val="22"/>
          <w:szCs w:val="22"/>
          <w:color w:val="212126"/>
        </w:rPr>
        <w:t>. Any and all notices, requests, demands and other communications provided for by this Agreement shall be in writing and shall be effective when delivered in person, consigned to a reputable national courier service or deposited in the United States mail, postage prepaid, registered or certified, and addressed to the Executive at her last known address on the books of the Company or, in the case of the Company, at its principal place of business, attention of the Chief Executive Officer, or to such other address as either party may specify by notice to the other actually received.</w:t>
      </w:r>
    </w:p>
    <w:p>
      <w:pPr>
        <w:spacing w:after="0" w:line="181" w:lineRule="exact"/>
        <w:rPr>
          <w:rFonts w:ascii="Times New Roman" w:cs="Times New Roman" w:eastAsia="Times New Roman" w:hAnsi="Times New Roman"/>
          <w:sz w:val="22"/>
          <w:szCs w:val="22"/>
          <w:color w:val="212126"/>
        </w:rPr>
      </w:pPr>
    </w:p>
    <w:p>
      <w:pPr>
        <w:jc w:val="both"/>
        <w:ind w:left="120" w:firstLine="1314"/>
        <w:spacing w:after="0" w:line="261" w:lineRule="auto"/>
        <w:tabs>
          <w:tab w:leader="none" w:pos="2057" w:val="left"/>
        </w:tabs>
        <w:numPr>
          <w:ilvl w:val="1"/>
          <w:numId w:val="119"/>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u w:val="single" w:color="auto"/>
          <w:color w:val="212126"/>
        </w:rPr>
        <w:t>Entire Agreement</w:t>
      </w:r>
      <w:r>
        <w:rPr>
          <w:rFonts w:ascii="Times New Roman" w:cs="Times New Roman" w:eastAsia="Times New Roman" w:hAnsi="Times New Roman"/>
          <w:sz w:val="21"/>
          <w:szCs w:val="21"/>
          <w:color w:val="212126"/>
        </w:rPr>
        <w:t>. This Agreement constitutes the entire agreement between the parties and supersedes and terminates all prior communications, agreements, Offer of Employment, and understandings, written or oral, with respect to the terms and conditions of the Executive’s employment with the Company.</w:t>
      </w:r>
    </w:p>
    <w:p>
      <w:pPr>
        <w:spacing w:after="0" w:line="157" w:lineRule="exact"/>
        <w:rPr>
          <w:rFonts w:ascii="Times New Roman" w:cs="Times New Roman" w:eastAsia="Times New Roman" w:hAnsi="Times New Roman"/>
          <w:sz w:val="21"/>
          <w:szCs w:val="21"/>
          <w:color w:val="212126"/>
        </w:rPr>
      </w:pPr>
    </w:p>
    <w:p>
      <w:pPr>
        <w:ind w:left="120" w:right="20" w:firstLine="1293"/>
        <w:spacing w:after="0" w:line="258" w:lineRule="auto"/>
        <w:tabs>
          <w:tab w:leader="none" w:pos="2057" w:val="left"/>
        </w:tabs>
        <w:numPr>
          <w:ilvl w:val="0"/>
          <w:numId w:val="12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Amendment</w:t>
      </w:r>
      <w:r>
        <w:rPr>
          <w:rFonts w:ascii="Times New Roman" w:cs="Times New Roman" w:eastAsia="Times New Roman" w:hAnsi="Times New Roman"/>
          <w:sz w:val="22"/>
          <w:szCs w:val="22"/>
          <w:color w:val="212126"/>
        </w:rPr>
        <w:t>. This Agreement may be amended or modified only by a written instrument signed by the Executive and by an expressly authorized representative of the Company.</w:t>
      </w:r>
    </w:p>
    <w:p>
      <w:pPr>
        <w:spacing w:after="0" w:line="158" w:lineRule="exact"/>
        <w:rPr>
          <w:rFonts w:ascii="Times New Roman" w:cs="Times New Roman" w:eastAsia="Times New Roman" w:hAnsi="Times New Roman"/>
          <w:sz w:val="22"/>
          <w:szCs w:val="22"/>
          <w:color w:val="212126"/>
        </w:rPr>
      </w:pPr>
    </w:p>
    <w:p>
      <w:pPr>
        <w:ind w:left="120" w:right="20" w:firstLine="1293"/>
        <w:spacing w:after="0" w:line="258" w:lineRule="auto"/>
        <w:tabs>
          <w:tab w:leader="none" w:pos="2057" w:val="left"/>
        </w:tabs>
        <w:numPr>
          <w:ilvl w:val="0"/>
          <w:numId w:val="12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Headings</w:t>
      </w:r>
      <w:r>
        <w:rPr>
          <w:rFonts w:ascii="Times New Roman" w:cs="Times New Roman" w:eastAsia="Times New Roman" w:hAnsi="Times New Roman"/>
          <w:sz w:val="22"/>
          <w:szCs w:val="22"/>
          <w:color w:val="212126"/>
        </w:rPr>
        <w:t>. The headings and captions in this Agreement are for convenience only and in no way define or describe the scope or content of any provision of this Agreement.</w:t>
      </w:r>
    </w:p>
    <w:p>
      <w:pPr>
        <w:spacing w:after="0" w:line="158" w:lineRule="exact"/>
        <w:rPr>
          <w:rFonts w:ascii="Times New Roman" w:cs="Times New Roman" w:eastAsia="Times New Roman" w:hAnsi="Times New Roman"/>
          <w:sz w:val="22"/>
          <w:szCs w:val="22"/>
          <w:color w:val="212126"/>
        </w:rPr>
      </w:pPr>
    </w:p>
    <w:p>
      <w:pPr>
        <w:ind w:left="120" w:right="20" w:firstLine="1293"/>
        <w:spacing w:after="0" w:line="258" w:lineRule="auto"/>
        <w:tabs>
          <w:tab w:leader="none" w:pos="2066" w:val="left"/>
        </w:tabs>
        <w:numPr>
          <w:ilvl w:val="0"/>
          <w:numId w:val="12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Counterparts</w:t>
      </w:r>
      <w:r>
        <w:rPr>
          <w:rFonts w:ascii="Times New Roman" w:cs="Times New Roman" w:eastAsia="Times New Roman" w:hAnsi="Times New Roman"/>
          <w:sz w:val="22"/>
          <w:szCs w:val="22"/>
          <w:color w:val="212126"/>
        </w:rPr>
        <w:t>. This Agreement may be executed in two or more counterparts, each of which shall be an original and all of which together shall constitute one and the same instrument.</w:t>
      </w:r>
    </w:p>
    <w:p>
      <w:pPr>
        <w:spacing w:after="0" w:line="158" w:lineRule="exact"/>
        <w:rPr>
          <w:rFonts w:ascii="Times New Roman" w:cs="Times New Roman" w:eastAsia="Times New Roman" w:hAnsi="Times New Roman"/>
          <w:sz w:val="22"/>
          <w:szCs w:val="22"/>
          <w:color w:val="212126"/>
        </w:rPr>
      </w:pPr>
    </w:p>
    <w:p>
      <w:pPr>
        <w:jc w:val="both"/>
        <w:ind w:left="120" w:firstLine="1288"/>
        <w:spacing w:after="0" w:line="244" w:lineRule="auto"/>
        <w:tabs>
          <w:tab w:leader="none" w:pos="2066" w:val="left"/>
        </w:tabs>
        <w:numPr>
          <w:ilvl w:val="0"/>
          <w:numId w:val="12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u w:val="single" w:color="auto"/>
          <w:color w:val="212126"/>
        </w:rPr>
        <w:t>Governing Law</w:t>
      </w:r>
      <w:r>
        <w:rPr>
          <w:rFonts w:ascii="Times New Roman" w:cs="Times New Roman" w:eastAsia="Times New Roman" w:hAnsi="Times New Roman"/>
          <w:sz w:val="22"/>
          <w:szCs w:val="22"/>
          <w:color w:val="212126"/>
        </w:rPr>
        <w:t>. This is a Colorado contract and shall be construed and enforced under and be governed in all respects by the laws of the State of Colorado, without regard to any conflict of laws principles that would result in the application of the laws of any other jurisdiction.</w:t>
      </w:r>
    </w:p>
    <w:p>
      <w:pPr>
        <w:spacing w:after="0" w:line="173" w:lineRule="exact"/>
        <w:rPr>
          <w:sz w:val="20"/>
          <w:szCs w:val="20"/>
          <w:color w:val="auto"/>
        </w:rPr>
      </w:pPr>
    </w:p>
    <w:p>
      <w:pPr>
        <w:ind w:left="120" w:firstLine="646"/>
        <w:spacing w:after="0" w:line="258" w:lineRule="auto"/>
        <w:rPr>
          <w:sz w:val="20"/>
          <w:szCs w:val="20"/>
          <w:color w:val="auto"/>
        </w:rPr>
      </w:pPr>
      <w:r>
        <w:rPr>
          <w:rFonts w:ascii="Times New Roman" w:cs="Times New Roman" w:eastAsia="Times New Roman" w:hAnsi="Times New Roman"/>
          <w:sz w:val="22"/>
          <w:szCs w:val="22"/>
          <w:color w:val="212126"/>
        </w:rPr>
        <w:t>IN WITNESS WHEREOF, this Agreement has been executed as a sealed instrument by the Company, by its duly authorized representative, and by the Executive, as of the date first above written.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EXECUTIVE:</w:t>
            </w: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THE COMPANY:</w:t>
            </w: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Maria Lozzano</w:t>
            </w: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/s/ Maureen Hewitt</w:t>
            </w:r>
          </w:p>
        </w:tc>
      </w:tr>
      <w:tr>
        <w:trPr>
          <w:trHeight w:val="209"/>
        </w:trPr>
        <w:tc>
          <w:tcPr>
            <w:tcW w:w="20" w:type="dxa"/>
            <w:vAlign w:val="bottom"/>
          </w:tcPr>
          <w:p>
            <w:pPr>
              <w:spacing w:after="0"/>
              <w:rPr>
                <w:sz w:val="18"/>
                <w:szCs w:val="18"/>
                <w:color w:val="auto"/>
              </w:rPr>
            </w:pPr>
          </w:p>
        </w:tc>
        <w:tc>
          <w:tcPr>
            <w:tcW w:w="33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Maria Lozzano</w:t>
            </w: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By:  Maureen Hewitt</w:t>
            </w:r>
          </w:p>
        </w:tc>
      </w:tr>
      <w:tr>
        <w:trPr>
          <w:trHeight w:val="28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r>
      <w:tr>
        <w:trPr>
          <w:trHeight w:val="87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4800" w:type="dxa"/>
            <w:vAlign w:val="bottom"/>
          </w:tcPr>
          <w:p>
            <w:pPr>
              <w:spacing w:after="0"/>
              <w:rPr>
                <w:sz w:val="24"/>
                <w:szCs w:val="24"/>
                <w:color w:val="auto"/>
              </w:rPr>
            </w:pPr>
          </w:p>
        </w:tc>
      </w:tr>
      <w:tr>
        <w:trPr>
          <w:trHeight w:val="560"/>
        </w:trPr>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8" w:right="999" w:bottom="1440" w:gutter="0" w:footer="0" w:header="0"/>
        </w:sectPr>
      </w:pPr>
    </w:p>
    <w:bookmarkStart w:id="158" w:name="page159"/>
    <w:bookmarkEnd w:id="158"/>
    <w:p>
      <w:pPr>
        <w:jc w:val="center"/>
        <w:ind w:right="100"/>
        <w:spacing w:after="0"/>
        <w:rPr>
          <w:sz w:val="20"/>
          <w:szCs w:val="20"/>
          <w:color w:val="auto"/>
        </w:rPr>
      </w:pPr>
      <w:r>
        <w:rPr>
          <w:rFonts w:ascii="Times New Roman" w:cs="Times New Roman" w:eastAsia="Times New Roman" w:hAnsi="Times New Roman"/>
          <w:sz w:val="22"/>
          <w:szCs w:val="22"/>
          <w:u w:val="single" w:color="auto"/>
          <w:color w:val="232126"/>
        </w:rPr>
        <w:t>Exhibit A</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232126"/>
        </w:rPr>
        <w:t>Release of Claims</w:t>
      </w:r>
    </w:p>
    <w:p>
      <w:pPr>
        <w:spacing w:after="0" w:line="206" w:lineRule="exact"/>
        <w:rPr>
          <w:sz w:val="20"/>
          <w:szCs w:val="20"/>
          <w:color w:val="auto"/>
        </w:rPr>
      </w:pPr>
    </w:p>
    <w:p>
      <w:pPr>
        <w:jc w:val="both"/>
        <w:ind w:left="20" w:firstLine="648"/>
        <w:spacing w:after="0" w:line="235" w:lineRule="auto"/>
        <w:rPr>
          <w:sz w:val="20"/>
          <w:szCs w:val="20"/>
          <w:color w:val="auto"/>
        </w:rPr>
      </w:pPr>
      <w:r>
        <w:rPr>
          <w:rFonts w:ascii="Times New Roman" w:cs="Times New Roman" w:eastAsia="Times New Roman" w:hAnsi="Times New Roman"/>
          <w:sz w:val="22"/>
          <w:szCs w:val="22"/>
          <w:color w:val="232126"/>
        </w:rPr>
        <w:t>Reference is hereby made to that certain Employment Agreement, effective as of February 19, 2018, by and between Total Community Options, Inc., a Colorado corporation, and any successor entity thereto (</w:t>
      </w:r>
      <w:r>
        <w:rPr>
          <w:rFonts w:ascii="Times New Roman" w:cs="Times New Roman" w:eastAsia="Times New Roman" w:hAnsi="Times New Roman"/>
          <w:sz w:val="22"/>
          <w:szCs w:val="22"/>
          <w:u w:val="single" w:color="auto"/>
          <w:color w:val="232126"/>
        </w:rPr>
        <w:t>“Employer</w:t>
      </w:r>
      <w:r>
        <w:rPr>
          <w:rFonts w:ascii="Times New Roman" w:cs="Times New Roman" w:eastAsia="Times New Roman" w:hAnsi="Times New Roman"/>
          <w:sz w:val="22"/>
          <w:szCs w:val="22"/>
          <w:color w:val="232126"/>
        </w:rPr>
        <w:t>”), and Maria Lozzano (the “</w:t>
      </w:r>
      <w:r>
        <w:rPr>
          <w:rFonts w:ascii="Times New Roman" w:cs="Times New Roman" w:eastAsia="Times New Roman" w:hAnsi="Times New Roman"/>
          <w:sz w:val="22"/>
          <w:szCs w:val="22"/>
          <w:u w:val="single" w:color="auto"/>
          <w:color w:val="232126"/>
        </w:rPr>
        <w:t>Employment Agreement</w:t>
      </w:r>
      <w:r>
        <w:rPr>
          <w:rFonts w:ascii="Times New Roman" w:cs="Times New Roman" w:eastAsia="Times New Roman" w:hAnsi="Times New Roman"/>
          <w:sz w:val="22"/>
          <w:szCs w:val="22"/>
          <w:color w:val="232126"/>
        </w:rPr>
        <w:t>”). I, Maria Lozzano, do hereby release and forever discharge Employer and its subsidiaries and Affiliates (as defined in the Employment Agreement) and all of their respective past, present, and future shareholders, directors, officers, employee benefit plans, administrators, trustees, agents, representatives, employees, consultants, successors and assigns, and all those connected with any of them, in their official and individual capacities (collectively, the “</w:t>
      </w:r>
      <w:r>
        <w:rPr>
          <w:rFonts w:ascii="Times New Roman" w:cs="Times New Roman" w:eastAsia="Times New Roman" w:hAnsi="Times New Roman"/>
          <w:sz w:val="22"/>
          <w:szCs w:val="22"/>
          <w:u w:val="single" w:color="auto"/>
          <w:color w:val="232126"/>
        </w:rPr>
        <w:t>Released Parties</w:t>
      </w:r>
      <w:r>
        <w:rPr>
          <w:rFonts w:ascii="Times New Roman" w:cs="Times New Roman" w:eastAsia="Times New Roman" w:hAnsi="Times New Roman"/>
          <w:sz w:val="22"/>
          <w:szCs w:val="22"/>
          <w:color w:val="232126"/>
        </w:rPr>
        <w:t>”) to the extent provided below.</w:t>
      </w:r>
    </w:p>
    <w:p>
      <w:pPr>
        <w:spacing w:after="0" w:line="178" w:lineRule="exact"/>
        <w:rPr>
          <w:sz w:val="20"/>
          <w:szCs w:val="20"/>
          <w:color w:val="auto"/>
        </w:rPr>
      </w:pPr>
    </w:p>
    <w:p>
      <w:pPr>
        <w:jc w:val="both"/>
        <w:ind w:left="320" w:hanging="290"/>
        <w:spacing w:after="0" w:line="246" w:lineRule="auto"/>
        <w:tabs>
          <w:tab w:leader="none" w:pos="320" w:val="left"/>
        </w:tabs>
        <w:numPr>
          <w:ilvl w:val="1"/>
          <w:numId w:val="121"/>
        </w:numPr>
        <w:rPr>
          <w:rFonts w:ascii="Times New Roman" w:cs="Times New Roman" w:eastAsia="Times New Roman" w:hAnsi="Times New Roman"/>
          <w:sz w:val="21"/>
          <w:szCs w:val="21"/>
          <w:color w:val="232126"/>
        </w:rPr>
      </w:pPr>
      <w:r>
        <w:rPr>
          <w:rFonts w:ascii="Times New Roman" w:cs="Times New Roman" w:eastAsia="Times New Roman" w:hAnsi="Times New Roman"/>
          <w:sz w:val="21"/>
          <w:szCs w:val="21"/>
          <w:color w:val="232126"/>
        </w:rPr>
        <w:t>I understand that any payments paid under Section 5(d) of the Employment Agreement represent, in part, consideration for signing this General Release and are not salary, wages or benefits to which I was already entitled. I understand and agree that I will not receive the payments specified in Section 5(d) of the Employment Agreement unless I execute this Release of Claims (the “</w:t>
      </w:r>
      <w:r>
        <w:rPr>
          <w:rFonts w:ascii="Times New Roman" w:cs="Times New Roman" w:eastAsia="Times New Roman" w:hAnsi="Times New Roman"/>
          <w:sz w:val="21"/>
          <w:szCs w:val="21"/>
          <w:u w:val="single" w:color="auto"/>
          <w:color w:val="232126"/>
        </w:rPr>
        <w:t>General Release</w:t>
      </w:r>
      <w:r>
        <w:rPr>
          <w:rFonts w:ascii="Times New Roman" w:cs="Times New Roman" w:eastAsia="Times New Roman" w:hAnsi="Times New Roman"/>
          <w:sz w:val="21"/>
          <w:szCs w:val="21"/>
          <w:color w:val="232126"/>
        </w:rPr>
        <w:t xml:space="preserve">”) and do not revoke this General Release within the time period permitted hereafter or breach this General Release. In signing this General Release, I also acknowledge and represent that I have received all payments and benefits that I am otherwise entitled to receive (as of the date hereof) by virtue of my employment with Employer, </w:t>
      </w:r>
      <w:r>
        <w:rPr>
          <w:rFonts w:ascii="Times New Roman" w:cs="Times New Roman" w:eastAsia="Times New Roman" w:hAnsi="Times New Roman"/>
          <w:sz w:val="21"/>
          <w:szCs w:val="21"/>
          <w:color w:val="38383B"/>
        </w:rPr>
        <w:t>including</w:t>
      </w:r>
      <w:r>
        <w:rPr>
          <w:rFonts w:ascii="Times New Roman" w:cs="Times New Roman" w:eastAsia="Times New Roman" w:hAnsi="Times New Roman"/>
          <w:sz w:val="21"/>
          <w:szCs w:val="21"/>
          <w:color w:val="232126"/>
        </w:rPr>
        <w:t xml:space="preserve"> pay for all work I have performed for Employer through the date hereof (to the extent not previously paid) and pay, at my final base rate of pay, for any vacation time I earned but have not used as of the date hereof.</w:t>
      </w:r>
    </w:p>
    <w:p>
      <w:pPr>
        <w:spacing w:after="0" w:line="175" w:lineRule="exact"/>
        <w:rPr>
          <w:rFonts w:ascii="Times New Roman" w:cs="Times New Roman" w:eastAsia="Times New Roman" w:hAnsi="Times New Roman"/>
          <w:sz w:val="21"/>
          <w:szCs w:val="21"/>
          <w:color w:val="232126"/>
        </w:rPr>
      </w:pPr>
    </w:p>
    <w:p>
      <w:pPr>
        <w:jc w:val="both"/>
        <w:ind w:left="320" w:hanging="317"/>
        <w:spacing w:after="0" w:line="244" w:lineRule="auto"/>
        <w:tabs>
          <w:tab w:leader="none" w:pos="320" w:val="left"/>
        </w:tabs>
        <w:numPr>
          <w:ilvl w:val="0"/>
          <w:numId w:val="122"/>
        </w:numPr>
        <w:rPr>
          <w:rFonts w:ascii="Times New Roman" w:cs="Times New Roman" w:eastAsia="Times New Roman" w:hAnsi="Times New Roman"/>
          <w:sz w:val="21"/>
          <w:szCs w:val="21"/>
          <w:color w:val="232126"/>
        </w:rPr>
      </w:pPr>
      <w:r>
        <w:rPr>
          <w:rFonts w:ascii="Times New Roman" w:cs="Times New Roman" w:eastAsia="Times New Roman" w:hAnsi="Times New Roman"/>
          <w:sz w:val="21"/>
          <w:szCs w:val="21"/>
          <w:color w:val="232126"/>
        </w:rPr>
        <w:t xml:space="preserve">Except as provided in </w:t>
      </w:r>
      <w:r>
        <w:rPr>
          <w:rFonts w:ascii="Times New Roman" w:cs="Times New Roman" w:eastAsia="Times New Roman" w:hAnsi="Times New Roman"/>
          <w:sz w:val="21"/>
          <w:szCs w:val="21"/>
          <w:u w:val="single" w:color="auto"/>
          <w:color w:val="232126"/>
        </w:rPr>
        <w:t>paragraphs 4</w:t>
      </w:r>
      <w:r>
        <w:rPr>
          <w:rFonts w:ascii="Times New Roman" w:cs="Times New Roman" w:eastAsia="Times New Roman" w:hAnsi="Times New Roman"/>
          <w:sz w:val="21"/>
          <w:szCs w:val="21"/>
          <w:color w:val="232126"/>
        </w:rPr>
        <w:t xml:space="preserve">, and </w:t>
      </w:r>
      <w:r>
        <w:rPr>
          <w:rFonts w:ascii="Times New Roman" w:cs="Times New Roman" w:eastAsia="Times New Roman" w:hAnsi="Times New Roman"/>
          <w:sz w:val="21"/>
          <w:szCs w:val="21"/>
          <w:u w:val="single" w:color="auto"/>
          <w:color w:val="000000"/>
        </w:rPr>
        <w:t>8</w:t>
      </w:r>
      <w:r>
        <w:rPr>
          <w:rFonts w:ascii="Times New Roman" w:cs="Times New Roman" w:eastAsia="Times New Roman" w:hAnsi="Times New Roman"/>
          <w:sz w:val="21"/>
          <w:szCs w:val="21"/>
          <w:color w:val="232126"/>
        </w:rPr>
        <w:t xml:space="preserve"> below and except for the provisions of the Employment Agreement which expressly survive the termination of the Employment Agreement, I knowingly and voluntarily (for myself, my heirs, executors, administrators, beneficiaries, representatives, successors and assigns, and all others connected with or claiming through me) release and forever discharge the Released Parties from any and all claims, suits, controversies, actions, causes of action, rights and claims, cross-claims, counter-claims, demands, debts, compensatory damages, liquidated damages, punitive or exemplary damages, other damages and compensation </w:t>
      </w:r>
      <w:r>
        <w:rPr>
          <w:rFonts w:ascii="Times New Roman" w:cs="Times New Roman" w:eastAsia="Times New Roman" w:hAnsi="Times New Roman"/>
          <w:sz w:val="21"/>
          <w:szCs w:val="21"/>
          <w:color w:val="38383B"/>
        </w:rPr>
        <w:t>,</w:t>
      </w:r>
      <w:r>
        <w:rPr>
          <w:rFonts w:ascii="Times New Roman" w:cs="Times New Roman" w:eastAsia="Times New Roman" w:hAnsi="Times New Roman"/>
          <w:sz w:val="21"/>
          <w:szCs w:val="21"/>
          <w:color w:val="232126"/>
        </w:rPr>
        <w:t xml:space="preserve"> claims for costs and attorneys’ fees, or liabilities of any kind and nature whatsoever, whether in law or in equity, both past and present, (through the date I sign this this General Release) and whether now known or unknown, suspected or unsuspected, contingent, claimed or otherwise, which I now have or ever have had against any of the Released Parties in any way related to, arising out of or connected with my employment and/or other relationship with, or my separation or termination from, Employer or any of its Affiliates, or pursuant to the Employment Agreement or Title VII of the Civil Rights Act of 1964, as amended; the Civil Rights Act of 1991; the Age Discrimination in Employment Act of 1967, as amended (including the Older Workers Benefit Protection Act); the Equal Pay Act of 1963, as amended;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766445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68" w:right="999" w:bottom="1440" w:gutter="0" w:footer="0" w:header="0"/>
        </w:sectPr>
      </w:pPr>
    </w:p>
    <w:bookmarkStart w:id="159" w:name="page160"/>
    <w:bookmarkEnd w:id="159"/>
    <w:p>
      <w:pPr>
        <w:jc w:val="both"/>
        <w:ind w:left="340" w:firstLine="17"/>
        <w:spacing w:after="0" w:line="233" w:lineRule="auto"/>
        <w:rPr>
          <w:sz w:val="20"/>
          <w:szCs w:val="20"/>
          <w:color w:val="auto"/>
        </w:rPr>
      </w:pPr>
      <w:r>
        <w:rPr>
          <w:rFonts w:ascii="Times New Roman" w:cs="Times New Roman" w:eastAsia="Times New Roman" w:hAnsi="Times New Roman"/>
          <w:sz w:val="22"/>
          <w:szCs w:val="22"/>
          <w:color w:val="232126"/>
        </w:rPr>
        <w:t xml:space="preserve">Americans with Disabilities Act of 1990; the Family and Medical Leave Act of 1993; the Worker Adjustment Retraining and Notification Act; the Employee Retirement Income Security Act of 1974; the </w:t>
      </w:r>
      <w:r>
        <w:rPr>
          <w:rFonts w:ascii="Times New Roman" w:cs="Times New Roman" w:eastAsia="Times New Roman" w:hAnsi="Times New Roman"/>
          <w:sz w:val="22"/>
          <w:szCs w:val="22"/>
          <w:color w:val="38383A"/>
        </w:rPr>
        <w:t>Fair</w:t>
      </w:r>
      <w:r>
        <w:rPr>
          <w:rFonts w:ascii="Times New Roman" w:cs="Times New Roman" w:eastAsia="Times New Roman" w:hAnsi="Times New Roman"/>
          <w:sz w:val="22"/>
          <w:szCs w:val="22"/>
          <w:color w:val="232126"/>
        </w:rPr>
        <w:t xml:space="preserve"> Labor Standards Act; or their state or local counterparts; the wage and hour, wage payment and fair employment practices law of the state or states in which I have provided services to Employer or any of its Affiliates (each as amended from time to time) or under any other federal, state or local civil or human rights law, or under any other local, state, or federal law, regulation or ordinance; or under any public policy, contract or tort, or under common law; or arising under any policies, practices or procedures of Employer; or any claim for wrongful discharge, breach of contract, infliction of emotional distress, defamation; or any claim for costs, fees, or other expenses, including attorneys’ fees incurred in these matters) (all of the foregoing are collectively referred to herein as “</w:t>
      </w:r>
      <w:r>
        <w:rPr>
          <w:rFonts w:ascii="Times New Roman" w:cs="Times New Roman" w:eastAsia="Times New Roman" w:hAnsi="Times New Roman"/>
          <w:sz w:val="22"/>
          <w:szCs w:val="22"/>
          <w:u w:val="single" w:color="auto"/>
          <w:color w:val="232126"/>
        </w:rPr>
        <w:t>Claims</w:t>
      </w:r>
      <w:r>
        <w:rPr>
          <w:rFonts w:ascii="Times New Roman" w:cs="Times New Roman" w:eastAsia="Times New Roman" w:hAnsi="Times New Roman"/>
          <w:sz w:val="22"/>
          <w:szCs w:val="22"/>
          <w:color w:val="232126"/>
        </w:rPr>
        <w:t>”), and I hereby waive all such Claims. I understand that nothing contained in this General Release shall be construed to limit, restrict or in any other way affect my communicating with any governmental agency or entity, or communicating with any official or staff person of a governmental agency or entity, concerning non-privileged matters relevant to the governmental agency or entity</w:t>
      </w:r>
    </w:p>
    <w:p>
      <w:pPr>
        <w:spacing w:after="0" w:line="180" w:lineRule="exact"/>
        <w:rPr>
          <w:sz w:val="20"/>
          <w:szCs w:val="20"/>
          <w:color w:val="auto"/>
        </w:rPr>
      </w:pPr>
    </w:p>
    <w:p>
      <w:pPr>
        <w:ind w:left="340" w:right="20" w:hanging="317"/>
        <w:spacing w:after="0" w:line="258" w:lineRule="auto"/>
        <w:tabs>
          <w:tab w:leader="none" w:pos="340" w:val="left"/>
        </w:tabs>
        <w:numPr>
          <w:ilvl w:val="1"/>
          <w:numId w:val="123"/>
        </w:numPr>
        <w:rPr>
          <w:rFonts w:ascii="Times New Roman" w:cs="Times New Roman" w:eastAsia="Times New Roman" w:hAnsi="Times New Roman"/>
          <w:sz w:val="22"/>
          <w:szCs w:val="22"/>
          <w:color w:val="232126"/>
        </w:rPr>
      </w:pPr>
      <w:r>
        <w:rPr>
          <w:rFonts w:ascii="Times New Roman" w:cs="Times New Roman" w:eastAsia="Times New Roman" w:hAnsi="Times New Roman"/>
          <w:sz w:val="22"/>
          <w:szCs w:val="22"/>
          <w:color w:val="232126"/>
        </w:rPr>
        <w:t xml:space="preserve">I represent that I have made no assignment or transfer of any right, claim, demand, cause of action or other matter covered by </w:t>
      </w:r>
      <w:r>
        <w:rPr>
          <w:rFonts w:ascii="Times New Roman" w:cs="Times New Roman" w:eastAsia="Times New Roman" w:hAnsi="Times New Roman"/>
          <w:sz w:val="22"/>
          <w:szCs w:val="22"/>
          <w:u w:val="single" w:color="auto"/>
          <w:color w:val="232126"/>
        </w:rPr>
        <w:t>paragraph 2</w:t>
      </w:r>
      <w:r>
        <w:rPr>
          <w:rFonts w:ascii="Times New Roman" w:cs="Times New Roman" w:eastAsia="Times New Roman" w:hAnsi="Times New Roman"/>
          <w:sz w:val="22"/>
          <w:szCs w:val="22"/>
          <w:color w:val="232126"/>
        </w:rPr>
        <w:t xml:space="preserve"> above.</w:t>
      </w:r>
    </w:p>
    <w:p>
      <w:pPr>
        <w:spacing w:after="0" w:line="158" w:lineRule="exact"/>
        <w:rPr>
          <w:rFonts w:ascii="Times New Roman" w:cs="Times New Roman" w:eastAsia="Times New Roman" w:hAnsi="Times New Roman"/>
          <w:sz w:val="22"/>
          <w:szCs w:val="22"/>
          <w:color w:val="232126"/>
        </w:rPr>
      </w:pPr>
    </w:p>
    <w:p>
      <w:pPr>
        <w:jc w:val="both"/>
        <w:ind w:left="340" w:hanging="317"/>
        <w:spacing w:after="0" w:line="238" w:lineRule="auto"/>
        <w:tabs>
          <w:tab w:leader="none" w:pos="340" w:val="left"/>
        </w:tabs>
        <w:numPr>
          <w:ilvl w:val="1"/>
          <w:numId w:val="123"/>
        </w:numPr>
        <w:rPr>
          <w:rFonts w:ascii="Times New Roman" w:cs="Times New Roman" w:eastAsia="Times New Roman" w:hAnsi="Times New Roman"/>
          <w:sz w:val="22"/>
          <w:szCs w:val="22"/>
          <w:color w:val="232126"/>
        </w:rPr>
      </w:pPr>
      <w:r>
        <w:rPr>
          <w:rFonts w:ascii="Times New Roman" w:cs="Times New Roman" w:eastAsia="Times New Roman" w:hAnsi="Times New Roman"/>
          <w:sz w:val="22"/>
          <w:szCs w:val="22"/>
          <w:color w:val="232126"/>
        </w:rPr>
        <w:t>I agree that this General Release does not waive or release any rights or claims that I may have under the Age Discrimination in Employment Act of 1967 which arise after the date I execute this General Release. This General Release also does not waive any Claims for any vested pension benefits (if any), or for indemnification under the Employment Agreement or Employer’s D&amp;O Policy, by-laws, certificate of incorporation or other governing documents, or rights as an equity holder or under any equity based award.</w:t>
      </w:r>
    </w:p>
    <w:p>
      <w:pPr>
        <w:spacing w:after="0" w:line="176" w:lineRule="exact"/>
        <w:rPr>
          <w:rFonts w:ascii="Times New Roman" w:cs="Times New Roman" w:eastAsia="Times New Roman" w:hAnsi="Times New Roman"/>
          <w:sz w:val="22"/>
          <w:szCs w:val="22"/>
          <w:color w:val="232126"/>
        </w:rPr>
      </w:pPr>
    </w:p>
    <w:p>
      <w:pPr>
        <w:jc w:val="both"/>
        <w:ind w:left="340" w:hanging="317"/>
        <w:spacing w:after="0" w:line="246" w:lineRule="auto"/>
        <w:tabs>
          <w:tab w:leader="none" w:pos="340" w:val="left"/>
        </w:tabs>
        <w:numPr>
          <w:ilvl w:val="1"/>
          <w:numId w:val="123"/>
        </w:numPr>
        <w:rPr>
          <w:rFonts w:ascii="Times New Roman" w:cs="Times New Roman" w:eastAsia="Times New Roman" w:hAnsi="Times New Roman"/>
          <w:sz w:val="21"/>
          <w:szCs w:val="21"/>
          <w:color w:val="232126"/>
        </w:rPr>
      </w:pPr>
      <w:r>
        <w:rPr>
          <w:rFonts w:ascii="Times New Roman" w:cs="Times New Roman" w:eastAsia="Times New Roman" w:hAnsi="Times New Roman"/>
          <w:sz w:val="21"/>
          <w:szCs w:val="21"/>
          <w:color w:val="232126"/>
        </w:rPr>
        <w:t xml:space="preserve">Except as provided in </w:t>
      </w:r>
      <w:r>
        <w:rPr>
          <w:rFonts w:ascii="Times New Roman" w:cs="Times New Roman" w:eastAsia="Times New Roman" w:hAnsi="Times New Roman"/>
          <w:sz w:val="21"/>
          <w:szCs w:val="21"/>
          <w:u w:val="single" w:color="auto"/>
          <w:color w:val="232126"/>
        </w:rPr>
        <w:t>paragraphs 4</w:t>
      </w:r>
      <w:r>
        <w:rPr>
          <w:rFonts w:ascii="Times New Roman" w:cs="Times New Roman" w:eastAsia="Times New Roman" w:hAnsi="Times New Roman"/>
          <w:sz w:val="21"/>
          <w:szCs w:val="21"/>
          <w:color w:val="232126"/>
        </w:rPr>
        <w:t xml:space="preserve"> and 8, I agree that I am waiving all rights to sue or obtain equitable, remedial or punitive relief from any or all Released Parties of any kind whatsoever, including, without limitation, reinstatement, back pay, front pay, attorneys’ fees and any form of injunctive relief. Notwithstanding the above, I further acknowledge that I am not waiving and am not being required to waive any right (i) as set forth in </w:t>
      </w:r>
      <w:r>
        <w:rPr>
          <w:rFonts w:ascii="Times New Roman" w:cs="Times New Roman" w:eastAsia="Times New Roman" w:hAnsi="Times New Roman"/>
          <w:sz w:val="21"/>
          <w:szCs w:val="21"/>
          <w:u w:val="single" w:color="auto"/>
          <w:color w:val="232126"/>
        </w:rPr>
        <w:t>paragraphs 4</w:t>
      </w:r>
      <w:r>
        <w:rPr>
          <w:rFonts w:ascii="Times New Roman" w:cs="Times New Roman" w:eastAsia="Times New Roman" w:hAnsi="Times New Roman"/>
          <w:sz w:val="21"/>
          <w:szCs w:val="21"/>
          <w:color w:val="232126"/>
        </w:rPr>
        <w:t xml:space="preserve"> and </w:t>
      </w:r>
      <w:r>
        <w:rPr>
          <w:rFonts w:ascii="Times New Roman" w:cs="Times New Roman" w:eastAsia="Times New Roman" w:hAnsi="Times New Roman"/>
          <w:sz w:val="21"/>
          <w:szCs w:val="21"/>
          <w:u w:val="single" w:color="auto"/>
          <w:color w:val="232126"/>
        </w:rPr>
        <w:t>8</w:t>
      </w:r>
      <w:r>
        <w:rPr>
          <w:rFonts w:ascii="Times New Roman" w:cs="Times New Roman" w:eastAsia="Times New Roman" w:hAnsi="Times New Roman"/>
          <w:sz w:val="21"/>
          <w:szCs w:val="21"/>
          <w:color w:val="232126"/>
        </w:rPr>
        <w:t xml:space="preserve"> or (ii) that cannot be waived under law, including the right to file an administrative charge or participate in an administrative investigation or proceeding conducted by the federal Equal Employment Opportunity Commission or a comparable state or local agency; </w:t>
      </w:r>
      <w:r>
        <w:rPr>
          <w:rFonts w:ascii="Times New Roman" w:cs="Times New Roman" w:eastAsia="Times New Roman" w:hAnsi="Times New Roman"/>
          <w:sz w:val="21"/>
          <w:szCs w:val="21"/>
          <w:u w:val="single" w:color="auto"/>
          <w:color w:val="232126"/>
        </w:rPr>
        <w:t>provided</w:t>
      </w:r>
      <w:r>
        <w:rPr>
          <w:rFonts w:ascii="Times New Roman" w:cs="Times New Roman" w:eastAsia="Times New Roman" w:hAnsi="Times New Roman"/>
          <w:sz w:val="21"/>
          <w:szCs w:val="21"/>
          <w:color w:val="232126"/>
        </w:rPr>
        <w:t xml:space="preserve">, </w:t>
      </w:r>
      <w:r>
        <w:rPr>
          <w:rFonts w:ascii="Times New Roman" w:cs="Times New Roman" w:eastAsia="Times New Roman" w:hAnsi="Times New Roman"/>
          <w:sz w:val="21"/>
          <w:szCs w:val="21"/>
          <w:u w:val="single" w:color="auto"/>
          <w:color w:val="232126"/>
        </w:rPr>
        <w:t>however</w:t>
      </w:r>
      <w:r>
        <w:rPr>
          <w:rFonts w:ascii="Times New Roman" w:cs="Times New Roman" w:eastAsia="Times New Roman" w:hAnsi="Times New Roman"/>
          <w:sz w:val="21"/>
          <w:szCs w:val="21"/>
          <w:color w:val="232126"/>
        </w:rPr>
        <w:t xml:space="preserve"> that I disclaim and waive any right to share or participate in any monetary award resulting from the prosecution of such charge or investigation or proceeding, filed by me or by anyone else on my behalf.</w:t>
      </w:r>
    </w:p>
    <w:p>
      <w:pPr>
        <w:spacing w:after="0" w:line="175" w:lineRule="exact"/>
        <w:rPr>
          <w:rFonts w:ascii="Times New Roman" w:cs="Times New Roman" w:eastAsia="Times New Roman" w:hAnsi="Times New Roman"/>
          <w:sz w:val="21"/>
          <w:szCs w:val="21"/>
          <w:color w:val="232126"/>
        </w:rPr>
      </w:pPr>
    </w:p>
    <w:p>
      <w:pPr>
        <w:jc w:val="both"/>
        <w:ind w:left="320" w:hanging="311"/>
        <w:spacing w:after="0" w:line="235" w:lineRule="auto"/>
        <w:tabs>
          <w:tab w:leader="none" w:pos="320" w:val="left"/>
        </w:tabs>
        <w:numPr>
          <w:ilvl w:val="0"/>
          <w:numId w:val="124"/>
        </w:numPr>
        <w:rPr>
          <w:rFonts w:ascii="Times New Roman" w:cs="Times New Roman" w:eastAsia="Times New Roman" w:hAnsi="Times New Roman"/>
          <w:sz w:val="22"/>
          <w:szCs w:val="22"/>
          <w:color w:val="232126"/>
        </w:rPr>
      </w:pPr>
      <w:r>
        <w:rPr>
          <w:rFonts w:ascii="Times New Roman" w:cs="Times New Roman" w:eastAsia="Times New Roman" w:hAnsi="Times New Roman"/>
          <w:sz w:val="22"/>
          <w:szCs w:val="22"/>
          <w:color w:val="232126"/>
        </w:rPr>
        <w:t>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Employer would not have agreed to the terms of the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68" w:right="999" w:bottom="1440" w:gutter="0" w:footer="0" w:header="0"/>
        </w:sectPr>
      </w:pPr>
    </w:p>
    <w:bookmarkStart w:id="160" w:name="page161"/>
    <w:bookmarkEnd w:id="160"/>
    <w:p>
      <w:pPr>
        <w:jc w:val="both"/>
        <w:ind w:left="340" w:firstLine="4"/>
        <w:spacing w:after="0" w:line="238" w:lineRule="auto"/>
        <w:rPr>
          <w:sz w:val="20"/>
          <w:szCs w:val="20"/>
          <w:color w:val="auto"/>
        </w:rPr>
      </w:pPr>
      <w:r>
        <w:rPr>
          <w:rFonts w:ascii="Times New Roman" w:cs="Times New Roman" w:eastAsia="Times New Roman" w:hAnsi="Times New Roman"/>
          <w:sz w:val="22"/>
          <w:szCs w:val="22"/>
          <w:color w:val="212126"/>
        </w:rPr>
        <w:t xml:space="preserve">Agreement. I further agree that in the event I should bring a Claim seeking damages against Employer and/or any other Released Party, or in the event I should seek to recover against Employer and/or any other Released Party in any Claim brought by a governmental agency on my behalf, this General Release shall serve as a complete defense to such Claims. I further agree that I am not aware of any pending charge or complaint of the type described in </w:t>
      </w:r>
      <w:r>
        <w:rPr>
          <w:rFonts w:ascii="Times New Roman" w:cs="Times New Roman" w:eastAsia="Times New Roman" w:hAnsi="Times New Roman"/>
          <w:sz w:val="22"/>
          <w:szCs w:val="22"/>
          <w:u w:val="single" w:color="auto"/>
          <w:color w:val="212126"/>
        </w:rPr>
        <w:t>paragraph 2</w:t>
      </w:r>
      <w:r>
        <w:rPr>
          <w:rFonts w:ascii="Times New Roman" w:cs="Times New Roman" w:eastAsia="Times New Roman" w:hAnsi="Times New Roman"/>
          <w:sz w:val="22"/>
          <w:szCs w:val="22"/>
          <w:color w:val="212126"/>
        </w:rPr>
        <w:t xml:space="preserve"> above as of the execution of this General Release.</w:t>
      </w:r>
    </w:p>
    <w:p>
      <w:pPr>
        <w:spacing w:after="0" w:line="177" w:lineRule="exact"/>
        <w:rPr>
          <w:sz w:val="20"/>
          <w:szCs w:val="20"/>
          <w:color w:val="auto"/>
        </w:rPr>
      </w:pPr>
    </w:p>
    <w:p>
      <w:pPr>
        <w:jc w:val="both"/>
        <w:ind w:left="340" w:hanging="317"/>
        <w:spacing w:after="0" w:line="238" w:lineRule="auto"/>
        <w:tabs>
          <w:tab w:leader="none" w:pos="340" w:val="left"/>
        </w:tabs>
        <w:numPr>
          <w:ilvl w:val="1"/>
          <w:numId w:val="125"/>
        </w:numPr>
        <w:rPr>
          <w:rFonts w:ascii="Times New Roman" w:cs="Times New Roman" w:eastAsia="Times New Roman" w:hAnsi="Times New Roman"/>
          <w:sz w:val="22"/>
          <w:szCs w:val="22"/>
          <w:color w:val="232126"/>
        </w:rPr>
      </w:pPr>
      <w:r>
        <w:rPr>
          <w:rFonts w:ascii="Times New Roman" w:cs="Times New Roman" w:eastAsia="Times New Roman" w:hAnsi="Times New Roman"/>
          <w:sz w:val="22"/>
          <w:szCs w:val="22"/>
          <w:color w:val="212126"/>
        </w:rPr>
        <w:t>I agree that neither this General Release, nor the furnishing of the consideration for this General Release, shall be deemed or construed at any time to be an admission by Employer, any Released Party or myself of any improper or unlawful conduct. Rather, this General Release expresses the intention of the parties to resolve all issues and other claims related to or arising out of my employment by and termination from Employer.</w:t>
      </w:r>
    </w:p>
    <w:p>
      <w:pPr>
        <w:spacing w:after="0" w:line="176" w:lineRule="exact"/>
        <w:rPr>
          <w:rFonts w:ascii="Times New Roman" w:cs="Times New Roman" w:eastAsia="Times New Roman" w:hAnsi="Times New Roman"/>
          <w:sz w:val="22"/>
          <w:szCs w:val="22"/>
          <w:color w:val="232126"/>
        </w:rPr>
      </w:pPr>
    </w:p>
    <w:p>
      <w:pPr>
        <w:jc w:val="both"/>
        <w:ind w:left="340" w:hanging="315"/>
        <w:spacing w:after="0" w:line="244" w:lineRule="auto"/>
        <w:tabs>
          <w:tab w:leader="none" w:pos="332" w:val="left"/>
        </w:tabs>
        <w:numPr>
          <w:ilvl w:val="1"/>
          <w:numId w:val="125"/>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 xml:space="preserve">Notwithstanding anything </w:t>
      </w:r>
      <w:r>
        <w:rPr>
          <w:rFonts w:ascii="Times New Roman" w:cs="Times New Roman" w:eastAsia="Times New Roman" w:hAnsi="Times New Roman"/>
          <w:sz w:val="22"/>
          <w:szCs w:val="22"/>
          <w:color w:val="38383B"/>
        </w:rPr>
        <w:t>in</w:t>
      </w:r>
      <w:r>
        <w:rPr>
          <w:rFonts w:ascii="Times New Roman" w:cs="Times New Roman" w:eastAsia="Times New Roman" w:hAnsi="Times New Roman"/>
          <w:sz w:val="22"/>
          <w:szCs w:val="22"/>
          <w:color w:val="212126"/>
        </w:rPr>
        <w:t xml:space="preserve"> this General Release to the contrary, this General Release shall not relinquish, diminish or in any way affect any rights or claims arising out of any breach by Employer of the Employment Agreement after the date hereof, which are not subject to this General Release.</w:t>
      </w:r>
    </w:p>
    <w:p>
      <w:pPr>
        <w:spacing w:after="0" w:line="173" w:lineRule="exact"/>
        <w:rPr>
          <w:rFonts w:ascii="Times New Roman" w:cs="Times New Roman" w:eastAsia="Times New Roman" w:hAnsi="Times New Roman"/>
          <w:sz w:val="22"/>
          <w:szCs w:val="22"/>
          <w:color w:val="212126"/>
        </w:rPr>
      </w:pPr>
    </w:p>
    <w:p>
      <w:pPr>
        <w:jc w:val="both"/>
        <w:ind w:left="320" w:hanging="311"/>
        <w:spacing w:after="0" w:line="236" w:lineRule="auto"/>
        <w:tabs>
          <w:tab w:leader="none" w:pos="320" w:val="left"/>
        </w:tabs>
        <w:numPr>
          <w:ilvl w:val="0"/>
          <w:numId w:val="126"/>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 xml:space="preserve">Whenever possible, each provision of this General Release shall be interpreted in such manner as to be effective and valid under applicable law, but if any provision of this General Release is held to be invalid, illegal or unenforceable in any respect under any applicable </w:t>
      </w:r>
      <w:r>
        <w:rPr>
          <w:rFonts w:ascii="Times New Roman" w:cs="Times New Roman" w:eastAsia="Times New Roman" w:hAnsi="Times New Roman"/>
          <w:sz w:val="22"/>
          <w:szCs w:val="22"/>
          <w:color w:val="38383B"/>
        </w:rPr>
        <w:t>law</w:t>
      </w:r>
      <w:r>
        <w:rPr>
          <w:rFonts w:ascii="Times New Roman" w:cs="Times New Roman" w:eastAsia="Times New Roman" w:hAnsi="Times New Roman"/>
          <w:sz w:val="22"/>
          <w:szCs w:val="22"/>
          <w:color w:val="212126"/>
        </w:rPr>
        <w:t xml:space="preserve"> or rule in any jurisdiction, such invalidity, illegality or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spacing w:after="0" w:line="181" w:lineRule="exact"/>
        <w:rPr>
          <w:rFonts w:ascii="Times New Roman" w:cs="Times New Roman" w:eastAsia="Times New Roman" w:hAnsi="Times New Roman"/>
          <w:sz w:val="22"/>
          <w:szCs w:val="22"/>
          <w:color w:val="212126"/>
        </w:rPr>
      </w:pPr>
    </w:p>
    <w:p>
      <w:pPr>
        <w:jc w:val="both"/>
        <w:ind w:left="300" w:hanging="277"/>
        <w:spacing w:after="0" w:line="235" w:lineRule="auto"/>
        <w:tabs>
          <w:tab w:leader="none" w:pos="300" w:val="left"/>
        </w:tabs>
        <w:numPr>
          <w:ilvl w:val="1"/>
          <w:numId w:val="126"/>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I acknowledge that I will continue to be bound by my obligations under the Employment Agreement that survive the termination of my employment by the terms thereof or by necessary implication, including without limitation my non-competition and non-solicitation obligations set forth in Section 9 of the Employment Agreement (all of the foregoing obligations, the “</w:t>
      </w:r>
      <w:r>
        <w:rPr>
          <w:rFonts w:ascii="Times New Roman" w:cs="Times New Roman" w:eastAsia="Times New Roman" w:hAnsi="Times New Roman"/>
          <w:sz w:val="22"/>
          <w:szCs w:val="22"/>
          <w:u w:val="single" w:color="auto"/>
          <w:color w:val="212126"/>
        </w:rPr>
        <w:t>Continuing Obligations</w:t>
      </w:r>
      <w:r>
        <w:rPr>
          <w:rFonts w:ascii="Times New Roman" w:cs="Times New Roman" w:eastAsia="Times New Roman" w:hAnsi="Times New Roman"/>
          <w:sz w:val="22"/>
          <w:szCs w:val="22"/>
          <w:color w:val="212126"/>
        </w:rPr>
        <w:t>”). I further acknowledge that the obligation of Employer to make payments to me or on my behalf under Section 5(d) of the Employment Agreement, and my right to retain the same, are expressly conditioned upon my continued full performance of my obligations hereunder and of the Continuing Obligations.</w:t>
      </w:r>
    </w:p>
    <w:p>
      <w:pPr>
        <w:spacing w:after="0" w:line="183" w:lineRule="exact"/>
        <w:rPr>
          <w:rFonts w:ascii="Times New Roman" w:cs="Times New Roman" w:eastAsia="Times New Roman" w:hAnsi="Times New Roman"/>
          <w:sz w:val="22"/>
          <w:szCs w:val="22"/>
          <w:color w:val="212126"/>
        </w:rPr>
      </w:pPr>
    </w:p>
    <w:p>
      <w:pPr>
        <w:jc w:val="both"/>
        <w:ind w:left="300" w:hanging="277"/>
        <w:spacing w:after="0" w:line="234" w:lineRule="auto"/>
        <w:tabs>
          <w:tab w:leader="none" w:pos="300" w:val="left"/>
        </w:tabs>
        <w:numPr>
          <w:ilvl w:val="1"/>
          <w:numId w:val="126"/>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 xml:space="preserve">Subject to paragraph 5 of this General Release, I agree that I will not disclose this General Release or any of its terms or provisions, directly or by implication, except to members of my immediate family and to my legal and tax advisors, and then only on condition that they agree not to further disclose this General Release or any of its terms or provisions to others. Subject to paragraph 5 of this General Release, I agree that I will never disparage or criticize Employer, its Affiliates, their business, their management or their products or services, and that I will not otherwise do or say anything that could disrupt the good morale of employees of Employer or any of its Affiliates or harm the </w:t>
      </w:r>
      <w:r>
        <w:rPr>
          <w:rFonts w:ascii="Times New Roman" w:cs="Times New Roman" w:eastAsia="Times New Roman" w:hAnsi="Times New Roman"/>
          <w:sz w:val="22"/>
          <w:szCs w:val="22"/>
          <w:color w:val="38383B"/>
        </w:rPr>
        <w:t>interests</w:t>
      </w:r>
      <w:r>
        <w:rPr>
          <w:rFonts w:ascii="Times New Roman" w:cs="Times New Roman" w:eastAsia="Times New Roman" w:hAnsi="Times New Roman"/>
          <w:sz w:val="22"/>
          <w:szCs w:val="22"/>
          <w:color w:val="212126"/>
        </w:rPr>
        <w:t xml:space="preserve"> or reputation of Employer or any of its Affiliates. The Company has directed the senior officers and directors of the Company and its Affiliates not to make or cause to be made any statements that disparage or criticize you or your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68" w:right="999" w:bottom="1440" w:gutter="0" w:footer="0" w:header="0"/>
        </w:sectPr>
      </w:pPr>
    </w:p>
    <w:bookmarkStart w:id="161" w:name="page162"/>
    <w:bookmarkEnd w:id="161"/>
    <w:p>
      <w:pPr>
        <w:ind w:left="300" w:hanging="291"/>
        <w:spacing w:after="0" w:line="258" w:lineRule="auto"/>
        <w:tabs>
          <w:tab w:leader="none" w:pos="300" w:val="left"/>
        </w:tabs>
        <w:numPr>
          <w:ilvl w:val="0"/>
          <w:numId w:val="127"/>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This General Release creates legally binding obligations, and Employer therefore advises you to consult and attorney before you sign this General Release.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212126"/>
        </w:rPr>
        <w:t>BY SIGNING THIS GENERAL RELEASE, I REPRESENT AND AGREE THAT:</w:t>
      </w:r>
    </w:p>
    <w:p>
      <w:pPr>
        <w:spacing w:after="0" w:line="206" w:lineRule="exact"/>
        <w:rPr>
          <w:sz w:val="20"/>
          <w:szCs w:val="20"/>
          <w:color w:val="auto"/>
        </w:rPr>
      </w:pPr>
    </w:p>
    <w:p>
      <w:pPr>
        <w:ind w:left="1280" w:hanging="609"/>
        <w:spacing w:after="0"/>
        <w:tabs>
          <w:tab w:leader="none" w:pos="1280" w:val="left"/>
        </w:tabs>
        <w:numPr>
          <w:ilvl w:val="3"/>
          <w:numId w:val="128"/>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I HAVE READ IT CAREFULLY;</w:t>
      </w:r>
    </w:p>
    <w:p>
      <w:pPr>
        <w:spacing w:after="0" w:line="206" w:lineRule="exact"/>
        <w:rPr>
          <w:rFonts w:ascii="Times New Roman" w:cs="Times New Roman" w:eastAsia="Times New Roman" w:hAnsi="Times New Roman"/>
          <w:sz w:val="22"/>
          <w:szCs w:val="22"/>
          <w:color w:val="212126"/>
        </w:rPr>
      </w:pPr>
    </w:p>
    <w:p>
      <w:pPr>
        <w:jc w:val="both"/>
        <w:ind w:left="1280" w:hanging="636"/>
        <w:spacing w:after="0" w:line="236" w:lineRule="auto"/>
        <w:tabs>
          <w:tab w:leader="none" w:pos="1280" w:val="left"/>
        </w:tabs>
        <w:numPr>
          <w:ilvl w:val="2"/>
          <w:numId w:val="129"/>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81" w:lineRule="exact"/>
        <w:rPr>
          <w:rFonts w:ascii="Times New Roman" w:cs="Times New Roman" w:eastAsia="Times New Roman" w:hAnsi="Times New Roman"/>
          <w:sz w:val="22"/>
          <w:szCs w:val="22"/>
          <w:color w:val="212126"/>
        </w:rPr>
      </w:pPr>
    </w:p>
    <w:p>
      <w:pPr>
        <w:ind w:left="1280" w:hanging="636"/>
        <w:spacing w:after="0"/>
        <w:tabs>
          <w:tab w:leader="none" w:pos="1280" w:val="left"/>
        </w:tabs>
        <w:numPr>
          <w:ilvl w:val="2"/>
          <w:numId w:val="129"/>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I VOLUNTARILY CONSENT TO EVERYTHING IN IT;</w:t>
      </w:r>
    </w:p>
    <w:p>
      <w:pPr>
        <w:spacing w:after="0" w:line="206" w:lineRule="exact"/>
        <w:rPr>
          <w:rFonts w:ascii="Times New Roman" w:cs="Times New Roman" w:eastAsia="Times New Roman" w:hAnsi="Times New Roman"/>
          <w:sz w:val="22"/>
          <w:szCs w:val="22"/>
          <w:color w:val="212126"/>
        </w:rPr>
      </w:pPr>
    </w:p>
    <w:p>
      <w:pPr>
        <w:jc w:val="both"/>
        <w:ind w:left="1280" w:right="20" w:hanging="650"/>
        <w:spacing w:after="0" w:line="244" w:lineRule="auto"/>
        <w:tabs>
          <w:tab w:leader="none" w:pos="1280" w:val="left"/>
        </w:tabs>
        <w:numPr>
          <w:ilvl w:val="1"/>
          <w:numId w:val="13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I HAVE BEEN ADVISED TO CONSULT WITH AN ATTORNEY BEFORE EXECUTING IT AND I HAVE DONE SO OR, AFTER CAREFUL READING AND CONSIDERATION, I HAVE CHOSEN NOT TO DO SO OF MY OWN VOLITION;</w:t>
      </w:r>
    </w:p>
    <w:p>
      <w:pPr>
        <w:spacing w:after="0" w:line="173" w:lineRule="exact"/>
        <w:rPr>
          <w:rFonts w:ascii="Times New Roman" w:cs="Times New Roman" w:eastAsia="Times New Roman" w:hAnsi="Times New Roman"/>
          <w:sz w:val="22"/>
          <w:szCs w:val="22"/>
          <w:color w:val="212126"/>
        </w:rPr>
      </w:pPr>
    </w:p>
    <w:p>
      <w:pPr>
        <w:ind w:left="1260" w:hanging="630"/>
        <w:spacing w:after="0" w:line="258" w:lineRule="auto"/>
        <w:tabs>
          <w:tab w:leader="none" w:pos="1260" w:val="left"/>
        </w:tabs>
        <w:numPr>
          <w:ilvl w:val="1"/>
          <w:numId w:val="13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I ACKNOWLEDGE I MAY NOT SIGN THIS GENERAL RELEASE BEFORE THE DATE MY EMPLOYMENT WITH THE EMPLOYER TERMINATES;</w:t>
      </w:r>
    </w:p>
    <w:p>
      <w:pPr>
        <w:spacing w:after="0" w:line="158" w:lineRule="exact"/>
        <w:rPr>
          <w:rFonts w:ascii="Times New Roman" w:cs="Times New Roman" w:eastAsia="Times New Roman" w:hAnsi="Times New Roman"/>
          <w:sz w:val="22"/>
          <w:szCs w:val="22"/>
          <w:color w:val="212126"/>
        </w:rPr>
      </w:pPr>
    </w:p>
    <w:p>
      <w:pPr>
        <w:jc w:val="both"/>
        <w:ind w:left="1260" w:hanging="630"/>
        <w:spacing w:after="0" w:line="233" w:lineRule="auto"/>
        <w:tabs>
          <w:tab w:leader="none" w:pos="1260" w:val="left"/>
        </w:tabs>
        <w:numPr>
          <w:ilvl w:val="1"/>
          <w:numId w:val="130"/>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I HAVE BEEN GIVEN ALL TIME PERIODS REQUIRED BY LAW TO CONSIDER THIS GENERAL RELEASE (INCLUDING, BUT NOT LIMITED TO, THE TIME PERIODS REQUIRED UNDER THE AGE DISCRIMINATION AND EMPLOYMENT ACT, AS AMENDED) SINCE THE DATE OF MY RECEIPT OF THIS RELEASE SUBSTANTIALLY IN ITS FINAL FORM ON JANUARY 23, 2019 (THE “</w:t>
      </w:r>
      <w:r>
        <w:rPr>
          <w:rFonts w:ascii="Times New Roman" w:cs="Times New Roman" w:eastAsia="Times New Roman" w:hAnsi="Times New Roman"/>
          <w:sz w:val="22"/>
          <w:szCs w:val="22"/>
          <w:u w:val="single" w:color="auto"/>
          <w:color w:val="212126"/>
        </w:rPr>
        <w:t>CONSIDERATION PERIOD</w:t>
      </w:r>
      <w:r>
        <w:rPr>
          <w:rFonts w:ascii="Times New Roman" w:cs="Times New Roman" w:eastAsia="Times New Roman" w:hAnsi="Times New Roman"/>
          <w:sz w:val="22"/>
          <w:szCs w:val="22"/>
          <w:color w:val="212126"/>
        </w:rPr>
        <w:t>”) TO CONSIDER ITS TERMS AND TO CONSULT WITH AN ATTORNEY, IF I WISHED TO DO SO, OR TO CONSULT WITH ANY OF THE OTHER PERSONS DESCRIBED IN PARAGRAPH 11 OF THIS GENERAL RELEASE AND (A) THE CHANGES MADE TO THIS RELEASE DURING SUCH CONSIDERATION PERIOD EITHER ARE NOT MATERIAL OR WERE MADE AT MY REQUEST AND WILL NOT RESTART THE REQUIRED CONSIDERATION PERIOD AND (B) MY EXECUTION OF THIS RELEASE PRIOR TO THE EXPIRATION OF THE CONSIDERATION PERIOD SHALL REPRESENT MY KNOWING WAIVER OF SUCH CONSIDERATION PERIOD;</w:t>
      </w:r>
    </w:p>
    <w:p>
      <w:pPr>
        <w:spacing w:after="0" w:line="182" w:lineRule="exact"/>
        <w:rPr>
          <w:rFonts w:ascii="Times New Roman" w:cs="Times New Roman" w:eastAsia="Times New Roman" w:hAnsi="Times New Roman"/>
          <w:sz w:val="22"/>
          <w:szCs w:val="22"/>
          <w:color w:val="212126"/>
        </w:rPr>
      </w:pPr>
    </w:p>
    <w:p>
      <w:pPr>
        <w:jc w:val="both"/>
        <w:ind w:left="1260" w:hanging="643"/>
        <w:spacing w:after="0" w:line="239" w:lineRule="auto"/>
        <w:tabs>
          <w:tab w:leader="none" w:pos="1260" w:val="left"/>
        </w:tabs>
        <w:numPr>
          <w:ilvl w:val="0"/>
          <w:numId w:val="131"/>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I UNDERSTAND THAT I HAVE SEVEN (7) DAYS AFTER THE EXECUTION OF THIS RELEASE TO REVOKE IT (AND IF I INTEND TO REVOKE MY SIGNATURE I MUST DO SO IN WRITING ADDRESSED AND DELIVERED TO THE CHIEF EXECUTIVE OFFICER AT EMPLOYER PRIOR TO THE END OF THE SEVEN (7)-DAY REVOCATION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68" w:right="999" w:bottom="1440" w:gutter="0" w:footer="0" w:header="0"/>
        </w:sectPr>
      </w:pPr>
    </w:p>
    <w:bookmarkStart w:id="162" w:name="page163"/>
    <w:bookmarkEnd w:id="162"/>
    <w:p>
      <w:pPr>
        <w:jc w:val="both"/>
        <w:ind w:left="1400"/>
        <w:spacing w:after="0" w:line="244" w:lineRule="auto"/>
        <w:rPr>
          <w:sz w:val="20"/>
          <w:szCs w:val="20"/>
          <w:color w:val="auto"/>
        </w:rPr>
      </w:pPr>
      <w:r>
        <w:rPr>
          <w:rFonts w:ascii="Times New Roman" w:cs="Times New Roman" w:eastAsia="Times New Roman" w:hAnsi="Times New Roman"/>
          <w:sz w:val="22"/>
          <w:szCs w:val="22"/>
          <w:color w:val="211F24"/>
        </w:rPr>
        <w:t>AND THAT THIS RELEASE SHALL NOT BECOME EFFECTIVE OR ENFORCEABLE UNTIL THE REVOCATION PERIOD HAS EXPIRED, PROVIDED I HAVE NOT REVOKED MY ACCEPTANCE;</w:t>
      </w:r>
    </w:p>
    <w:p>
      <w:pPr>
        <w:spacing w:after="0" w:line="173" w:lineRule="exact"/>
        <w:rPr>
          <w:sz w:val="20"/>
          <w:szCs w:val="20"/>
          <w:color w:val="auto"/>
        </w:rPr>
      </w:pPr>
    </w:p>
    <w:p>
      <w:pPr>
        <w:jc w:val="both"/>
        <w:ind w:left="1340" w:right="20" w:hanging="643"/>
        <w:spacing w:after="0" w:line="244" w:lineRule="auto"/>
        <w:tabs>
          <w:tab w:leader="none" w:pos="1340" w:val="left"/>
        </w:tabs>
        <w:numPr>
          <w:ilvl w:val="0"/>
          <w:numId w:val="132"/>
        </w:numPr>
        <w:rPr>
          <w:rFonts w:ascii="Times New Roman" w:cs="Times New Roman" w:eastAsia="Times New Roman" w:hAnsi="Times New Roman"/>
          <w:sz w:val="22"/>
          <w:szCs w:val="22"/>
          <w:color w:val="211F24"/>
        </w:rPr>
      </w:pPr>
      <w:r>
        <w:rPr>
          <w:rFonts w:ascii="Times New Roman" w:cs="Times New Roman" w:eastAsia="Times New Roman" w:hAnsi="Times New Roman"/>
          <w:sz w:val="22"/>
          <w:szCs w:val="22"/>
          <w:color w:val="211F24"/>
        </w:rPr>
        <w:t xml:space="preserve">I HAVE SIGNED THIS GENERAL RELEASE KNOWINGLY AND VOLUNTARILY, WITH A </w:t>
      </w:r>
      <w:r>
        <w:rPr>
          <w:rFonts w:ascii="Times New Roman" w:cs="Times New Roman" w:eastAsia="Times New Roman" w:hAnsi="Times New Roman"/>
          <w:sz w:val="22"/>
          <w:szCs w:val="22"/>
          <w:color w:val="212126"/>
        </w:rPr>
        <w:t>FULL UNDERSTANDING OF ITS TERMS AND WITH THE ADVICE OF ANY COUNSEL RETAINED TO ADVISE ME WITH RESPECT TO IT;</w:t>
      </w:r>
    </w:p>
    <w:p>
      <w:pPr>
        <w:spacing w:after="0" w:line="173" w:lineRule="exact"/>
        <w:rPr>
          <w:rFonts w:ascii="Times New Roman" w:cs="Times New Roman" w:eastAsia="Times New Roman" w:hAnsi="Times New Roman"/>
          <w:sz w:val="22"/>
          <w:szCs w:val="22"/>
          <w:color w:val="211F24"/>
        </w:rPr>
      </w:pPr>
    </w:p>
    <w:p>
      <w:pPr>
        <w:ind w:left="1340" w:right="20" w:hanging="643"/>
        <w:spacing w:after="0" w:line="282" w:lineRule="auto"/>
        <w:tabs>
          <w:tab w:leader="none" w:pos="1340" w:val="left"/>
        </w:tabs>
        <w:numPr>
          <w:ilvl w:val="0"/>
          <w:numId w:val="132"/>
        </w:numPr>
        <w:rPr>
          <w:rFonts w:ascii="Times New Roman" w:cs="Times New Roman" w:eastAsia="Times New Roman" w:hAnsi="Times New Roman"/>
          <w:sz w:val="21"/>
          <w:szCs w:val="21"/>
          <w:color w:val="212126"/>
        </w:rPr>
      </w:pPr>
      <w:r>
        <w:rPr>
          <w:rFonts w:ascii="Times New Roman" w:cs="Times New Roman" w:eastAsia="Times New Roman" w:hAnsi="Times New Roman"/>
          <w:sz w:val="21"/>
          <w:szCs w:val="21"/>
          <w:color w:val="212126"/>
        </w:rPr>
        <w:t>I HAVE NOT RELIED ON ANY PROMISES OR REPRESENTATIVES, EXPRESS OR IMPLIED, THAT ARE NOT SET FORTH EXPRESSLY IN THIS GENERAL RELEASE; AND</w:t>
      </w:r>
    </w:p>
    <w:p>
      <w:pPr>
        <w:spacing w:after="0" w:line="134" w:lineRule="exact"/>
        <w:rPr>
          <w:rFonts w:ascii="Times New Roman" w:cs="Times New Roman" w:eastAsia="Times New Roman" w:hAnsi="Times New Roman"/>
          <w:sz w:val="21"/>
          <w:szCs w:val="21"/>
          <w:color w:val="212126"/>
        </w:rPr>
      </w:pPr>
    </w:p>
    <w:p>
      <w:pPr>
        <w:jc w:val="both"/>
        <w:ind w:left="1340" w:hanging="643"/>
        <w:spacing w:after="0" w:line="239" w:lineRule="auto"/>
        <w:tabs>
          <w:tab w:leader="none" w:pos="1340" w:val="left"/>
        </w:tabs>
        <w:numPr>
          <w:ilvl w:val="0"/>
          <w:numId w:val="132"/>
        </w:numPr>
        <w:rPr>
          <w:rFonts w:ascii="Times New Roman" w:cs="Times New Roman" w:eastAsia="Times New Roman" w:hAnsi="Times New Roman"/>
          <w:sz w:val="22"/>
          <w:szCs w:val="22"/>
          <w:color w:val="212126"/>
        </w:rPr>
      </w:pPr>
      <w:r>
        <w:rPr>
          <w:rFonts w:ascii="Times New Roman" w:cs="Times New Roman" w:eastAsia="Times New Roman" w:hAnsi="Times New Roman"/>
          <w:sz w:val="22"/>
          <w:szCs w:val="22"/>
          <w:color w:val="212126"/>
        </w:rPr>
        <w:t xml:space="preserve">I AGREE THAT THE PROVISIONS OF THIS GENERAL RELEASE MAY NOT BE AMENDED, </w:t>
      </w:r>
      <w:r>
        <w:rPr>
          <w:rFonts w:ascii="Times New Roman" w:cs="Times New Roman" w:eastAsia="Times New Roman" w:hAnsi="Times New Roman"/>
          <w:sz w:val="22"/>
          <w:szCs w:val="22"/>
          <w:color w:val="211F24"/>
        </w:rPr>
        <w:t>WAIVED, CHANGED OR MODIFIED EXCEPT BY AN INSTRUMENT IN</w:t>
      </w:r>
      <w:r>
        <w:rPr>
          <w:rFonts w:ascii="Times New Roman" w:cs="Times New Roman" w:eastAsia="Times New Roman" w:hAnsi="Times New Roman"/>
          <w:sz w:val="22"/>
          <w:szCs w:val="22"/>
          <w:color w:val="212126"/>
        </w:rPr>
        <w:t xml:space="preserve"> </w:t>
      </w:r>
      <w:r>
        <w:rPr>
          <w:rFonts w:ascii="Times New Roman" w:cs="Times New Roman" w:eastAsia="Times New Roman" w:hAnsi="Times New Roman"/>
          <w:sz w:val="22"/>
          <w:szCs w:val="22"/>
          <w:color w:val="211F24"/>
        </w:rPr>
        <w:t>WRITING SIGNED BY AN AUTHORIZED REPRESENTATIVE OF EMPLOYER AND BY 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10795</wp:posOffset>
            </wp:positionV>
            <wp:extent cx="57689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Maria Lozzano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180" w:lineRule="exact"/>
        <w:rPr>
          <w:sz w:val="20"/>
          <w:szCs w:val="20"/>
          <w:color w:val="auto"/>
        </w:rPr>
      </w:pPr>
    </w:p>
    <w:p>
      <w:pPr>
        <w:ind w:right="2140" w:firstLine="2138"/>
        <w:spacing w:after="0" w:line="349" w:lineRule="auto"/>
        <w:rPr>
          <w:sz w:val="20"/>
          <w:szCs w:val="20"/>
          <w:color w:val="auto"/>
        </w:rPr>
      </w:pPr>
      <w:r>
        <w:rPr>
          <w:rFonts w:ascii="Times New Roman" w:cs="Times New Roman" w:eastAsia="Times New Roman" w:hAnsi="Times New Roman"/>
          <w:sz w:val="21"/>
          <w:szCs w:val="21"/>
          <w:b w:val="1"/>
          <w:bCs w:val="1"/>
          <w:color w:val="auto"/>
        </w:rPr>
        <w:t xml:space="preserve">FIRST AMENDMENT TO EMPLOYMENT AGREEMENT THIS FIRST AMENDMENT TO THE EMPLOYMENT AGREEMENT </w:t>
      </w:r>
      <w:r>
        <w:rPr>
          <w:rFonts w:ascii="Times New Roman" w:cs="Times New Roman" w:eastAsia="Times New Roman" w:hAnsi="Times New Roman"/>
          <w:sz w:val="21"/>
          <w:szCs w:val="21"/>
          <w:color w:val="auto"/>
        </w:rPr>
        <w:t>(the “First</w:t>
      </w:r>
    </w:p>
    <w:p>
      <w:pPr>
        <w:spacing w:after="0" w:line="1" w:lineRule="exact"/>
        <w:rPr>
          <w:sz w:val="20"/>
          <w:szCs w:val="20"/>
          <w:color w:val="auto"/>
        </w:rPr>
      </w:pPr>
    </w:p>
    <w:p>
      <w:pPr>
        <w:ind w:left="20" w:right="180" w:hanging="8"/>
        <w:spacing w:after="0" w:line="235" w:lineRule="auto"/>
        <w:rPr>
          <w:sz w:val="20"/>
          <w:szCs w:val="20"/>
          <w:color w:val="auto"/>
        </w:rPr>
      </w:pPr>
      <w:r>
        <w:rPr>
          <w:rFonts w:ascii="Times New Roman" w:cs="Times New Roman" w:eastAsia="Times New Roman" w:hAnsi="Times New Roman"/>
          <w:sz w:val="22"/>
          <w:szCs w:val="22"/>
          <w:color w:val="auto"/>
        </w:rPr>
        <w:t>Amendment”) is made and entered into as of the 22</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of May, 2020 (the “Effective Date of Amendment”) by and between Total Community Options, Inc., dba InnovAge, a Colorado corporation, and any successor entity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Maria Lozzano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189" w:lineRule="exact"/>
        <w:rPr>
          <w:sz w:val="20"/>
          <w:szCs w:val="20"/>
          <w:color w:val="auto"/>
        </w:rPr>
      </w:pPr>
    </w:p>
    <w:p>
      <w:pPr>
        <w:ind w:right="1480" w:firstLine="1485"/>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and the Company have entered into an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dated as of February 19, 2018 (“Employment Agreement”);</w:t>
      </w:r>
    </w:p>
    <w:p>
      <w:pPr>
        <w:spacing w:after="0" w:line="136" w:lineRule="exact"/>
        <w:rPr>
          <w:sz w:val="20"/>
          <w:szCs w:val="20"/>
          <w:color w:val="auto"/>
        </w:rPr>
      </w:pPr>
    </w:p>
    <w:p>
      <w:pPr>
        <w:ind w:left="20" w:right="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has been employed in the position of Chief Operations Officer for the Western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Region.</w:t>
      </w:r>
    </w:p>
    <w:p>
      <w:pPr>
        <w:spacing w:after="0" w:line="150" w:lineRule="exact"/>
        <w:rPr>
          <w:sz w:val="20"/>
          <w:szCs w:val="20"/>
          <w:color w:val="auto"/>
        </w:rPr>
      </w:pPr>
    </w:p>
    <w:p>
      <w:pPr>
        <w:ind w:left="20" w:right="60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promoted the Executive to the positon of Corporate Chief Operating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and desires to amend the Employment Agreement as set forth herein.</w:t>
      </w:r>
    </w:p>
    <w:p>
      <w:pPr>
        <w:spacing w:after="0" w:line="13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promises herein, the mutual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promises, terms, provisions and conditions set forth in this First Amendment, the parties hereby agree:</w:t>
      </w:r>
    </w:p>
    <w:p>
      <w:pPr>
        <w:spacing w:after="0" w:line="154"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3(a) of the Agreement is hereby amended and restated as follows:</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Capacity and Performance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right="360" w:firstLine="644"/>
        <w:spacing w:after="0" w:line="258" w:lineRule="auto"/>
        <w:tabs>
          <w:tab w:leader="none" w:pos="1956"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hereof, the Executive shall be employed by the Company on a full-time basis and shall serve the Company as its Corporate Chief Operations Officer.</w:t>
      </w:r>
    </w:p>
    <w:p>
      <w:pPr>
        <w:spacing w:after="0" w:line="158" w:lineRule="exact"/>
        <w:rPr>
          <w:rFonts w:ascii="Times New Roman" w:cs="Times New Roman" w:eastAsia="Times New Roman" w:hAnsi="Times New Roman"/>
          <w:sz w:val="22"/>
          <w:szCs w:val="22"/>
          <w:color w:val="auto"/>
        </w:rPr>
      </w:pPr>
    </w:p>
    <w:p>
      <w:pPr>
        <w:jc w:val="both"/>
        <w:ind w:left="660" w:right="220" w:hanging="652"/>
        <w:spacing w:after="0" w:line="244" w:lineRule="auto"/>
        <w:tabs>
          <w:tab w:leader="none" w:pos="6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of employment for the new position, the Executive may be required to relocate to another location and the Executive has agreed to relocate to another state, if required. Accordingly, Section 5(e) (ii) of the Agreement is hereby deleted in its entirety.</w:t>
      </w:r>
    </w:p>
    <w:p>
      <w:pPr>
        <w:spacing w:after="0" w:line="159" w:lineRule="exact"/>
        <w:rPr>
          <w:rFonts w:ascii="Times New Roman" w:cs="Times New Roman" w:eastAsia="Times New Roman" w:hAnsi="Times New Roman"/>
          <w:sz w:val="22"/>
          <w:szCs w:val="22"/>
          <w:color w:val="auto"/>
        </w:rPr>
      </w:pPr>
    </w:p>
    <w:p>
      <w:pPr>
        <w:ind w:left="660" w:right="280" w:hanging="652"/>
        <w:spacing w:after="0" w:line="261" w:lineRule="auto"/>
        <w:tabs>
          <w:tab w:leader="none" w:pos="66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First Amendment and the Agreement are the entire agreement between the parties hereto regarding the matters described herein and there are no other terms, covenants, conditions, agreements, or representations or warranties, oral or otherwise with respect thereto, of any kind whatsoever.</w:t>
      </w:r>
    </w:p>
    <w:p>
      <w:pPr>
        <w:spacing w:after="0" w:line="143" w:lineRule="exact"/>
        <w:rPr>
          <w:rFonts w:ascii="Times New Roman" w:cs="Times New Roman" w:eastAsia="Times New Roman" w:hAnsi="Times New Roman"/>
          <w:sz w:val="21"/>
          <w:szCs w:val="21"/>
          <w:color w:val="auto"/>
        </w:rPr>
      </w:pPr>
    </w:p>
    <w:p>
      <w:pPr>
        <w:ind w:left="660" w:right="100" w:hanging="652"/>
        <w:spacing w:after="0" w:line="244" w:lineRule="auto"/>
        <w:tabs>
          <w:tab w:leader="none" w:pos="6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hereby, the original Agreement remains unmodified and in full force and effect. In the event of a conflict between the terms of this First Amendment and the Agreement, the terms of this First Amendment shall control.</w:t>
      </w:r>
    </w:p>
    <w:p>
      <w:pPr>
        <w:spacing w:after="0" w:line="159" w:lineRule="exact"/>
        <w:rPr>
          <w:rFonts w:ascii="Times New Roman" w:cs="Times New Roman" w:eastAsia="Times New Roman" w:hAnsi="Times New Roman"/>
          <w:sz w:val="22"/>
          <w:szCs w:val="22"/>
          <w:color w:val="auto"/>
        </w:rPr>
      </w:pPr>
    </w:p>
    <w:p>
      <w:pPr>
        <w:jc w:val="both"/>
        <w:ind w:left="660" w:right="20" w:hanging="652"/>
        <w:spacing w:after="0" w:line="244" w:lineRule="auto"/>
        <w:tabs>
          <w:tab w:leader="none" w:pos="6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First Amendment shall be governed by the laws of the State of Colorado. This First Amendment may be executed in counterparts, each of which shall be an original and all of which, when taken together, shall constitute but one and the same instrument. This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461645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64" w:name="page165"/>
    <w:bookmarkEnd w:id="164"/>
    <w:p>
      <w:pPr>
        <w:ind w:left="660" w:right="560" w:firstLine="54"/>
        <w:spacing w:after="0" w:line="259" w:lineRule="auto"/>
        <w:rPr>
          <w:sz w:val="20"/>
          <w:szCs w:val="20"/>
          <w:color w:val="auto"/>
        </w:rPr>
      </w:pPr>
      <w:r>
        <w:rPr>
          <w:rFonts w:ascii="Times New Roman" w:cs="Times New Roman" w:eastAsia="Times New Roman" w:hAnsi="Times New Roman"/>
          <w:sz w:val="22"/>
          <w:szCs w:val="22"/>
          <w:color w:val="auto"/>
        </w:rPr>
        <w:t>Amendment may be signed and delivered electronically, and the electronic record and signature will constitute an original for all purposes.</w:t>
      </w:r>
    </w:p>
    <w:p>
      <w:pPr>
        <w:spacing w:after="0" w:line="143" w:lineRule="exact"/>
        <w:rPr>
          <w:sz w:val="20"/>
          <w:szCs w:val="20"/>
          <w:color w:val="auto"/>
        </w:rPr>
      </w:pPr>
    </w:p>
    <w:p>
      <w:pPr>
        <w:ind w:left="20" w:right="220" w:hanging="11"/>
        <w:spacing w:after="0" w:line="244" w:lineRule="auto"/>
        <w:rPr>
          <w:sz w:val="20"/>
          <w:szCs w:val="20"/>
          <w:color w:val="auto"/>
        </w:rPr>
      </w:pPr>
      <w:r>
        <w:rPr>
          <w:rFonts w:ascii="Times New Roman" w:cs="Times New Roman" w:eastAsia="Times New Roman" w:hAnsi="Times New Roman"/>
          <w:sz w:val="22"/>
          <w:szCs w:val="22"/>
          <w:color w:val="auto"/>
        </w:rPr>
        <w:t>IN WITNESS WHEREOF, this First Amendment to the Agreement has been executed as a sealed instrument by the Company, by its duly authorized representative, and by the Executive, as of the Effective Date of the Amendment above written.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THE EXECUTIVE:</w:t>
            </w:r>
          </w:p>
        </w:tc>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THE COMPANY:</w:t>
            </w:r>
          </w:p>
        </w:tc>
      </w:tr>
      <w:tr>
        <w:trPr>
          <w:trHeight w:val="262"/>
        </w:trPr>
        <w:tc>
          <w:tcPr>
            <w:tcW w:w="51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 Maria Lozzano</w:t>
            </w:r>
          </w:p>
        </w:tc>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/s/ Maureen Hewitt</w:t>
            </w:r>
          </w:p>
        </w:tc>
      </w:tr>
      <w:tr>
        <w:trPr>
          <w:trHeight w:val="217"/>
        </w:trPr>
        <w:tc>
          <w:tcPr>
            <w:tcW w:w="20" w:type="dxa"/>
            <w:vAlign w:val="bottom"/>
          </w:tcPr>
          <w:p>
            <w:pPr>
              <w:spacing w:after="0"/>
              <w:rPr>
                <w:sz w:val="18"/>
                <w:szCs w:val="18"/>
                <w:color w:val="auto"/>
              </w:rPr>
            </w:pPr>
          </w:p>
        </w:tc>
        <w:tc>
          <w:tcPr>
            <w:tcW w:w="4880" w:type="dxa"/>
            <w:vAlign w:val="bottom"/>
            <w:tcBorders>
              <w:top w:val="single" w:sz="8" w:color="auto"/>
            </w:tcBorders>
          </w:tcPr>
          <w:p>
            <w:pPr>
              <w:spacing w:after="0" w:line="217" w:lineRule="exact"/>
              <w:rPr>
                <w:sz w:val="20"/>
                <w:szCs w:val="20"/>
                <w:color w:val="auto"/>
              </w:rPr>
            </w:pPr>
            <w:r>
              <w:rPr>
                <w:rFonts w:ascii="Times New Roman" w:cs="Times New Roman" w:eastAsia="Times New Roman" w:hAnsi="Times New Roman"/>
                <w:sz w:val="21"/>
                <w:szCs w:val="21"/>
                <w:color w:val="auto"/>
              </w:rPr>
              <w:t>Maria Lozzano</w:t>
            </w:r>
          </w:p>
        </w:tc>
        <w:tc>
          <w:tcPr>
            <w:tcW w:w="220" w:type="dxa"/>
            <w:vAlign w:val="bottom"/>
          </w:tcPr>
          <w:p>
            <w:pPr>
              <w:spacing w:after="0"/>
              <w:rPr>
                <w:sz w:val="18"/>
                <w:szCs w:val="18"/>
                <w:color w:val="auto"/>
              </w:rPr>
            </w:pPr>
          </w:p>
        </w:tc>
        <w:tc>
          <w:tcPr>
            <w:tcW w:w="4800" w:type="dxa"/>
            <w:vAlign w:val="bottom"/>
            <w:tcBorders>
              <w:top w:val="single" w:sz="8" w:color="auto"/>
            </w:tcBorders>
          </w:tcPr>
          <w:p>
            <w:pPr>
              <w:spacing w:after="0" w:line="217" w:lineRule="exact"/>
              <w:rPr>
                <w:sz w:val="20"/>
                <w:szCs w:val="20"/>
                <w:color w:val="auto"/>
              </w:rPr>
            </w:pPr>
            <w:r>
              <w:rPr>
                <w:rFonts w:ascii="Times New Roman" w:cs="Times New Roman" w:eastAsia="Times New Roman" w:hAnsi="Times New Roman"/>
                <w:sz w:val="21"/>
                <w:szCs w:val="21"/>
                <w:color w:val="auto"/>
              </w:rPr>
              <w:t>By:  Maureen Hewitt</w:t>
            </w:r>
          </w:p>
        </w:tc>
      </w:tr>
      <w:tr>
        <w:trPr>
          <w:trHeight w:val="270"/>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1"/>
                <w:szCs w:val="21"/>
                <w:color w:val="auto"/>
              </w:rPr>
              <w:t>Title: President and Chief Executive Officer</w:t>
            </w:r>
          </w:p>
        </w:tc>
      </w:tr>
      <w:tr>
        <w:trPr>
          <w:trHeight w:val="769"/>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this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of August,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Total Community Options, Inc., d/b/a InnovAge, a Colorado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Dr. Richard Feifer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desires to offer to the Executive employment on the terms and conditions set forth in this Agreement. In consideration of the foregoing premises and the mutual promises, terms, provisions and conditions set forth in this Agreement, the parties hereby agree:</w:t>
      </w:r>
    </w:p>
    <w:p>
      <w:pPr>
        <w:spacing w:after="0" w:line="173" w:lineRule="exact"/>
        <w:rPr>
          <w:sz w:val="20"/>
          <w:szCs w:val="20"/>
          <w:color w:val="auto"/>
        </w:rPr>
      </w:pPr>
    </w:p>
    <w:p>
      <w:pPr>
        <w:ind w:firstLine="1304"/>
        <w:spacing w:after="0" w:line="258"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Executive’s employment shall be subject to the terms and conditions set forth in this Agreement.</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This Agreement will continue in effect from the Effective Date until terminated in accordance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hereof. The term of this Agreement is hereafter referred to as “the term of this Agreement” or “the term hereof.”</w:t>
      </w:r>
    </w:p>
    <w:p>
      <w:pPr>
        <w:spacing w:after="0" w:line="17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Capacities and Performance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13"/>
        <w:spacing w:after="0" w:line="251" w:lineRule="auto"/>
        <w:tabs>
          <w:tab w:leader="none" w:pos="2592"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hereof, the Executive shall be employed by the Company on a full-time basis and shall serve the Company as its Chief Medical Officer. In such capacity, the Executive shall report to the President and Chief Executive Officer of the Company (the “</w:t>
      </w:r>
      <w:r>
        <w:rPr>
          <w:rFonts w:ascii="Times New Roman" w:cs="Times New Roman" w:eastAsia="Times New Roman" w:hAnsi="Times New Roman"/>
          <w:sz w:val="21"/>
          <w:szCs w:val="21"/>
          <w:u w:val="single" w:color="auto"/>
          <w:color w:val="auto"/>
        </w:rPr>
        <w:t>Chief Executive Officer</w:t>
      </w:r>
      <w:r>
        <w:rPr>
          <w:rFonts w:ascii="Times New Roman" w:cs="Times New Roman" w:eastAsia="Times New Roman" w:hAnsi="Times New Roman"/>
          <w:sz w:val="21"/>
          <w:szCs w:val="21"/>
          <w:color w:val="auto"/>
        </w:rPr>
        <w:t>”), and the Executive shall have such duties as are consistent with the Executive’s position and as may, from time to time, be assigned to the Executive by the Chief Executive Officer or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firstLine="1913"/>
        <w:spacing w:after="0" w:line="233" w:lineRule="auto"/>
        <w:tabs>
          <w:tab w:leader="none" w:pos="2592"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term hereof, the Executive shall devote substantially all of the Executive’s full business time and the Executives’s best efforts, business judgment, skill and knowledge to the advancement of the business and interests of the Company and its Affiliates (as defined below) and to the discharge of the Executive’s duties and responsibilities hereunder. The Executive shall not engage in any other business activity or serve in any industry, trade, professional, governmental or academic position during the term of this Agreement, except as may be expressly approved in advance by the Chief Executive Officer in writing, which approval shall not be unreasonably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Executive may without advance consent participate in charitable activities and passive personal investment activities, provided that such activities do not, individually or in the aggregate, interfere with the performance of the Executive’s duties under this Agreement, are not in conflict with the business interests of the Company or any of its Affiliates and do not violate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of this Agreement.</w:t>
      </w:r>
    </w:p>
    <w:p>
      <w:pPr>
        <w:spacing w:after="0" w:line="187" w:lineRule="exact"/>
        <w:rPr>
          <w:rFonts w:ascii="Times New Roman" w:cs="Times New Roman" w:eastAsia="Times New Roman" w:hAnsi="Times New Roman"/>
          <w:sz w:val="22"/>
          <w:szCs w:val="22"/>
          <w:color w:val="auto"/>
        </w:rPr>
      </w:pPr>
    </w:p>
    <w:p>
      <w:pPr>
        <w:jc w:val="both"/>
        <w:ind w:firstLine="1913"/>
        <w:spacing w:after="0" w:line="244" w:lineRule="auto"/>
        <w:tabs>
          <w:tab w:leader="none" w:pos="2592"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hereof, the Executive shall comply with all of the Company’s written policies, practices and codes of conduct applicable to the Executive’s position, as in effect from time to time.</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As compensation for all services performed by the Executive hereunder during the term hereof, and subject to performance of the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1026795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duties and responsibilities to the Company and its Affiliates, pursuant to this Agreement or otherwise,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shall pay certain compensation and provide certain benefits to the Executive, as follows:</w:t>
      </w:r>
    </w:p>
    <w:p>
      <w:pPr>
        <w:spacing w:after="0" w:line="182" w:lineRule="exact"/>
        <w:rPr>
          <w:sz w:val="20"/>
          <w:szCs w:val="20"/>
          <w:color w:val="auto"/>
        </w:rPr>
      </w:pPr>
    </w:p>
    <w:p>
      <w:pPr>
        <w:jc w:val="both"/>
        <w:ind w:firstLine="1913"/>
        <w:spacing w:after="0" w:line="235" w:lineRule="auto"/>
        <w:tabs>
          <w:tab w:leader="none" w:pos="259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of this Agreement, the Company will pay the Executive an annual base salary commensurate with the Executive’s performance and experience within the compensation philosophy established by the Company; the Executive’s initial annual base salary rate will be $400,000. The Executive will be paid the Executive’s annual base salary in accordance with the normal payroll practices of the Company as in effect from time to time (but no less frequently than monthly); the Executive’s annual base salary, as from time to time adjusted, is hereafter referred to as the “Base Salary”. The Chief Executive Officer, following consultation with the Board, shall review the Base Salary each year for increase, but shall not decrease the Base Salary.</w:t>
      </w:r>
    </w:p>
    <w:p>
      <w:pPr>
        <w:spacing w:after="0" w:line="178" w:lineRule="exact"/>
        <w:rPr>
          <w:rFonts w:ascii="Times New Roman" w:cs="Times New Roman" w:eastAsia="Times New Roman" w:hAnsi="Times New Roman"/>
          <w:sz w:val="22"/>
          <w:szCs w:val="22"/>
          <w:color w:val="auto"/>
        </w:rPr>
      </w:pPr>
    </w:p>
    <w:p>
      <w:pPr>
        <w:jc w:val="both"/>
        <w:ind w:firstLine="1913"/>
        <w:spacing w:after="0" w:line="245" w:lineRule="auto"/>
        <w:tabs>
          <w:tab w:leader="none" w:pos="2592"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 Compensation</w:t>
      </w:r>
      <w:r>
        <w:rPr>
          <w:rFonts w:ascii="Times New Roman" w:cs="Times New Roman" w:eastAsia="Times New Roman" w:hAnsi="Times New Roman"/>
          <w:sz w:val="21"/>
          <w:szCs w:val="21"/>
          <w:color w:val="auto"/>
        </w:rPr>
        <w:t>. For each fiscal year occurring during the term hereof, beginning with the 2023 fiscal year, the Executive shall be eligible, but not entitled, to receive a discretionary annual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targeted at fifty percent (50%) of the Executive’s Base Salary (the “</w:t>
      </w:r>
      <w:r>
        <w:rPr>
          <w:rFonts w:ascii="Times New Roman" w:cs="Times New Roman" w:eastAsia="Times New Roman" w:hAnsi="Times New Roman"/>
          <w:sz w:val="21"/>
          <w:szCs w:val="21"/>
          <w:u w:val="single" w:color="auto"/>
          <w:color w:val="auto"/>
        </w:rPr>
        <w:t>Target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The actual amount of the Annual Bonus due for a given fiscal year, if any, will be determined by the Chief Executive Officer, in consultation with the Board, acting in good faith and based on the achievement of pre-established performance criteria. The performance criteria shall be based on criteria established by the Board in consultation with the Chief Executive Office no later than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day of the fiscal year. Any Annual Bonus earned for a fiscal year shall be paid within thirty (30) days after the Board has received, reviewed and approved the applicable fiscal year’s final audited statements, and in any event no later than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21"/>
          <w:szCs w:val="21"/>
          <w:color w:val="auto"/>
        </w:rPr>
        <w:t xml:space="preserve"> of the calendar year in which such fiscal year ends. In order to receive the Annual Bonus for any fiscal year, the Executive must be employed by the Company through the last day of the fiscal year to which performance relates.</w:t>
      </w:r>
    </w:p>
    <w:p>
      <w:pPr>
        <w:spacing w:after="0" w:line="177" w:lineRule="exact"/>
        <w:rPr>
          <w:rFonts w:ascii="Times New Roman" w:cs="Times New Roman" w:eastAsia="Times New Roman" w:hAnsi="Times New Roman"/>
          <w:sz w:val="21"/>
          <w:szCs w:val="21"/>
          <w:color w:val="auto"/>
        </w:rPr>
      </w:pPr>
    </w:p>
    <w:p>
      <w:pPr>
        <w:jc w:val="both"/>
        <w:ind w:firstLine="1913"/>
        <w:spacing w:after="0" w:line="234" w:lineRule="auto"/>
        <w:tabs>
          <w:tab w:leader="none" w:pos="259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 Term Incentive Plan</w:t>
      </w:r>
      <w:r>
        <w:rPr>
          <w:rFonts w:ascii="Times New Roman" w:cs="Times New Roman" w:eastAsia="Times New Roman" w:hAnsi="Times New Roman"/>
          <w:sz w:val="22"/>
          <w:szCs w:val="22"/>
          <w:color w:val="auto"/>
        </w:rPr>
        <w:t>. For each fiscal year occurring during the term hereof, beginning with the 2024 fiscal year, the Executive shall be eligible, but not entitled, to receive a discretionary annual award of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xml:space="preserve">) with a target value of approximately $400,000, which will vest in equal one-third (1/3) installments on each of the first three (3) anniversaries of the date of grant, subject to the Executive’s continued employment with the Company on each applicable vesting date. </w:t>
      </w:r>
      <w:r>
        <w:rPr>
          <w:rFonts w:ascii="Times New Roman" w:cs="Times New Roman" w:eastAsia="Times New Roman" w:hAnsi="Times New Roman"/>
          <w:sz w:val="22"/>
          <w:szCs w:val="22"/>
          <w:u w:val="single" w:color="auto"/>
          <w:color w:val="auto"/>
        </w:rPr>
        <w:t>The grant date will be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first six months of the fiscal year.</w:t>
      </w:r>
      <w:r>
        <w:rPr>
          <w:rFonts w:ascii="Times New Roman" w:cs="Times New Roman" w:eastAsia="Times New Roman" w:hAnsi="Times New Roman"/>
          <w:sz w:val="22"/>
          <w:szCs w:val="22"/>
          <w:color w:val="auto"/>
        </w:rPr>
        <w:t xml:space="preserve"> The actual amount of the RSUs due for a given fiscal year, if any, will be determined by the Chief Executive Officer, in consultation with the Board, acting in good faith. The RSU award will be subject to an RSU agreement, substantially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 InnovAge Holding Corp. 2021 Omnibus Incentive Plan (as the same may be amended from time to time) and any other restrictions and limitations generally applicable to the equity of the Company or otherwise imposed by law.</w:t>
      </w:r>
    </w:p>
    <w:p>
      <w:pPr>
        <w:spacing w:after="0" w:line="179" w:lineRule="exact"/>
        <w:rPr>
          <w:rFonts w:ascii="Times New Roman" w:cs="Times New Roman" w:eastAsia="Times New Roman" w:hAnsi="Times New Roman"/>
          <w:sz w:val="22"/>
          <w:szCs w:val="22"/>
          <w:color w:val="auto"/>
        </w:rPr>
      </w:pPr>
    </w:p>
    <w:p>
      <w:pPr>
        <w:jc w:val="both"/>
        <w:ind w:firstLine="1913"/>
        <w:spacing w:after="0" w:line="235" w:lineRule="auto"/>
        <w:tabs>
          <w:tab w:leader="none" w:pos="259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RSU Grant</w:t>
      </w:r>
      <w:r>
        <w:rPr>
          <w:rFonts w:ascii="Times New Roman" w:cs="Times New Roman" w:eastAsia="Times New Roman" w:hAnsi="Times New Roman"/>
          <w:sz w:val="22"/>
          <w:szCs w:val="22"/>
          <w:color w:val="auto"/>
        </w:rPr>
        <w:t>. Company will grant you a one-time sign-on award of restricted stock units (“RSUs) equal to the value of $400,000 with an effective strike price set at the market close on the next Company strike date. It will vest in equal one-third (1/3) installments on each of the first three (3) anniversaries of the date of grant, subject to your continued employment on each applicable vesting date. The RSU award will be subject to an award agreement, the InnovAge Holding Corp., 2021 Omnibus Incentive Plan, and any other restrictions and limitations generally applicable to the equity of the Company or otherwise imposed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7" w:name="page168"/>
    <w:bookmarkEnd w:id="167"/>
    <w:p>
      <w:pPr>
        <w:ind w:left="2600" w:hanging="687"/>
        <w:spacing w:after="0"/>
        <w:tabs>
          <w:tab w:leader="none" w:pos="2600"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During the term hereof, the Executive shall be entitled to earn four</w:t>
      </w:r>
    </w:p>
    <w:p>
      <w:pPr>
        <w:spacing w:after="0" w:line="14" w:lineRule="exact"/>
        <w:rPr>
          <w:rFonts w:ascii="Times New Roman" w:cs="Times New Roman" w:eastAsia="Times New Roman" w:hAnsi="Times New Roman"/>
          <w:sz w:val="22"/>
          <w:szCs w:val="22"/>
          <w:color w:val="auto"/>
        </w:rPr>
      </w:pPr>
    </w:p>
    <w:p>
      <w:pPr>
        <w:jc w:val="both"/>
        <w:ind w:firstLine="8"/>
        <w:spacing w:after="0" w:line="249" w:lineRule="auto"/>
        <w:tabs>
          <w:tab w:leader="none" w:pos="319"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weeks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twenty (20) days) of paid time off (“</w:t>
      </w:r>
      <w:r>
        <w:rPr>
          <w:rFonts w:ascii="Times New Roman" w:cs="Times New Roman" w:eastAsia="Times New Roman" w:hAnsi="Times New Roman"/>
          <w:sz w:val="21"/>
          <w:szCs w:val="21"/>
          <w:u w:val="single" w:color="auto"/>
          <w:color w:val="auto"/>
        </w:rPr>
        <w:t>PTO</w:t>
      </w:r>
      <w:r>
        <w:rPr>
          <w:rFonts w:ascii="Times New Roman" w:cs="Times New Roman" w:eastAsia="Times New Roman" w:hAnsi="Times New Roman"/>
          <w:sz w:val="21"/>
          <w:szCs w:val="21"/>
          <w:color w:val="auto"/>
        </w:rPr>
        <w:t>”) per annum (in addition to Company holidays), to be taken at such times and intervals as shall be determined by the Executive, subject to the reasonable business needs of the Company. PTO shall otherwise be governed by the policies of the Company, as in effect from time to time.</w:t>
      </w:r>
    </w:p>
    <w:p>
      <w:pPr>
        <w:spacing w:after="0" w:line="169" w:lineRule="exact"/>
        <w:rPr>
          <w:rFonts w:ascii="Times New Roman" w:cs="Times New Roman" w:eastAsia="Times New Roman" w:hAnsi="Times New Roman"/>
          <w:sz w:val="21"/>
          <w:szCs w:val="21"/>
          <w:color w:val="auto"/>
        </w:rPr>
      </w:pPr>
    </w:p>
    <w:p>
      <w:pPr>
        <w:jc w:val="both"/>
        <w:ind w:firstLine="1913"/>
        <w:spacing w:after="0" w:line="246" w:lineRule="auto"/>
        <w:tabs>
          <w:tab w:leader="none" w:pos="2592" w:val="left"/>
        </w:tabs>
        <w:numPr>
          <w:ilvl w:val="2"/>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 During the term hereof and subject to any contribution therefore generally required of similarly-situated employees of the Company, the Executive shall be entitled to participate in any and all employee benefit plans from time to time in effect for employees of the Company generally (the “</w:t>
      </w: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 except to the extent any Employee Benefit Plan provides for benefits otherwise provided to the Executive hereunder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a severance pay plan). Such participation shall be subject to</w:t>
      </w:r>
    </w:p>
    <w:p>
      <w:pPr>
        <w:spacing w:after="0" w:line="1" w:lineRule="exact"/>
        <w:rPr>
          <w:rFonts w:ascii="Times New Roman" w:cs="Times New Roman" w:eastAsia="Times New Roman" w:hAnsi="Times New Roman"/>
          <w:sz w:val="21"/>
          <w:szCs w:val="21"/>
          <w:color w:val="auto"/>
        </w:rPr>
      </w:pPr>
    </w:p>
    <w:p>
      <w:pPr>
        <w:jc w:val="both"/>
        <w:ind w:right="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the terms of the applicable Employee Benefit Plan documents, (ii) generally applicable Company policies and (iii) the discretion of the Company or any administrative or other committee provided for under, or contemplated by, such Employee Benefit Plan.</w:t>
      </w:r>
    </w:p>
    <w:p>
      <w:pPr>
        <w:spacing w:after="0" w:line="177" w:lineRule="exact"/>
        <w:rPr>
          <w:rFonts w:ascii="Times New Roman" w:cs="Times New Roman" w:eastAsia="Times New Roman" w:hAnsi="Times New Roman"/>
          <w:sz w:val="21"/>
          <w:szCs w:val="21"/>
          <w:color w:val="auto"/>
        </w:rPr>
      </w:pPr>
    </w:p>
    <w:p>
      <w:pPr>
        <w:jc w:val="both"/>
        <w:ind w:firstLine="1913"/>
        <w:spacing w:after="0" w:line="239" w:lineRule="auto"/>
        <w:tabs>
          <w:tab w:leader="none" w:pos="2592"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Company shall pay or reimburse the Executive for reasonable, customary and necessary business expenses incurred or paid by the Executive in the performance of the Executive’s duties and responsibilities hereunder, subject to such reasonable substantiation and documentation and to travel and other policies as may be required by the Company from time to time.</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and Severance Benefits</w:t>
      </w:r>
      <w:r>
        <w:rPr>
          <w:rFonts w:ascii="Times New Roman" w:cs="Times New Roman" w:eastAsia="Times New Roman" w:hAnsi="Times New Roman"/>
          <w:sz w:val="22"/>
          <w:szCs w:val="22"/>
          <w:color w:val="auto"/>
        </w:rPr>
        <w:t>. The Executive’s employment hereunder shall terminate under the following circumstances:</w:t>
      </w:r>
    </w:p>
    <w:p>
      <w:pPr>
        <w:spacing w:after="0" w:line="158" w:lineRule="exact"/>
        <w:rPr>
          <w:rFonts w:ascii="Times New Roman" w:cs="Times New Roman" w:eastAsia="Times New Roman" w:hAnsi="Times New Roman"/>
          <w:sz w:val="22"/>
          <w:szCs w:val="22"/>
          <w:color w:val="auto"/>
        </w:rPr>
      </w:pPr>
    </w:p>
    <w:p>
      <w:pPr>
        <w:jc w:val="both"/>
        <w:ind w:firstLine="1913"/>
        <w:spacing w:after="0" w:line="233" w:lineRule="auto"/>
        <w:tabs>
          <w:tab w:leader="none" w:pos="2592"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xml:space="preserve">. In the event of the Executive’s death during the term hereof, the date of death shall be the date of termination, and the Company shall pay or provide to the Executive’s designated beneficiary or, if no beneficiary has been designated by the Executive in a notice received by the Company, to the Executive’s estate: (i) any Base Salary earned but not paid through the date of termination, (ii) pay in lieu of any PTO accrued but not used as of the date of termination, and (iii) any business expenses incurred by the Executive but unreimbursed as of the date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expenses and required substantiation and documentation are submitted no later than one hundred twenty (120) days following the date of termination, that such expenses are reimbursable under Company policy and that any such expenses subject to </w:t>
      </w:r>
      <w:r>
        <w:rPr>
          <w:rFonts w:ascii="Times New Roman" w:cs="Times New Roman" w:eastAsia="Times New Roman" w:hAnsi="Times New Roman"/>
          <w:sz w:val="22"/>
          <w:szCs w:val="22"/>
          <w:u w:val="single" w:color="auto"/>
          <w:color w:val="auto"/>
        </w:rPr>
        <w:t>Section 5(g)(iv)</w:t>
      </w:r>
      <w:r>
        <w:rPr>
          <w:rFonts w:ascii="Times New Roman" w:cs="Times New Roman" w:eastAsia="Times New Roman" w:hAnsi="Times New Roman"/>
          <w:sz w:val="22"/>
          <w:szCs w:val="22"/>
          <w:color w:val="auto"/>
        </w:rPr>
        <w:t xml:space="preserve"> shall be paid not later than the deadline specified therein, all of the foregoing, payable subject to the timing limitations described herein, “</w:t>
      </w:r>
      <w:r>
        <w:rPr>
          <w:rFonts w:ascii="Times New Roman" w:cs="Times New Roman" w:eastAsia="Times New Roman" w:hAnsi="Times New Roman"/>
          <w:sz w:val="22"/>
          <w:szCs w:val="22"/>
          <w:u w:val="single" w:color="auto"/>
          <w:color w:val="auto"/>
        </w:rPr>
        <w:t>Final Compensation</w:t>
      </w:r>
      <w:r>
        <w:rPr>
          <w:rFonts w:ascii="Times New Roman" w:cs="Times New Roman" w:eastAsia="Times New Roman" w:hAnsi="Times New Roman"/>
          <w:sz w:val="22"/>
          <w:szCs w:val="22"/>
          <w:color w:val="auto"/>
        </w:rPr>
        <w:t xml:space="preserve">. In the event of such termination, the Company shall have no further obligation or liability to the Executive under this Agreement, other than for payment of any Final Compensation due to the Executive. Other than business expenses described in </w:t>
      </w:r>
      <w:r>
        <w:rPr>
          <w:rFonts w:ascii="Times New Roman" w:cs="Times New Roman" w:eastAsia="Times New Roman" w:hAnsi="Times New Roman"/>
          <w:sz w:val="22"/>
          <w:szCs w:val="22"/>
          <w:u w:val="single" w:color="auto"/>
          <w:color w:val="auto"/>
        </w:rPr>
        <w:t>Section 5(a)(iii)</w:t>
      </w:r>
      <w:r>
        <w:rPr>
          <w:rFonts w:ascii="Times New Roman" w:cs="Times New Roman" w:eastAsia="Times New Roman" w:hAnsi="Times New Roman"/>
          <w:sz w:val="22"/>
          <w:szCs w:val="22"/>
          <w:color w:val="auto"/>
        </w:rPr>
        <w:t>, Final Compensation shall be paid to the Executive’s designated beneficiary or estate at the time prescribed by applicable law and in all events within thirty (30) days following the date of death.</w:t>
      </w:r>
    </w:p>
    <w:p>
      <w:pPr>
        <w:spacing w:after="0" w:line="179" w:lineRule="exact"/>
        <w:rPr>
          <w:rFonts w:ascii="Times New Roman" w:cs="Times New Roman" w:eastAsia="Times New Roman" w:hAnsi="Times New Roman"/>
          <w:sz w:val="22"/>
          <w:szCs w:val="22"/>
          <w:color w:val="auto"/>
        </w:rPr>
      </w:pPr>
    </w:p>
    <w:p>
      <w:pPr>
        <w:ind w:left="2600" w:hanging="687"/>
        <w:spacing w:after="0"/>
        <w:tabs>
          <w:tab w:leader="none" w:pos="2600"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0" w:val="left"/>
        </w:tabs>
        <w:numPr>
          <w:ilvl w:val="3"/>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the Executive’s employment hereunder, upon notice to the Executive, in the event that the Executive becomes disabled during the Executive’s employment hereunder through any illness, injury, accident or condition of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8" w:name="page169"/>
    <w:bookmarkEnd w:id="168"/>
    <w:p>
      <w:pPr>
        <w:jc w:val="both"/>
        <w:ind w:left="100" w:hanging="3"/>
        <w:spacing w:after="0" w:line="234" w:lineRule="auto"/>
        <w:rPr>
          <w:sz w:val="20"/>
          <w:szCs w:val="20"/>
          <w:color w:val="auto"/>
        </w:rPr>
      </w:pPr>
      <w:r>
        <w:rPr>
          <w:rFonts w:ascii="Times New Roman" w:cs="Times New Roman" w:eastAsia="Times New Roman" w:hAnsi="Times New Roman"/>
          <w:sz w:val="22"/>
          <w:szCs w:val="22"/>
          <w:color w:val="auto"/>
        </w:rPr>
        <w:t>a physical or psychological nature and, as a result, is unable to perform substantially all of the Executive’s duties and responsibilities hereunder (notwithstanding the provision of any reasonable accommodation exclusive of the leave of absence provided hereunder) for ninety (90) consecutive days, or one hundred and eighty (180) non-consecutive days, during any period of three hundred and sixty-five (365) consecutive calendar days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In the event of such termination, the Company shall have no further obligation or liability to the Executive under this Agreement, other than for payment of any Final Compensation due to the Executive. Other than business expenses described in </w:t>
      </w:r>
      <w:r>
        <w:rPr>
          <w:rFonts w:ascii="Times New Roman" w:cs="Times New Roman" w:eastAsia="Times New Roman" w:hAnsi="Times New Roman"/>
          <w:sz w:val="22"/>
          <w:szCs w:val="22"/>
          <w:u w:val="single" w:color="auto"/>
          <w:color w:val="auto"/>
        </w:rPr>
        <w:t>Section 5(a)(iii)</w:t>
      </w:r>
      <w:r>
        <w:rPr>
          <w:rFonts w:ascii="Times New Roman" w:cs="Times New Roman" w:eastAsia="Times New Roman" w:hAnsi="Times New Roman"/>
          <w:sz w:val="22"/>
          <w:szCs w:val="22"/>
          <w:color w:val="auto"/>
        </w:rPr>
        <w:t>, Final Compensation shall be paid to the Executive at the time prescribed by applicable law and in all events within thirty (30) days following the date of termination of employment.</w:t>
      </w:r>
    </w:p>
    <w:p>
      <w:pPr>
        <w:spacing w:after="0" w:line="184" w:lineRule="exact"/>
        <w:rPr>
          <w:sz w:val="20"/>
          <w:szCs w:val="20"/>
          <w:color w:val="auto"/>
        </w:rPr>
      </w:pPr>
    </w:p>
    <w:p>
      <w:pPr>
        <w:jc w:val="both"/>
        <w:ind w:firstLine="2600"/>
        <w:spacing w:after="0" w:line="233" w:lineRule="auto"/>
        <w:tabs>
          <w:tab w:leader="none" w:pos="324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Chief Executive Officer may designate another employee to act in the Executive’s place during any period of the Executive’s Disability. Notwithstanding any such designation, the Executive shall continue to receive the Base Salary in accordance with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and to participate in Employee Benefit Plans in accordance with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 xml:space="preserve">, to the extent permitted by the then-current terms of the applicable Employee Benefit Plans, until the Executive becomes eligible for disability income benefits under the Company’s disability income plan, if any, or until the termination of the Executive’s employment, whichever shall first occur. If the Executive receives any disability income payments under the Company’s disability income plan, the Base Salary under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shall be reduced by the amount of such disability income. The Executive shall continue to participate in the Employee Benefit Plans in accordance with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 xml:space="preserve"> and to the extent permitted by and subject to the then-current terms of such Employee Benefit Plans, until the termination of the Executive’s employment hereunder.</w:t>
      </w:r>
    </w:p>
    <w:p>
      <w:pPr>
        <w:spacing w:after="0" w:line="187" w:lineRule="exact"/>
        <w:rPr>
          <w:rFonts w:ascii="Times New Roman" w:cs="Times New Roman" w:eastAsia="Times New Roman" w:hAnsi="Times New Roman"/>
          <w:sz w:val="22"/>
          <w:szCs w:val="22"/>
          <w:color w:val="auto"/>
        </w:rPr>
      </w:pPr>
    </w:p>
    <w:p>
      <w:pPr>
        <w:jc w:val="both"/>
        <w:ind w:firstLine="2600"/>
        <w:spacing w:after="0" w:line="248" w:lineRule="auto"/>
        <w:tabs>
          <w:tab w:leader="none" w:pos="3240"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question shall arise as to whether the Executive is disabled through any illness, injury, accident or condition of either a physical or psychological nature so as to be unable to perform substantially all of the Executive’s duties and responsibilities hereunder, the Executive may, and at the reasonable request of the Company shall, submit to a medical examination by a physician mutually agreed to by the Company and the Executive (or the Executive’s duly appointed guardian, if any), and such determination for the purposes of this Agreement shall be conclusive. If such question shall arise and the Executive shall fail to submit to such medical examination, the Company’s determination of the issue shall be binding on the Executive.</w:t>
      </w:r>
    </w:p>
    <w:p>
      <w:pPr>
        <w:spacing w:after="0" w:line="170" w:lineRule="exact"/>
        <w:rPr>
          <w:rFonts w:ascii="Times New Roman" w:cs="Times New Roman" w:eastAsia="Times New Roman" w:hAnsi="Times New Roman"/>
          <w:sz w:val="21"/>
          <w:szCs w:val="21"/>
          <w:color w:val="auto"/>
        </w:rPr>
      </w:pPr>
    </w:p>
    <w:p>
      <w:pPr>
        <w:jc w:val="both"/>
        <w:ind w:right="20" w:firstLine="1913"/>
        <w:spacing w:after="0" w:line="244" w:lineRule="auto"/>
        <w:tabs>
          <w:tab w:leader="none" w:pos="259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 for Cause</w:t>
      </w:r>
      <w:r>
        <w:rPr>
          <w:rFonts w:ascii="Times New Roman" w:cs="Times New Roman" w:eastAsia="Times New Roman" w:hAnsi="Times New Roman"/>
          <w:sz w:val="22"/>
          <w:szCs w:val="22"/>
          <w:color w:val="auto"/>
        </w:rPr>
        <w:t>. The Company may terminate the Executive’s employment hereunder for Cause at any time upon delivery of written notice to the Executive. The following, as determined in the Company’s reasonable discretion, shall constitute Cause for termination:</w:t>
      </w:r>
    </w:p>
    <w:p>
      <w:pPr>
        <w:spacing w:after="0" w:line="17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failure to perform the Executive’s duties and responsibilities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the Company or any of its Affiliates that are consistent with Executive’s title and authorities;</w:t>
      </w:r>
    </w:p>
    <w:p>
      <w:pPr>
        <w:spacing w:after="0" w:line="182" w:lineRule="exact"/>
        <w:rPr>
          <w:rFonts w:ascii="Times New Roman" w:cs="Times New Roman" w:eastAsia="Times New Roman" w:hAnsi="Times New Roman"/>
          <w:sz w:val="21"/>
          <w:szCs w:val="21"/>
          <w:color w:val="auto"/>
        </w:rPr>
      </w:pPr>
    </w:p>
    <w:p>
      <w:pPr>
        <w:jc w:val="both"/>
        <w:ind w:firstLine="2600"/>
        <w:spacing w:after="0" w:line="244" w:lineRule="auto"/>
        <w:tabs>
          <w:tab w:leader="none" w:pos="324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material breach of any of the provisions of this Agreement or any other written agreement between the Executive and the Company or any of its Affiliates, resulting in material harm to the Company or any of its 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9" w:name="page170"/>
    <w:bookmarkEnd w:id="169"/>
    <w:p>
      <w:pPr>
        <w:ind w:firstLine="2600"/>
        <w:spacing w:after="0" w:line="259" w:lineRule="auto"/>
        <w:tabs>
          <w:tab w:leader="none" w:pos="32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material breach of any fiduciary duty that the Executive has to the Company or any of its Affiliates;</w:t>
      </w:r>
    </w:p>
    <w:p>
      <w:pPr>
        <w:spacing w:after="0" w:line="15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gross negligence, intentional misconduct or unethical or improper behavior by the Executive resulting in material harm to the business, interests or reputation of the Company or any of its Affiliates;</w:t>
      </w:r>
    </w:p>
    <w:p>
      <w:pPr>
        <w:spacing w:after="0" w:line="173" w:lineRule="exact"/>
        <w:rPr>
          <w:rFonts w:ascii="Times New Roman" w:cs="Times New Roman" w:eastAsia="Times New Roman" w:hAnsi="Times New Roman"/>
          <w:sz w:val="22"/>
          <w:szCs w:val="22"/>
          <w:color w:val="auto"/>
        </w:rPr>
      </w:pPr>
    </w:p>
    <w:p>
      <w:pPr>
        <w:ind w:right="20" w:firstLine="2600"/>
        <w:spacing w:after="0" w:line="258" w:lineRule="auto"/>
        <w:tabs>
          <w:tab w:leader="none" w:pos="32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intentional or willful failure to comply with applicable PACE, Medicare or Medicaid rules or regulations;</w:t>
      </w:r>
    </w:p>
    <w:p>
      <w:pPr>
        <w:spacing w:after="0" w:line="158"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failure to comply with the Company’s Code of Conduct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Compliance Program;</w:t>
      </w:r>
    </w:p>
    <w:p>
      <w:pPr>
        <w:spacing w:after="0" w:line="18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commission of a felony or any other crime involving moral</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turpitude; or</w:t>
      </w:r>
    </w:p>
    <w:p>
      <w:pPr>
        <w:spacing w:after="0" w:line="182" w:lineRule="exact"/>
        <w:rPr>
          <w:rFonts w:ascii="Times New Roman" w:cs="Times New Roman" w:eastAsia="Times New Roman" w:hAnsi="Times New Roman"/>
          <w:sz w:val="21"/>
          <w:szCs w:val="21"/>
          <w:color w:val="auto"/>
        </w:rPr>
      </w:pPr>
    </w:p>
    <w:p>
      <w:pPr>
        <w:jc w:val="both"/>
        <w:ind w:right="20" w:firstLine="2600"/>
        <w:spacing w:after="0" w:line="244" w:lineRule="auto"/>
        <w:tabs>
          <w:tab w:leader="none" w:pos="32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commission of conduct involving fraud, embezzlement, sexual harassment, material misappropriation of property or other substantial misconduct with respect to the Company or any of its Affiliates.</w:t>
      </w:r>
    </w:p>
    <w:p>
      <w:pPr>
        <w:spacing w:after="0" w:line="173" w:lineRule="exact"/>
        <w:rPr>
          <w:sz w:val="20"/>
          <w:szCs w:val="20"/>
          <w:color w:val="auto"/>
        </w:rPr>
      </w:pPr>
    </w:p>
    <w:p>
      <w:pPr>
        <w:jc w:val="both"/>
        <w:ind w:left="100" w:hanging="3"/>
        <w:spacing w:after="0" w:line="234" w:lineRule="auto"/>
        <w:rPr>
          <w:sz w:val="20"/>
          <w:szCs w:val="20"/>
          <w:color w:val="auto"/>
        </w:rPr>
      </w:pPr>
      <w:r>
        <w:rPr>
          <w:rFonts w:ascii="Times New Roman" w:cs="Times New Roman" w:eastAsia="Times New Roman" w:hAnsi="Times New Roman"/>
          <w:sz w:val="22"/>
          <w:szCs w:val="22"/>
          <w:color w:val="auto"/>
        </w:rPr>
        <w:t xml:space="preserve">Any termination of the Executive’s employment for bases set forth in clauses (i) - (iii) and (vi) shall not constitute a termination for Cause unless the Company shall have provided written notice to the Executive no later than fifteen (15) days after the Board first obtained actual knowledge of the Executive’s act or omission constituting Cause, setting forth in reasonable detail such acts or omissions, and the Executive shall have failed to cure (to the extent capable of cure) such acts or omissions within fifteen (15) days following receipt of written notice. In the event of a termination of the Executive’s employment hereunder for Cause, the Company shall have no further obligation or liability to the Executive under this Agreement, other than for any Final Compensation (excluding the Prior Year Bonus) due to the Executive. Other than business expenses described in </w:t>
      </w:r>
      <w:r>
        <w:rPr>
          <w:rFonts w:ascii="Times New Roman" w:cs="Times New Roman" w:eastAsia="Times New Roman" w:hAnsi="Times New Roman"/>
          <w:sz w:val="22"/>
          <w:szCs w:val="22"/>
          <w:u w:val="single" w:color="auto"/>
          <w:color w:val="auto"/>
        </w:rPr>
        <w:t>Section 5(a)(iii)</w:t>
      </w:r>
      <w:r>
        <w:rPr>
          <w:rFonts w:ascii="Times New Roman" w:cs="Times New Roman" w:eastAsia="Times New Roman" w:hAnsi="Times New Roman"/>
          <w:sz w:val="22"/>
          <w:szCs w:val="22"/>
          <w:color w:val="auto"/>
        </w:rPr>
        <w:t>, Final Compensation shall be paid to the Executive at the time prescribed by applicable law and in all events within thirty (30) days following the date of termination of employment.</w:t>
      </w:r>
    </w:p>
    <w:p>
      <w:pPr>
        <w:spacing w:after="0" w:line="179" w:lineRule="exact"/>
        <w:rPr>
          <w:sz w:val="20"/>
          <w:szCs w:val="20"/>
          <w:color w:val="auto"/>
        </w:rPr>
      </w:pPr>
    </w:p>
    <w:p>
      <w:pPr>
        <w:jc w:val="both"/>
        <w:ind w:firstLine="1913"/>
        <w:spacing w:after="0" w:line="245" w:lineRule="auto"/>
        <w:tabs>
          <w:tab w:leader="none" w:pos="2592"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By the Company Other Than for Cause</w:t>
      </w:r>
      <w:r>
        <w:rPr>
          <w:rFonts w:ascii="Times New Roman" w:cs="Times New Roman" w:eastAsia="Times New Roman" w:hAnsi="Times New Roman"/>
          <w:sz w:val="21"/>
          <w:szCs w:val="21"/>
          <w:color w:val="auto"/>
        </w:rPr>
        <w:t>. The Company may terminate the Executive’s employment hereunder other than for Cause at any time upon thirty (30) days’ prior written notice to the Executive. If the Company terminates the Executive’s employment other than for Cause after the Effective Date, then in addition to any Final Compensation due to the Executive, the Company will (i) pay to the Executive severance pay, at the same rate as the Base Salary, for a period of twelve (12) months following the date of termination of the Executive’s employment, (ii) pay to the Executive an amount equal to the Executive’s Target Bonus (clauses (i) and (ii), collectively, the “</w:t>
      </w:r>
      <w:r>
        <w:rPr>
          <w:rFonts w:ascii="Times New Roman" w:cs="Times New Roman" w:eastAsia="Times New Roman" w:hAnsi="Times New Roman"/>
          <w:sz w:val="21"/>
          <w:szCs w:val="21"/>
          <w:u w:val="single" w:color="auto"/>
          <w:color w:val="auto"/>
        </w:rPr>
        <w:t>Severance Payments</w:t>
      </w:r>
      <w:r>
        <w:rPr>
          <w:rFonts w:ascii="Times New Roman" w:cs="Times New Roman" w:eastAsia="Times New Roman" w:hAnsi="Times New Roman"/>
          <w:sz w:val="21"/>
          <w:szCs w:val="21"/>
          <w:color w:val="auto"/>
        </w:rPr>
        <w:t>”) and (iii) continue to pay, on the Executive’s behalf, the premiums required to be paid for the Executive’s continued participation in the Company’s health care benefit plan, including existing spousal or family health care coverage, if selected, for a period of twelve (12) months following termination, unless the Executive becomes employed by another company and eligible for coverage under such company’s group health care plans, and in such instance, future payment for the health insurance premiums will cease (the “</w:t>
      </w:r>
      <w:r>
        <w:rPr>
          <w:rFonts w:ascii="Times New Roman" w:cs="Times New Roman" w:eastAsia="Times New Roman" w:hAnsi="Times New Roman"/>
          <w:sz w:val="21"/>
          <w:szCs w:val="21"/>
          <w:u w:val="single" w:color="auto"/>
          <w:color w:val="auto"/>
        </w:rPr>
        <w:t>Healthcare Payments</w:t>
      </w:r>
      <w:r>
        <w:rPr>
          <w:rFonts w:ascii="Times New Roman" w:cs="Times New Roman" w:eastAsia="Times New Roman" w:hAnsi="Times New Roman"/>
          <w:sz w:val="21"/>
          <w:szCs w:val="21"/>
          <w:color w:val="auto"/>
        </w:rPr>
        <w:t>” and, collectively with the Severance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0" w:name="page171"/>
    <w:bookmarkEnd w:id="170"/>
    <w:p>
      <w:pPr>
        <w:jc w:val="both"/>
        <w:spacing w:after="0" w:line="23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Other than business expenses described in </w:t>
      </w:r>
      <w:r>
        <w:rPr>
          <w:rFonts w:ascii="Times New Roman" w:cs="Times New Roman" w:eastAsia="Times New Roman" w:hAnsi="Times New Roman"/>
          <w:sz w:val="22"/>
          <w:szCs w:val="22"/>
          <w:u w:val="single" w:color="auto"/>
          <w:color w:val="auto"/>
        </w:rPr>
        <w:t>Section 5(a)(iii)</w:t>
      </w:r>
      <w:r>
        <w:rPr>
          <w:rFonts w:ascii="Times New Roman" w:cs="Times New Roman" w:eastAsia="Times New Roman" w:hAnsi="Times New Roman"/>
          <w:sz w:val="22"/>
          <w:szCs w:val="22"/>
          <w:color w:val="auto"/>
        </w:rPr>
        <w:t xml:space="preserve">, Final Compensation shall be paid to the Executive at the time prescribed by applicable law and in all events within thirty (30) days following the date of termination of employment. Any obligation of the Company to provide the Severance Benefits is conditioned, however, on the Executive signing and returning to the Company (without revoking) a timely and effective general release of claims in substantially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 Claims</w:t>
      </w:r>
      <w:r>
        <w:rPr>
          <w:rFonts w:ascii="Times New Roman" w:cs="Times New Roman" w:eastAsia="Times New Roman" w:hAnsi="Times New Roman"/>
          <w:sz w:val="22"/>
          <w:szCs w:val="22"/>
          <w:color w:val="auto"/>
        </w:rPr>
        <w:t>”), all of which (including the lapse of the period for revoking the Release of Claims as specified in the Release of Claims) shall have occurred no later than the sixtieth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following the date of termination, and on the Executive’s continued compliance with the obligations of the Executive to the Company and its Affiliates that survive termination of the Executive’s employment, including, without limitation, under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of this Agreement. Subject to </w:t>
      </w:r>
      <w:r>
        <w:rPr>
          <w:rFonts w:ascii="Times New Roman" w:cs="Times New Roman" w:eastAsia="Times New Roman" w:hAnsi="Times New Roman"/>
          <w:sz w:val="22"/>
          <w:szCs w:val="22"/>
          <w:u w:val="single" w:color="auto"/>
          <w:color w:val="auto"/>
        </w:rPr>
        <w:t>Section 5(g)</w:t>
      </w:r>
      <w:r>
        <w:rPr>
          <w:rFonts w:ascii="Times New Roman" w:cs="Times New Roman" w:eastAsia="Times New Roman" w:hAnsi="Times New Roman"/>
          <w:sz w:val="22"/>
          <w:szCs w:val="22"/>
          <w:color w:val="auto"/>
        </w:rPr>
        <w:t xml:space="preserve"> below, (A) the Severance Payments to which the Executive is entitled hereunder shall be in the form of salary continuation, payable in accordance with the normal payroll practices of the Company, and (B) the Healthcare Payments shall be paid monthly, and in both cases of (A) and (B), with the first payment, which shall be retroactive to the day immediately following the date on which the Executive’s employment terminated, being due and payable on the Company’s next regular payday for executives that follows the expiration of sixty (60) calendar days from the date on which the Executive’s employment terminates. Notwithstanding the foregoing, in the event the Healthcare Payments would, in the determination of the Board or its delegate, subject the Executive, the Company or any of its Affiliates to any tax or penalty under the Patient Protection and Affordable Care Act (as amended from time to time, the “</w:t>
      </w:r>
      <w:r>
        <w:rPr>
          <w:rFonts w:ascii="Times New Roman" w:cs="Times New Roman" w:eastAsia="Times New Roman" w:hAnsi="Times New Roman"/>
          <w:sz w:val="22"/>
          <w:szCs w:val="22"/>
          <w:u w:val="single" w:color="auto"/>
          <w:color w:val="auto"/>
        </w:rPr>
        <w:t>ACA</w:t>
      </w:r>
      <w:r>
        <w:rPr>
          <w:rFonts w:ascii="Times New Roman" w:cs="Times New Roman" w:eastAsia="Times New Roman" w:hAnsi="Times New Roman"/>
          <w:sz w:val="22"/>
          <w:szCs w:val="22"/>
          <w:color w:val="auto"/>
        </w:rPr>
        <w:t>”) or Section 105(h) of the Internal Revenue Code of 1986, as amended (“</w:t>
      </w:r>
      <w:r>
        <w:rPr>
          <w:rFonts w:ascii="Times New Roman" w:cs="Times New Roman" w:eastAsia="Times New Roman" w:hAnsi="Times New Roman"/>
          <w:sz w:val="22"/>
          <w:szCs w:val="22"/>
          <w:u w:val="single" w:color="auto"/>
          <w:color w:val="auto"/>
        </w:rPr>
        <w:t>Section 105(h)</w:t>
      </w:r>
      <w:r>
        <w:rPr>
          <w:rFonts w:ascii="Times New Roman" w:cs="Times New Roman" w:eastAsia="Times New Roman" w:hAnsi="Times New Roman"/>
          <w:sz w:val="22"/>
          <w:szCs w:val="22"/>
          <w:color w:val="auto"/>
        </w:rPr>
        <w:t>”), or applicable regulations or guidance issued under the ACA or Section 105(h), the Healthcare Payments shall be treated as taxable payments and be subject to imputed income tax treatment to the extent necessary to eliminate any such adverse consequences under the ACA or Section 105(h).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-2497455</wp:posOffset>
            </wp:positionV>
            <wp:extent cx="342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3" w:lineRule="exact"/>
        <w:rPr>
          <w:sz w:val="20"/>
          <w:szCs w:val="20"/>
          <w:color w:val="auto"/>
        </w:rPr>
      </w:pPr>
    </w:p>
    <w:p>
      <w:pPr>
        <w:jc w:val="both"/>
        <w:ind w:firstLine="1913"/>
        <w:spacing w:after="0" w:line="235" w:lineRule="auto"/>
        <w:tabs>
          <w:tab w:leader="none" w:pos="259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Executive for Good Reason</w:t>
      </w:r>
      <w:r>
        <w:rPr>
          <w:rFonts w:ascii="Times New Roman" w:cs="Times New Roman" w:eastAsia="Times New Roman" w:hAnsi="Times New Roman"/>
          <w:sz w:val="22"/>
          <w:szCs w:val="22"/>
          <w:color w:val="auto"/>
        </w:rPr>
        <w:t>. The Executive may terminate the Executive’s employment hereunder for Good Reason by providing (1) written notice to the Company, specifying in reasonable detail the condition giving rise to the Good Reason, no later than the thirtieth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day following the first occurrence of that condition, and (2) the Company a period of thirty (30) days in which to remedy the condition in all material respects. The Executive’s termination of employment for Good Reason will be effective on the thirty-first (31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calendar day following the expiration of the Company’s period to remedy, if the Company has failed to remedy the condition in all material respects. The following, if occurring without the Executive’s written consent, shall constitute “Good Reason” for termination by the Executive:</w:t>
      </w:r>
    </w:p>
    <w:p>
      <w:pPr>
        <w:spacing w:after="0" w:line="178"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Executive’s Base Salary (unless such reduction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affects all similarly situated employees of the Company on a proportionate basis);</w:t>
      </w:r>
    </w:p>
    <w:p>
      <w:pPr>
        <w:spacing w:after="0" w:line="182"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that the Executive relocate to a location more than fifty (50) miles from Simsbury, Connecticut where the Executive is providing services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relocation shall not include the Executive’s travel for business in the course of performing the Executive’s duties for the Company or any of its Affiliates);</w:t>
      </w:r>
    </w:p>
    <w:p>
      <w:pPr>
        <w:spacing w:after="0" w:line="180" w:lineRule="exact"/>
        <w:rPr>
          <w:rFonts w:ascii="Times New Roman" w:cs="Times New Roman" w:eastAsia="Times New Roman" w:hAnsi="Times New Roman"/>
          <w:sz w:val="22"/>
          <w:szCs w:val="22"/>
          <w:color w:val="auto"/>
        </w:rPr>
      </w:pPr>
    </w:p>
    <w:p>
      <w:pPr>
        <w:ind w:right="20" w:firstLine="2600"/>
        <w:spacing w:after="0" w:line="282" w:lineRule="auto"/>
        <w:tabs>
          <w:tab w:leader="none" w:pos="3240"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nature or scope of the Executive’s duties, authority and/or responsibilities, which for the sake of clarity, does not include a change of reporting structure;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1" w:name="page172"/>
    <w:bookmarkEnd w:id="171"/>
    <w:p>
      <w:pPr>
        <w:ind w:left="3240" w:hanging="640"/>
        <w:spacing w:after="0"/>
        <w:tabs>
          <w:tab w:leader="none" w:pos="324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by the Company of (A) any of the terms of this Agreement</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(B) any other material written agreement between the Company and the Executive.</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In the event of termination of the Executive’s employment in accordance with this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xml:space="preserve">, the Executive will be entitled to all amounts the Executive would have been entitled to receive had the Executive’s employment been terminated by the Company other than for Cause pursuant to </w:t>
      </w:r>
      <w:r>
        <w:rPr>
          <w:rFonts w:ascii="Times New Roman" w:cs="Times New Roman" w:eastAsia="Times New Roman" w:hAnsi="Times New Roman"/>
          <w:sz w:val="22"/>
          <w:szCs w:val="22"/>
          <w:u w:val="single" w:color="auto"/>
          <w:color w:val="auto"/>
        </w:rPr>
        <w:t>Section 5(d)</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signs and returns (without revoking) a timely and effective Release of Claims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5(d)</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913"/>
        <w:spacing w:after="0" w:line="235" w:lineRule="auto"/>
        <w:tabs>
          <w:tab w:leader="none" w:pos="259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Executive without Good Reason</w:t>
      </w:r>
      <w:r>
        <w:rPr>
          <w:rFonts w:ascii="Times New Roman" w:cs="Times New Roman" w:eastAsia="Times New Roman" w:hAnsi="Times New Roman"/>
          <w:sz w:val="22"/>
          <w:szCs w:val="22"/>
          <w:color w:val="auto"/>
        </w:rPr>
        <w:t xml:space="preserve">. The Executive may terminate the Executive’s employment hereunder without Good Reason at any time upon sixty (60) days’ prior written notice to the Company. In the event of termination of the Executive’s employment in accordance with this </w:t>
      </w:r>
      <w:r>
        <w:rPr>
          <w:rFonts w:ascii="Times New Roman" w:cs="Times New Roman" w:eastAsia="Times New Roman" w:hAnsi="Times New Roman"/>
          <w:sz w:val="22"/>
          <w:szCs w:val="22"/>
          <w:u w:val="single" w:color="auto"/>
          <w:color w:val="auto"/>
        </w:rPr>
        <w:t>Section 5(f)</w:t>
      </w:r>
      <w:r>
        <w:rPr>
          <w:rFonts w:ascii="Times New Roman" w:cs="Times New Roman" w:eastAsia="Times New Roman" w:hAnsi="Times New Roman"/>
          <w:sz w:val="22"/>
          <w:szCs w:val="22"/>
          <w:color w:val="auto"/>
        </w:rPr>
        <w:t xml:space="preserve">, the Chief Executive Officer may elect to waive the period of notice, or any portion thereof, and, if the Chief Executive Officer so elects, the Company will pay the Executive the Base Salary for the period so waived. The Company shall also pay the Executive any Final Compensation due to the Executive (other than business expenses described in </w:t>
      </w:r>
      <w:r>
        <w:rPr>
          <w:rFonts w:ascii="Times New Roman" w:cs="Times New Roman" w:eastAsia="Times New Roman" w:hAnsi="Times New Roman"/>
          <w:sz w:val="22"/>
          <w:szCs w:val="22"/>
          <w:u w:val="single" w:color="auto"/>
          <w:color w:val="auto"/>
        </w:rPr>
        <w:t>Section 5(a)(iii)</w:t>
      </w:r>
      <w:r>
        <w:rPr>
          <w:rFonts w:ascii="Times New Roman" w:cs="Times New Roman" w:eastAsia="Times New Roman" w:hAnsi="Times New Roman"/>
          <w:sz w:val="22"/>
          <w:szCs w:val="22"/>
          <w:color w:val="auto"/>
        </w:rPr>
        <w:t>) at the time prescribed by applicable law and in all events within thirty (30) days following the date of the termination of employment.</w:t>
      </w:r>
    </w:p>
    <w:p>
      <w:pPr>
        <w:spacing w:after="0" w:line="178" w:lineRule="exact"/>
        <w:rPr>
          <w:rFonts w:ascii="Times New Roman" w:cs="Times New Roman" w:eastAsia="Times New Roman" w:hAnsi="Times New Roman"/>
          <w:sz w:val="22"/>
          <w:szCs w:val="22"/>
          <w:color w:val="auto"/>
        </w:rPr>
      </w:pPr>
    </w:p>
    <w:p>
      <w:pPr>
        <w:ind w:left="2600" w:hanging="687"/>
        <w:spacing w:after="0"/>
        <w:tabs>
          <w:tab w:leader="none" w:pos="26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Payments and 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600"/>
        <w:spacing w:after="0" w:line="233" w:lineRule="auto"/>
        <w:tabs>
          <w:tab w:leader="none" w:pos="324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if, at the time of the Executive’s termination of employment, the Executive is a “specified employee,” as defined below, any and all amounts payable under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on account of such separation from service that constitute deferred compensation, and would (but for this provision) be payable within six (6) months following the date of termination, shall instead be paid on the next business day following the expiration of such six (6)-month period or, if earlier, upon the Executive’s death; except (A) with respect to any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that qualify as excepted welfare benefits pursuant to Treasury Regulation Section 1.409A-1(a)(5); and (C) other amounts or benefits that are not subject to the requirements of Section 409A of the Internal Revenue Code of 1986, as amended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jc w:val="both"/>
        <w:ind w:firstLine="2600"/>
        <w:spacing w:after="0" w:line="238" w:lineRule="auto"/>
        <w:tabs>
          <w:tab w:leader="none" w:pos="324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176"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made under this Agreement shall be treated as a separate payment, and the right to a series of installment payments under this Agreement is to be treated as a right to a series of separate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2" w:name="page173"/>
    <w:bookmarkEnd w:id="172"/>
    <w:p>
      <w:pPr>
        <w:jc w:val="both"/>
        <w:ind w:firstLine="2600"/>
        <w:spacing w:after="0" w:line="235" w:lineRule="auto"/>
        <w:tabs>
          <w:tab w:leader="none" w:pos="32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of, or reimbursement for, expenses that would constitute nonqualified deferred compensation subject to Section 409A shall be subject to the following additional rules: (A) no reimbursement or payment of any such expense shall affect the Executive’s right to reimbursement or payment of any such expense in any other calendar year; (B) reimbursement or payment of the expense shall be made, if at all, promptly, but not later than the end of the calendar year following the calendar year in which the expense was incurred; and (C) the right to reimbursement or payment shall not be subject to liquidation or exchange for any other benefit.</w:t>
      </w:r>
    </w:p>
    <w:p>
      <w:pPr>
        <w:sectPr>
          <w:pgSz w:w="11900" w:h="16838" w:orient="portrait"/>
          <w:cols w:equalWidth="0" w:num="1">
            <w:col w:w="9920"/>
          </w:cols>
          <w:pgMar w:left="980" w:top="112" w:right="999" w:bottom="1440" w:gutter="0" w:footer="0" w:header="0"/>
        </w:sectPr>
      </w:pPr>
    </w:p>
    <w:p>
      <w:pPr>
        <w:spacing w:after="0" w:line="18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(v)</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alleged failure of any payment</w:t>
      </w:r>
    </w:p>
    <w:p>
      <w:pPr>
        <w:spacing w:after="0"/>
        <w:rPr>
          <w:sz w:val="20"/>
          <w:szCs w:val="20"/>
          <w:color w:val="auto"/>
        </w:rPr>
      </w:pPr>
      <w:r>
        <w:rPr>
          <w:rFonts w:ascii="Times New Roman" w:cs="Times New Roman" w:eastAsia="Times New Roman" w:hAnsi="Times New Roman"/>
          <w:sz w:val="22"/>
          <w:szCs w:val="22"/>
          <w:color w:val="auto"/>
        </w:rPr>
        <w:t>requirements of Section 409A.</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firstLine="249"/>
        <w:spacing w:after="0" w:line="258" w:lineRule="auto"/>
        <w:rPr>
          <w:sz w:val="20"/>
          <w:szCs w:val="20"/>
          <w:color w:val="auto"/>
        </w:rPr>
      </w:pPr>
      <w:r>
        <w:rPr>
          <w:rFonts w:ascii="Times New Roman" w:cs="Times New Roman" w:eastAsia="Times New Roman" w:hAnsi="Times New Roman"/>
          <w:sz w:val="22"/>
          <w:szCs w:val="22"/>
          <w:color w:val="auto"/>
        </w:rPr>
        <w:t>In no event shall the Company have any liability relating to the failure or or benefit under this Agreement to comply with, or be exempt from, the</w:t>
      </w:r>
    </w:p>
    <w:p>
      <w:pPr>
        <w:spacing w:after="0" w:line="401" w:lineRule="exact"/>
        <w:rPr>
          <w:sz w:val="20"/>
          <w:szCs w:val="20"/>
          <w:color w:val="auto"/>
        </w:rPr>
      </w:pPr>
    </w:p>
    <w:p>
      <w:pPr>
        <w:sectPr>
          <w:pgSz w:w="11900" w:h="16838" w:orient="portrait"/>
          <w:cols w:equalWidth="0" w:num="2">
            <w:col w:w="2880" w:space="120"/>
            <w:col w:w="6920"/>
          </w:cols>
          <w:pgMar w:left="980" w:top="112" w:right="999" w:bottom="1440" w:gutter="0" w:footer="0" w:header="0"/>
          <w:type w:val="continuous"/>
        </w:sectPr>
      </w:pPr>
    </w:p>
    <w:p>
      <w:pPr>
        <w:jc w:val="both"/>
        <w:ind w:firstLine="1913"/>
        <w:spacing w:after="0" w:line="235" w:lineRule="auto"/>
        <w:tabs>
          <w:tab w:leader="none" w:pos="2592"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Right to Severance</w:t>
      </w:r>
      <w:r>
        <w:rPr>
          <w:rFonts w:ascii="Times New Roman" w:cs="Times New Roman" w:eastAsia="Times New Roman" w:hAnsi="Times New Roman"/>
          <w:sz w:val="22"/>
          <w:szCs w:val="22"/>
          <w:color w:val="auto"/>
        </w:rPr>
        <w:t>. The Executive agrees that the Severance Benefits to be provided to the Executive in accordance with the terms and conditions set forth in this Agreement are intended to be exclusive. The Executive hereby knowingly and voluntarily waives any right she might otherwise have to participate in or receive payments or benefits under any other plan, program or policy of the Company providing for severance or termination pay or other termination benefits (other than any benefits payable pursuant to a long-term disability or other similar insurance program, which shall be governed by the terms and provisions of the applicable plan or program).</w:t>
      </w:r>
    </w:p>
    <w:p>
      <w:pPr>
        <w:spacing w:after="0" w:line="18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apply to any termination of the Executive’s employment under this Agreement, whether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or otherwise.</w:t>
      </w:r>
    </w:p>
    <w:p>
      <w:pPr>
        <w:spacing w:after="0" w:line="158" w:lineRule="exact"/>
        <w:rPr>
          <w:rFonts w:ascii="Times New Roman" w:cs="Times New Roman" w:eastAsia="Times New Roman" w:hAnsi="Times New Roman"/>
          <w:sz w:val="22"/>
          <w:szCs w:val="22"/>
          <w:color w:val="auto"/>
        </w:rPr>
      </w:pPr>
    </w:p>
    <w:p>
      <w:pPr>
        <w:jc w:val="both"/>
        <w:ind w:firstLine="1913"/>
        <w:spacing w:after="0" w:line="244" w:lineRule="auto"/>
        <w:tabs>
          <w:tab w:leader="none" w:pos="259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Provision by the Company of Final Compensation and Severance Benefits, if any, that are due to the Executive, in each case, under the applicable termination provisions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shall constitute the entire obligation of the Company to the Executive under this Agreement.</w:t>
      </w:r>
    </w:p>
    <w:p>
      <w:pPr>
        <w:spacing w:after="0" w:line="173" w:lineRule="exact"/>
        <w:rPr>
          <w:rFonts w:ascii="Times New Roman" w:cs="Times New Roman" w:eastAsia="Times New Roman" w:hAnsi="Times New Roman"/>
          <w:sz w:val="22"/>
          <w:szCs w:val="22"/>
          <w:color w:val="auto"/>
        </w:rPr>
      </w:pPr>
    </w:p>
    <w:p>
      <w:pPr>
        <w:jc w:val="both"/>
        <w:ind w:firstLine="1913"/>
        <w:spacing w:after="0" w:line="236" w:lineRule="auto"/>
        <w:tabs>
          <w:tab w:leader="none" w:pos="259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any right of the Executive to continue group health plan participation in accordance with applicable law, the Executive’s participation in all Employee Benefit Plans shall terminate pursuant to the terms of the applicable Employee Benefit Plan documents based on the date of termination of the Executive’s employment, without regard to any Base Salary for notice waived pursuant to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xml:space="preserve"> hereof or to any Severance Benefits or other payment made to or on behalf of the Executive following such termination date.</w:t>
      </w:r>
    </w:p>
    <w:p>
      <w:pPr>
        <w:spacing w:after="0" w:line="181" w:lineRule="exact"/>
        <w:rPr>
          <w:rFonts w:ascii="Times New Roman" w:cs="Times New Roman" w:eastAsia="Times New Roman" w:hAnsi="Times New Roman"/>
          <w:sz w:val="22"/>
          <w:szCs w:val="22"/>
          <w:color w:val="auto"/>
        </w:rPr>
      </w:pPr>
    </w:p>
    <w:p>
      <w:pPr>
        <w:jc w:val="both"/>
        <w:ind w:firstLine="1913"/>
        <w:spacing w:after="0" w:line="236" w:lineRule="auto"/>
        <w:tabs>
          <w:tab w:leader="none" w:pos="259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Provisions of this Agreement shall survive any termination of the Executive’s employment if so provided herein or if necessary or desirable fully to accomplish the purposes of other surviving provisions, including, without limitation, the obligations of the Executive under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The obligation of the Company to provide Severance Benefits hereunder, and the Executive’s right to retain such payments, is expressly conditioned on the Executive’s continued full performance in accordance with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type w:val="continuous"/>
        </w:sectPr>
      </w:pPr>
    </w:p>
    <w:bookmarkStart w:id="173" w:name="page174"/>
    <w:bookmarkEnd w:id="173"/>
    <w:p>
      <w:pPr>
        <w:ind w:left="1960" w:hanging="656"/>
        <w:spacing w:after="0"/>
        <w:tabs>
          <w:tab w:leader="none" w:pos="19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13"/>
        <w:spacing w:after="0" w:line="243" w:lineRule="auto"/>
        <w:tabs>
          <w:tab w:leader="none" w:pos="2592"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 acknowledges that the Company and its Affiliates continually develop Confidential Information, that the Executive will develop Confidential Information for the Company or its Affiliates and that the Executive will learn of Confidential Information during the course of the Executive’s employment. The Executive agrees that all Confidential Information which the Executive creates or to which she has access as a result of the Executive’s employment or other associations with the Company or any of its Affiliates since the Effective Date is and shall remain the sole and exclusive property of the Company or its Affiliate, as applicable. The Executive shall comply with the policies and procedures of the Company and its Affiliates for protecting Confidential Information and shall never disclose to any Person (except as required by applicable law or for the proper performance of the Executive’s duties and responsibilities to the Company and its Affiliates), or use for the Executive’s own benefit or gain or the benefit or gain of any other Person, any Confidential Information obtained by the Executive incident to the Executive’s employment or any other association with the Company or any of its Affiliates. The Executive understands that this restriction shall continue to apply after the Executive’s employment terminates, regardless of the reason for such termination. Further, the Executive agrees to furnish prompt notice to the Company of any required disclosure of Confidential Information sought pursuant to subpoena, court order or any other legal process or requirement, and agrees to provide the Company a reasonable opportunity to seek protection of the Confidential Information prior to any such disclosure. The confidentiality obligation under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shall not apply to information that has become generally known through no wrongful act on the part of the Executive or any other Person having an obligation of confidentiality to the Company or any of its Affiliates. For the avoidance of doubt, the Executive acknowledges that nothing contained herein limits, restricts or in any other way affects the Executives’s communicating with any governmental agency or entity, or communicating with any official or staff person of a governmental agency or entity, concerning matters relevant to the governmental agency or entity.</w:t>
      </w:r>
    </w:p>
    <w:p>
      <w:pPr>
        <w:spacing w:after="0" w:line="200" w:lineRule="exact"/>
        <w:rPr>
          <w:rFonts w:ascii="Times New Roman" w:cs="Times New Roman" w:eastAsia="Times New Roman" w:hAnsi="Times New Roman"/>
          <w:sz w:val="21"/>
          <w:szCs w:val="21"/>
          <w:color w:val="auto"/>
        </w:rPr>
      </w:pPr>
    </w:p>
    <w:p>
      <w:pPr>
        <w:spacing w:after="0" w:line="227" w:lineRule="exact"/>
        <w:rPr>
          <w:rFonts w:ascii="Times New Roman" w:cs="Times New Roman" w:eastAsia="Times New Roman" w:hAnsi="Times New Roman"/>
          <w:sz w:val="21"/>
          <w:szCs w:val="21"/>
          <w:color w:val="auto"/>
        </w:rPr>
      </w:pPr>
    </w:p>
    <w:p>
      <w:pPr>
        <w:jc w:val="both"/>
        <w:ind w:firstLine="1913"/>
        <w:spacing w:after="0" w:line="244" w:lineRule="auto"/>
        <w:tabs>
          <w:tab w:leader="none" w:pos="2592"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documents, records, tapes and other media of every kind and description relating to the business, present or otherwise, of the Company or any of its Affiliates and any copies or derivatives (including, without limitation, electronic), in whole or in part, thereof (the “</w:t>
      </w: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21"/>
          <w:szCs w:val="21"/>
          <w:color w:val="auto"/>
        </w:rPr>
        <w:t>”), whether or not prepared by the Executive, shall be the sole and exclusive property of the Company and its Affiliates. Except as necessary for the proper performance of the Executive’s regular duties for the Company or as expressly authorized in writing in advance by the Company or its expressly authorized designee, the Executive will not copy any Documents or remove any Documents or copies or derivatives thereof from the premises of the Company. The Executive shall safeguard all Documents and shall surrender to the Company, at the time the Executive’s employment terminates, or at such earlier time or times as the Company or its designee may specify, all Documents and other property of the Company or any of its Affiliates and all documents, records and files of the customers and other Persons with whom the Company or any of its Affiliates does business (collectively, “</w:t>
      </w:r>
      <w:r>
        <w:rPr>
          <w:rFonts w:ascii="Times New Roman" w:cs="Times New Roman" w:eastAsia="Times New Roman" w:hAnsi="Times New Roman"/>
          <w:sz w:val="21"/>
          <w:szCs w:val="21"/>
          <w:u w:val="single" w:color="auto"/>
          <w:color w:val="auto"/>
        </w:rPr>
        <w:t>Third Party Documents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Third Party Document</w:t>
      </w:r>
      <w:r>
        <w:rPr>
          <w:rFonts w:ascii="Times New Roman" w:cs="Times New Roman" w:eastAsia="Times New Roman" w:hAnsi="Times New Roman"/>
          <w:sz w:val="21"/>
          <w:szCs w:val="21"/>
          <w:color w:val="auto"/>
        </w:rPr>
        <w:t xml:space="preserve">”) then in the Executive’s possession or control and not accessible by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Document or Third-Party Document is on electronic media, the Executive may, in lieu of surrendering the Document or Third-Party Document, provide a copy to the Company on electronic media and delete and overwrite all other electronic media copies thereof. The Executive also agrees that, upon request of any duly authorized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4" w:name="page175"/>
    <w:bookmarkEnd w:id="174"/>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Company, the Executive shall disclose all passwords and passcodes necessary or desirable to enable the Company or any of its Affiliates or the Persons with whom the Company or any of its Affiliates do business to obtain access to the Documents and Third-Party Documents.</w:t>
      </w:r>
    </w:p>
    <w:p>
      <w:pPr>
        <w:spacing w:after="0" w:line="174" w:lineRule="exact"/>
        <w:rPr>
          <w:sz w:val="20"/>
          <w:szCs w:val="20"/>
          <w:color w:val="auto"/>
        </w:rPr>
      </w:pPr>
    </w:p>
    <w:p>
      <w:pPr>
        <w:jc w:val="both"/>
        <w:ind w:firstLine="1913"/>
        <w:spacing w:after="0" w:line="233" w:lineRule="auto"/>
        <w:tabs>
          <w:tab w:leader="none" w:pos="259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U.S.C § 1833(b) provides: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187"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of Rights to Intellectual Property</w:t>
      </w:r>
      <w:r>
        <w:rPr>
          <w:rFonts w:ascii="Times New Roman" w:cs="Times New Roman" w:eastAsia="Times New Roman" w:hAnsi="Times New Roman"/>
          <w:sz w:val="21"/>
          <w:szCs w:val="21"/>
          <w:color w:val="auto"/>
        </w:rPr>
        <w:t>.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(or as otherwise directed by the Company) and to permit the Company to enforce any patents, copyrights or other proprietary rights to the Intellectual Property. The Executive will not charge the Company for time spent in complying with these obligations. All copyrightable works that the Executive creates shall be considered “work made for hire” and shall, upon creation, be owned exclusively by the Company.</w:t>
      </w:r>
    </w:p>
    <w:p>
      <w:pPr>
        <w:spacing w:after="0" w:line="170" w:lineRule="exact"/>
        <w:rPr>
          <w:rFonts w:ascii="Times New Roman" w:cs="Times New Roman" w:eastAsia="Times New Roman" w:hAnsi="Times New Roman"/>
          <w:sz w:val="21"/>
          <w:szCs w:val="21"/>
          <w:color w:val="auto"/>
        </w:rPr>
      </w:pPr>
    </w:p>
    <w:p>
      <w:pPr>
        <w:jc w:val="both"/>
        <w:ind w:firstLine="1304"/>
        <w:spacing w:after="0" w:line="235" w:lineRule="auto"/>
        <w:tabs>
          <w:tab w:leader="none" w:pos="194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Activities</w:t>
      </w:r>
      <w:r>
        <w:rPr>
          <w:rFonts w:ascii="Times New Roman" w:cs="Times New Roman" w:eastAsia="Times New Roman" w:hAnsi="Times New Roman"/>
          <w:sz w:val="22"/>
          <w:szCs w:val="22"/>
          <w:color w:val="auto"/>
        </w:rPr>
        <w:t>. The Executive acknowledges and agrees that (1) he is an executive or management employee of the Company and is provided access to the Company’s “Trade Secrets,” defined as the whole or any portion or phase of any scientific or technical information, design, process, procedure, formula, improvement, confidential business or financial information, listing of names, addresses, or telephone numbers, or other information relating to the Company which is secret and of value, and (2) the following restrictions on the Executive’s activities during and after employment with the Company are necessary to protect the Company’s Trade Secrets and other legitimate interests of the Company and its Affiliates:</w:t>
      </w:r>
    </w:p>
    <w:p>
      <w:pPr>
        <w:spacing w:after="0" w:line="183" w:lineRule="exact"/>
        <w:rPr>
          <w:rFonts w:ascii="Times New Roman" w:cs="Times New Roman" w:eastAsia="Times New Roman" w:hAnsi="Times New Roman"/>
          <w:sz w:val="22"/>
          <w:szCs w:val="22"/>
          <w:color w:val="auto"/>
        </w:rPr>
      </w:pPr>
    </w:p>
    <w:p>
      <w:pPr>
        <w:jc w:val="both"/>
        <w:ind w:firstLine="1913"/>
        <w:spacing w:after="0" w:line="235" w:lineRule="auto"/>
        <w:tabs>
          <w:tab w:leader="none" w:pos="259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While the Executive is employed by the Company and during the one (1)-year period immediately following termination of the Executive’s employment with the Company for any reason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Executive shall not, directly or indirectly, whether as owner, partner, investor, consultant, agent, employee, independent contractor, co-venturer or otherwise, whether with or without compensation, compete with the Business (as defined below), or any portion of the Business, in the United States of America (the “</w:t>
      </w:r>
      <w:r>
        <w:rPr>
          <w:rFonts w:ascii="Times New Roman" w:cs="Times New Roman" w:eastAsia="Times New Roman" w:hAnsi="Times New Roman"/>
          <w:sz w:val="22"/>
          <w:szCs w:val="22"/>
          <w:u w:val="single" w:color="auto"/>
          <w:color w:val="auto"/>
        </w:rPr>
        <w:t>Restricted Area</w:t>
      </w:r>
      <w:r>
        <w:rPr>
          <w:rFonts w:ascii="Times New Roman" w:cs="Times New Roman" w:eastAsia="Times New Roman" w:hAnsi="Times New Roman"/>
          <w:sz w:val="22"/>
          <w:szCs w:val="22"/>
          <w:color w:val="auto"/>
        </w:rPr>
        <w:t>”) or undertake any planning for any business competitive with all or a portion of the Business in the Restricted Area. Specifically, but without limiting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5" w:name="page176"/>
    <w:bookmarkEnd w:id="175"/>
    <w:p>
      <w:pPr>
        <w:jc w:val="both"/>
        <w:ind w:left="20" w:hanging="11"/>
        <w:spacing w:after="0" w:line="245" w:lineRule="auto"/>
        <w:rPr>
          <w:sz w:val="20"/>
          <w:szCs w:val="20"/>
          <w:color w:val="auto"/>
        </w:rPr>
      </w:pPr>
      <w:r>
        <w:rPr>
          <w:rFonts w:ascii="Times New Roman" w:cs="Times New Roman" w:eastAsia="Times New Roman" w:hAnsi="Times New Roman"/>
          <w:sz w:val="21"/>
          <w:szCs w:val="21"/>
          <w:color w:val="auto"/>
        </w:rPr>
        <w:t xml:space="preserve">the Executive agrees not to work or provide services, in any capacity, whether as an employee, independent contractor or otherwise, whether with or without compensation, to any Person that is engaged in all or any portion of the Business, as conducted or in active planning to be conducted during the Executive’s employment with the Company or, with respect to the portion of the Restricted Period that follows the termination of the Executive’s employment, at the time the Executive’s employment terminates, in the Restricted Area. Notwithstanding the foregoing, nothing in this Agreement shall (A) prevent the Executive from providing services to a consulting firm that provides services to any business that competes with the Business, (B) preclude the Executive from owning up to two percent (2%) of the publicly traded securities of any business or (C) prevent the Executive from providing services to an entity that contains a business that competes with the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is not responsible for (and does not engage or participate in) the day-to-day management, oversight or supervision of such business,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Executive does not have direct supervision over the individual or individuals who are so responsible for such day-to-day management, oversight or supervision.</w:t>
      </w:r>
    </w:p>
    <w:p>
      <w:pPr>
        <w:spacing w:after="0" w:line="174" w:lineRule="exact"/>
        <w:rPr>
          <w:sz w:val="20"/>
          <w:szCs w:val="20"/>
          <w:color w:val="auto"/>
        </w:rPr>
      </w:pPr>
    </w:p>
    <w:p>
      <w:pPr>
        <w:ind w:left="2700" w:hanging="787"/>
        <w:spacing w:after="0"/>
        <w:tabs>
          <w:tab w:leader="none" w:pos="2700"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3"/>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Executive will not directly or indirectly,</w:t>
      </w:r>
    </w:p>
    <w:p>
      <w:pPr>
        <w:spacing w:after="0" w:line="14" w:lineRule="exact"/>
        <w:rPr>
          <w:rFonts w:ascii="Times New Roman" w:cs="Times New Roman" w:eastAsia="Times New Roman" w:hAnsi="Times New Roman"/>
          <w:sz w:val="22"/>
          <w:szCs w:val="22"/>
          <w:color w:val="auto"/>
        </w:rPr>
      </w:pPr>
    </w:p>
    <w:p>
      <w:pPr>
        <w:jc w:val="both"/>
        <w:ind w:firstLine="8"/>
        <w:spacing w:after="0" w:line="241" w:lineRule="auto"/>
        <w:tabs>
          <w:tab w:leader="none" w:pos="40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solicit or encourage any customer of the Company or any of its Affiliates to terminate or diminish its relationship with them; or (B) seek to persuade any such customer or prospective customer of the Company or any of its Affiliates to conduct with anyone else any business or activity which such customer or prospective customer conducts or could conduct with the Company or any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these restrictions shall apply (I) only with respect to any Person who is or has been a customer of the Company or any of its Affiliates at any time within the immediately preceding two (2)-year period or whose business has been solicited on behalf of the Company or any of its Affiliates by any of their officers, employees or agents within such two</w:t>
      </w:r>
    </w:p>
    <w:p>
      <w:pPr>
        <w:spacing w:after="0" w:line="3" w:lineRule="exact"/>
        <w:rPr>
          <w:rFonts w:ascii="Times New Roman" w:cs="Times New Roman" w:eastAsia="Times New Roman" w:hAnsi="Times New Roman"/>
          <w:sz w:val="21"/>
          <w:szCs w:val="21"/>
          <w:color w:val="auto"/>
        </w:rPr>
      </w:pP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(2)-year period, other than by form letter, blanket mailing or published advertisement, and (II) only if the Executive has performed work for such Person during the Executive’s employment with the Company or one of its Affiliates or been introduced to, or otherwise had contact with, such Person as a result of the Executive’s employment or other associations with the Company or one of its Affiliates or has had access to Confidential Information which would assist in the Executive’s solicitation of such Person. Notwithstanding anything in this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 xml:space="preserve"> to the contrary, the Executive may solicit customers and prospective customers for purposes of providing or selling products or services that do not compete with the Business.</w:t>
      </w:r>
    </w:p>
    <w:p>
      <w:pPr>
        <w:spacing w:after="0" w:line="181" w:lineRule="exact"/>
        <w:rPr>
          <w:rFonts w:ascii="Times New Roman" w:cs="Times New Roman" w:eastAsia="Times New Roman" w:hAnsi="Times New Roman"/>
          <w:sz w:val="21"/>
          <w:szCs w:val="21"/>
          <w:color w:val="auto"/>
        </w:rPr>
      </w:pPr>
    </w:p>
    <w:p>
      <w:pPr>
        <w:jc w:val="both"/>
        <w:ind w:firstLine="2600"/>
        <w:spacing w:after="0" w:line="235" w:lineRule="auto"/>
        <w:tabs>
          <w:tab w:leader="none" w:pos="3240" w:val="left"/>
        </w:tabs>
        <w:numPr>
          <w:ilvl w:val="3"/>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Executive will not, and will not assist any other Person to, (A) hire or solicit for hiring any employee of the Company or any of its Affiliates or seek to persuade any employee of the Company or any of its Affiliates to discontinue employment or (B) solicit or encourage any independent contractor providing services to the Company or any of its Affiliates to terminate or diminish such independent contractor’s relationship with them. For the purposes of this Agreement, an “employee” or an “independent contractor” of the Company or any of its Affiliates is any Person who was such at any time within the preceding two (2) years.</w:t>
      </w:r>
    </w:p>
    <w:p>
      <w:pPr>
        <w:spacing w:after="0" w:line="18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Whistleblower Protection</w:t>
      </w:r>
      <w:r>
        <w:rPr>
          <w:rFonts w:ascii="Times New Roman" w:cs="Times New Roman" w:eastAsia="Times New Roman" w:hAnsi="Times New Roman"/>
          <w:sz w:val="22"/>
          <w:szCs w:val="22"/>
          <w:color w:val="auto"/>
        </w:rPr>
        <w:t>. Notwithstanding anything to the contrary contained herein, no provision of this Agreement shall be interpreted so as to impede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6" w:name="page177"/>
    <w:bookmarkEnd w:id="176"/>
    <w:p>
      <w:pPr>
        <w:jc w:val="both"/>
        <w:spacing w:after="0" w:line="236" w:lineRule="auto"/>
        <w:rPr>
          <w:sz w:val="20"/>
          <w:szCs w:val="20"/>
          <w:color w:val="auto"/>
        </w:rPr>
      </w:pPr>
      <w:r>
        <w:rPr>
          <w:rFonts w:ascii="Times New Roman" w:cs="Times New Roman" w:eastAsia="Times New Roman" w:hAnsi="Times New Roman"/>
          <w:sz w:val="22"/>
          <w:szCs w:val="22"/>
          <w:color w:val="auto"/>
        </w:rPr>
        <w:t>(or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The Executive does not need the prior authorization of the Company to make any such reports or disclosures and the Executive shall not be required to notify the Company that such reports or disclosures have been made.</w:t>
      </w:r>
    </w:p>
    <w:p>
      <w:pPr>
        <w:spacing w:after="0" w:line="182" w:lineRule="exact"/>
        <w:rPr>
          <w:sz w:val="20"/>
          <w:szCs w:val="20"/>
          <w:color w:val="auto"/>
        </w:rPr>
      </w:pPr>
    </w:p>
    <w:p>
      <w:pPr>
        <w:jc w:val="both"/>
        <w:ind w:firstLine="1304"/>
        <w:spacing w:after="0" w:line="232" w:lineRule="auto"/>
        <w:tabs>
          <w:tab w:leader="none" w:pos="19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Covenants</w:t>
      </w:r>
      <w:r>
        <w:rPr>
          <w:rFonts w:ascii="Times New Roman" w:cs="Times New Roman" w:eastAsia="Times New Roman" w:hAnsi="Times New Roman"/>
          <w:sz w:val="22"/>
          <w:szCs w:val="22"/>
          <w:color w:val="auto"/>
        </w:rPr>
        <w:t xml:space="preserve">. The Executive acknowledges that the Executive has carefully read and considered all the terms and conditions of this Agreement, including the restraints imposed upon the Executive pursuant to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The Executive agrees without reservation that each of the restraints contained herein is necessary for the reasonable and proper protection of the goodwill, Confidential Information and other legitimate interests of the Company and its Affiliates; that each and every one of these restraints is reasonable in respect to subject matter, length of time and geographic area; and that these restraints, individually or in the aggregate, will not prevent the Executive from obtaining other suitable employment during the period in which the Executive is bound by them. The Executive further agrees that the Executive will never assert, or permit to be asserted on the Executive’s behalf, in any forum, any position contrary to the foregoing. The Executive further acknowledges that, were the Executive to breach any of the covenants contained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the damage to the Company and its Affiliates would be irreparable. The Executive therefore agrees that the Company, in addition and not in the alternative to any other remedies available to it, shall be entitled to preliminary and permanent injunctive relief against any breach or threatened breach by the Executive of any of said covenants, without having to post bond. The parties further agree that, in the event that any provision of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shall be determined by any court of competent jurisdiction to be unenforceable, such provision shall be deemed to be modified to permit its enforcement to the maximum extent permitted by law. The Executive agrees that the Restricted Period shall be tolled, and shall not run, during any period of time in which the Executive is in violation of the terms thereof, in order that the Company and its Affiliates shall have all of the agreed-upon temporal protection recited herein. No breach of any provision of this Agreement by the Company, or any other claimed breach of contract or violation of law, or change in the nature or scope of the Executive’s employment relationship with the Company, shall operate to extinguish the Executive’s obligation to comply with </w:t>
      </w:r>
      <w:r>
        <w:rPr>
          <w:rFonts w:ascii="Times New Roman" w:cs="Times New Roman" w:eastAsia="Times New Roman" w:hAnsi="Times New Roman"/>
          <w:sz w:val="22"/>
          <w:szCs w:val="22"/>
          <w:u w:val="single" w:color="auto"/>
          <w:color w:val="auto"/>
        </w:rPr>
        <w:t>Sections 7,8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Each of the Company’s Affiliates shall have the right to enforce all of the Executive’s obligations to that |Affiliate under this Agreement, including, without limitation, pursuant to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w:t>
      </w:r>
    </w:p>
    <w:p>
      <w:pPr>
        <w:spacing w:after="0" w:line="17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Conflicting Agreements</w:t>
      </w:r>
      <w:r>
        <w:rPr>
          <w:rFonts w:ascii="Times New Roman" w:cs="Times New Roman" w:eastAsia="Times New Roman" w:hAnsi="Times New Roman"/>
          <w:sz w:val="22"/>
          <w:szCs w:val="22"/>
          <w:color w:val="auto"/>
        </w:rPr>
        <w:t>. The Executive hereby represents and warrants that the execution of this Agreement and the performance of the Executive’s obligations hereunder will not breach or be in conflict with any other agreement to which the Executive is a party or is bound, and that the Executive is not now subject to any covenants against competition or similar covenants or any other obligations to any Person or to any court order, judgment or decree that would affect the performance of the Executive’s obligations hereunder. The Executive will not disclose to or use on behalf of the Company any proprietary information of a third party without such party’s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7" w:name="page178"/>
    <w:bookmarkEnd w:id="177"/>
    <w:p>
      <w:pPr>
        <w:ind w:firstLine="1304"/>
        <w:spacing w:after="0" w:line="259" w:lineRule="auto"/>
        <w:tabs>
          <w:tab w:leader="none" w:pos="19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words or phrases shall have the meanings provided in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and as provided elsewhere herein:</w:t>
      </w:r>
    </w:p>
    <w:p>
      <w:pPr>
        <w:spacing w:after="0" w:line="156" w:lineRule="exact"/>
        <w:rPr>
          <w:rFonts w:ascii="Times New Roman" w:cs="Times New Roman" w:eastAsia="Times New Roman" w:hAnsi="Times New Roman"/>
          <w:sz w:val="22"/>
          <w:szCs w:val="22"/>
          <w:color w:val="auto"/>
        </w:rPr>
      </w:pPr>
    </w:p>
    <w:p>
      <w:pPr>
        <w:ind w:right="20" w:firstLine="1913"/>
        <w:spacing w:after="0" w:line="258" w:lineRule="auto"/>
        <w:tabs>
          <w:tab w:leader="none" w:pos="2592"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any person or entity directly or indirectly controlling or controlled by the Company, where control may be by either management authority or equity interest.</w:t>
      </w:r>
    </w:p>
    <w:p>
      <w:pPr>
        <w:spacing w:after="0" w:line="158" w:lineRule="exact"/>
        <w:rPr>
          <w:rFonts w:ascii="Times New Roman" w:cs="Times New Roman" w:eastAsia="Times New Roman" w:hAnsi="Times New Roman"/>
          <w:sz w:val="22"/>
          <w:szCs w:val="22"/>
          <w:color w:val="auto"/>
        </w:rPr>
      </w:pPr>
    </w:p>
    <w:p>
      <w:pPr>
        <w:ind w:firstLine="1913"/>
        <w:spacing w:after="0" w:line="258" w:lineRule="auto"/>
        <w:tabs>
          <w:tab w:leader="none" w:pos="2592"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business of delivery of services to the frail and elderly population through the operation of PACE Programs.</w:t>
      </w:r>
    </w:p>
    <w:p>
      <w:pPr>
        <w:spacing w:after="0" w:line="158" w:lineRule="exact"/>
        <w:rPr>
          <w:rFonts w:ascii="Times New Roman" w:cs="Times New Roman" w:eastAsia="Times New Roman" w:hAnsi="Times New Roman"/>
          <w:sz w:val="22"/>
          <w:szCs w:val="22"/>
          <w:color w:val="auto"/>
        </w:rPr>
      </w:pPr>
    </w:p>
    <w:p>
      <w:pPr>
        <w:jc w:val="both"/>
        <w:ind w:firstLine="1913"/>
        <w:spacing w:after="0" w:line="233" w:lineRule="auto"/>
        <w:tabs>
          <w:tab w:leader="none" w:pos="2592"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information of the Company and its Affiliates that is not generally available to the public, and any and all information, which, if disclosed by the Company or any of its Affiliates, would assist in competition against any of them. Confidential Information includes, without limitation, such information relating to (i) the development, research, testing, manufacturing, marketing and financial activities of the Company and its Affiliates, (ii) the Services, (iii) the costs, sources of supply, financial performance and strategic plans of the Company and its Affiliates, (iv) the identity and special needs of the patients of the Company and its Affiliates and (v) the people and organizations with whom the Company and its Affiliates have business relationships and the nature and substance of those relationships. Confidential Information also includes information that the Company or any of its Affiliates has received, or may receive hereafter, belonging to others or that was received by the Company or any of its Affiliates with any understanding, express or implied, that it would not be disclosed.</w:t>
      </w:r>
    </w:p>
    <w:p>
      <w:pPr>
        <w:spacing w:after="0" w:line="187" w:lineRule="exact"/>
        <w:rPr>
          <w:sz w:val="20"/>
          <w:szCs w:val="20"/>
          <w:color w:val="auto"/>
        </w:rPr>
      </w:pPr>
    </w:p>
    <w:p>
      <w:pPr>
        <w:ind w:left="1920"/>
        <w:spacing w:after="0"/>
        <w:tabs>
          <w:tab w:leader="none" w:pos="2580" w:val="left"/>
          <w:tab w:leader="none" w:pos="392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w:t>
      </w:r>
      <w:r>
        <w:rPr>
          <w:sz w:val="20"/>
          <w:szCs w:val="20"/>
          <w:color w:val="auto"/>
        </w:rPr>
        <w:tab/>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means inventions, discoveries, developments,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022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102235" cy="8890"/>
                    </a:xfrm>
                    <a:prstGeom prst="rect">
                      <a:avLst/>
                    </a:prstGeom>
                    <a:noFill/>
                  </pic:spPr>
                </pic:pic>
              </a:graphicData>
            </a:graphic>
          </wp:anchor>
        </w:drawing>
      </w:r>
    </w:p>
    <w:p>
      <w:pPr>
        <w:jc w:val="both"/>
        <w:spacing w:after="0" w:line="244" w:lineRule="auto"/>
        <w:rPr>
          <w:sz w:val="20"/>
          <w:szCs w:val="20"/>
          <w:color w:val="auto"/>
        </w:rPr>
      </w:pPr>
      <w:r>
        <w:rPr>
          <w:rFonts w:ascii="Times New Roman" w:cs="Times New Roman" w:eastAsia="Times New Roman" w:hAnsi="Times New Roman"/>
          <w:sz w:val="21"/>
          <w:szCs w:val="21"/>
          <w:color w:val="auto"/>
        </w:rPr>
        <w:t>processes, compositions, works, concepts and ideas (whether or not patentable or copyrightable or constituting trade secrets) conceived, made, created, developed or reduced to practice by the Executive (whether alone or with others, whether or not during normal business hours or on or off Company premises) during the Executive’s employment and during the period of six (6) months immediately following termination of the Executive’s employment that relate either to the Services or to any prospective activity of the Company or any of its Affiliates or that result from any work performed by the Executive for the Company or any of its Affiliates or that make use of Confidential Information or any of the equipment or facilities of the Company or any of its Affiliates.</w:t>
      </w:r>
    </w:p>
    <w:p>
      <w:pPr>
        <w:spacing w:after="0" w:line="174" w:lineRule="exact"/>
        <w:rPr>
          <w:sz w:val="20"/>
          <w:szCs w:val="20"/>
          <w:color w:val="auto"/>
        </w:rPr>
      </w:pPr>
    </w:p>
    <w:p>
      <w:pPr>
        <w:jc w:val="both"/>
        <w:ind w:firstLine="1913"/>
        <w:spacing w:after="0" w:line="244" w:lineRule="auto"/>
        <w:tabs>
          <w:tab w:leader="none" w:pos="2592"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natural person, a corporation, a limited liability company, an association, a partnership, an estate, a trust and any other entity or organization, other than the Company or any of its Affiliates.</w:t>
      </w:r>
    </w:p>
    <w:p>
      <w:pPr>
        <w:spacing w:after="0" w:line="173" w:lineRule="exact"/>
        <w:rPr>
          <w:rFonts w:ascii="Times New Roman" w:cs="Times New Roman" w:eastAsia="Times New Roman" w:hAnsi="Times New Roman"/>
          <w:sz w:val="22"/>
          <w:szCs w:val="22"/>
          <w:color w:val="auto"/>
        </w:rPr>
      </w:pPr>
    </w:p>
    <w:p>
      <w:pPr>
        <w:jc w:val="both"/>
        <w:ind w:firstLine="1913"/>
        <w:spacing w:after="0" w:line="261" w:lineRule="auto"/>
        <w:tabs>
          <w:tab w:leader="none" w:pos="2592"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 means all services planned, researched, developed, tested, sold, licensed, leased or otherwise distributed or put into use by the Company or any of its Affiliates, together with all products provided or otherwise planned by the Company or any of its Affiliates, during the Executive’s employment.</w:t>
      </w:r>
    </w:p>
    <w:p>
      <w:pPr>
        <w:spacing w:after="0" w:line="157" w:lineRule="exact"/>
        <w:rPr>
          <w:rFonts w:ascii="Times New Roman" w:cs="Times New Roman" w:eastAsia="Times New Roman" w:hAnsi="Times New Roman"/>
          <w:sz w:val="21"/>
          <w:szCs w:val="21"/>
          <w:color w:val="auto"/>
        </w:rPr>
      </w:pPr>
    </w:p>
    <w:p>
      <w:pPr>
        <w:jc w:val="both"/>
        <w:ind w:firstLine="1304"/>
        <w:spacing w:after="0" w:line="244" w:lineRule="auto"/>
        <w:tabs>
          <w:tab w:leader="none" w:pos="194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During the Executive’s employment with the Company and thereafter, the Company shall indemnify, and hold the Executive and the Executive’s heirs and representatives harmless against, any and all damages, costs, liabilities, losses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8" w:name="page179"/>
    <w:bookmarkEnd w:id="178"/>
    <w:p>
      <w:pPr>
        <w:jc w:val="both"/>
        <w:ind w:left="100" w:hanging="3"/>
        <w:spacing w:after="0" w:line="232" w:lineRule="auto"/>
        <w:rPr>
          <w:sz w:val="20"/>
          <w:szCs w:val="20"/>
          <w:color w:val="auto"/>
        </w:rPr>
      </w:pPr>
      <w:r>
        <w:rPr>
          <w:rFonts w:ascii="Times New Roman" w:cs="Times New Roman" w:eastAsia="Times New Roman" w:hAnsi="Times New Roman"/>
          <w:sz w:val="22"/>
          <w:szCs w:val="22"/>
          <w:color w:val="auto"/>
        </w:rPr>
        <w:t xml:space="preserve">(including reasonable attorneys’ fees) as a result of any claim or proceeding (whether civil, criminal, administrative or investigative) against the Executive that arises out of or relates to the Executive’s service as an officer, director or employee, as the case may be, of the Company, or the Executive’s service in any such capacity or similar capacity with any Affiliate of the Company or other entity at the Company’s request, except, however, the Company’s indemnity shall not apply with respect to matters where the Executive has been grossly negligent, reckless or intentionally violated the rights of the Company or of any third party, unless at the direction of the Company, or where the Executive fails to cooperate fully with the Company in the Company’s defense of any claim or proceeding. The Company agrees to promptly advance to the Executive or the Executive’s heirs or representatives the expenses, including attorneys’ fees and litigation costs, upon written request, with documentation of such expenses satisfactory to the Company and upon receipt of an undertaking by the Executive or on the Executive’s behalf that such amounts will be promptly repaid should it ultimately be determined that the Executive is not entitled to be indemnified by the Company. The Executive agrees to assist and cooperate with the Company, both during the Executive’s employment with the Company and thereafter, in the defense of any legal action related to the Executive’s employment upon reasonable notice and at reasonable times and places. During the Executive’s employment with the Company and thereafter, the Company also shall provide the Executive with coverage under its current directors’ and officers’ liability policy to the same extent that it provides such coverage to its other executive officers or directors and shall be entitled to the same rights of indemnification provided to such other executive officers or directors under the Company’s by-laws, certificate of incorporation or other governing documents.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continue in effect after the termination of the Executive’s employment or the termination of this Agreement.</w:t>
      </w:r>
    </w:p>
    <w:p>
      <w:pPr>
        <w:spacing w:after="0" w:line="186" w:lineRule="exact"/>
        <w:rPr>
          <w:sz w:val="20"/>
          <w:szCs w:val="20"/>
          <w:color w:val="auto"/>
        </w:rPr>
      </w:pPr>
    </w:p>
    <w:p>
      <w:pPr>
        <w:ind w:firstLine="1304"/>
        <w:spacing w:after="0" w:line="258" w:lineRule="auto"/>
        <w:tabs>
          <w:tab w:leader="none" w:pos="19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by the Company under this Agreement shall be reduced by any tax or other amounts required to be withheld by the Company under applicable law.</w:t>
      </w:r>
    </w:p>
    <w:p>
      <w:pPr>
        <w:spacing w:after="0" w:line="15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the Company nor the Executive may make any assignment of this Agreement or any interest herein, by operation of law or otherwise, without the prior written consent of the other;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may assign its rights and obligations under this Agreement without the consent of the Executive to one of its Affiliates or in the event that the Company shall hereafter effect a reorganization with, consolidate with or merge into an Affiliate or any Person or transfer all or substantially all of its properties, stock or assets to an Affiliate or any Person. This Agreement shall inure to the benefit of and be binding upon the Company and the Executive, and their respective successors, executors, administrators, heirs and permitted assigns.</w:t>
      </w:r>
    </w:p>
    <w:p>
      <w:pPr>
        <w:spacing w:after="0" w:line="17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either party to require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9" w:name="page180"/>
    <w:bookmarkEnd w:id="179"/>
    <w:p>
      <w:pPr>
        <w:jc w:val="both"/>
        <w:spacing w:after="0" w:line="244" w:lineRule="auto"/>
        <w:rPr>
          <w:sz w:val="20"/>
          <w:szCs w:val="20"/>
          <w:color w:val="auto"/>
        </w:rPr>
      </w:pPr>
      <w:r>
        <w:rPr>
          <w:rFonts w:ascii="Times New Roman" w:cs="Times New Roman" w:eastAsia="Times New Roman" w:hAnsi="Times New Roman"/>
          <w:sz w:val="22"/>
          <w:szCs w:val="22"/>
          <w:color w:val="auto"/>
        </w:rPr>
        <w:t>of any term or obligation of this Agreement, or the waiver by either party of any breach of this Agreement, shall not prevent any subsequent enforcement of such term or obligation or be deemed a waiver of any subsequent breach.</w:t>
      </w:r>
    </w:p>
    <w:p>
      <w:pPr>
        <w:spacing w:after="0" w:line="174" w:lineRule="exact"/>
        <w:rPr>
          <w:sz w:val="20"/>
          <w:szCs w:val="20"/>
          <w:color w:val="auto"/>
        </w:rPr>
      </w:pPr>
    </w:p>
    <w:p>
      <w:pPr>
        <w:jc w:val="both"/>
        <w:ind w:firstLine="1304"/>
        <w:spacing w:after="0" w:line="236" w:lineRule="auto"/>
        <w:tabs>
          <w:tab w:leader="none" w:pos="19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requests, demands and other communications provided for by this Agreement shall be in writing and shall be effective when delivered in person, consigned to a reputable national courier service or deposited in the United States mail, postage prepaid, registered or certified, and addressed to the Executive at the Executive’s last known address on the books of the Company or, in the case of the Company, at its principal place of business, attention of the Chief Executive Officer, or to such other address as either party may specify by notice to the other actually received.</w:t>
      </w:r>
    </w:p>
    <w:p>
      <w:pPr>
        <w:spacing w:after="0" w:line="181"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and supersedes and terminates all prior communications, agreements and understandings, written or oral, with respect to the terms and conditions of the Executive’s employment with the Company (including, without limitation, that certain offer letter from the Company to the Executive, dated as of August 8, 2022).</w:t>
      </w:r>
    </w:p>
    <w:p>
      <w:pPr>
        <w:spacing w:after="0" w:line="180"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an expressly authorized representative of the Company.</w:t>
      </w:r>
    </w:p>
    <w:p>
      <w:pPr>
        <w:spacing w:after="0" w:line="158"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and captions in this Agreement are for convenience only and in no way define or describe the scope or content of any provision of this Agreement.</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(2) or more counterparts, each of which shall be an original and all of which together shall constitute one and the same instrument.</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Colorado contract and shall be construed and enforced under and be governed in all respects by the laws of the State of Colorado, without regard to any conflict of laws principles that would result in the application of the laws of any other jurisdiction.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80" w:name="page181"/>
    <w:bookmarkEnd w:id="180"/>
    <w:p>
      <w:pPr>
        <w:ind w:left="100"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this Agreement has been executed as a sealed instrument by the Company, by its duly authorized representative, and by the Executive, as of the date first above written.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EXECUTIVE:</w:t>
            </w:r>
          </w:p>
        </w:tc>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THE COMPANY:</w:t>
            </w:r>
          </w:p>
        </w:tc>
      </w:tr>
      <w:tr>
        <w:trPr>
          <w:trHeight w:val="474"/>
        </w:trPr>
        <w:tc>
          <w:tcPr>
            <w:tcW w:w="5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Richard Feifer</w:t>
            </w:r>
          </w:p>
        </w:tc>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/s/ Patrick Blair</w:t>
            </w: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Dr. Richard Feifer</w:t>
            </w:r>
          </w:p>
        </w:tc>
        <w:tc>
          <w:tcPr>
            <w:tcW w:w="240" w:type="dxa"/>
            <w:vAlign w:val="bottom"/>
          </w:tcPr>
          <w:p>
            <w:pPr>
              <w:spacing w:after="0"/>
              <w:rPr>
                <w:sz w:val="18"/>
                <w:szCs w:val="18"/>
                <w:color w:val="auto"/>
              </w:rPr>
            </w:pPr>
          </w:p>
        </w:tc>
        <w:tc>
          <w:tcPr>
            <w:tcW w:w="49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By:  Patrick Blair</w:t>
            </w:r>
          </w:p>
        </w:tc>
      </w:tr>
      <w:tr>
        <w:trPr>
          <w:trHeight w:val="282"/>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r>
      <w:tr>
        <w:trPr>
          <w:trHeight w:val="1196"/>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Form RSU Agreement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789940</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Release of Claims - to be completed upon termination</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Reference is hereby made to that certain Employment Agreement, effective as of August 15, 2022, by and between Total Community Options, Inc., a Colorado corporation (and any successor entity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Dr. Richard Feifer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xml:space="preserve">”) (such agreement,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Capitalized terms used but not otherwise defined herein shall have the meaning set forth in the Employment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release of claims (this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is entered into by Executive in exchange for good and valuable consideration, and Executive, intended to be legally bound, agrees as follows:</w:t>
      </w:r>
    </w:p>
    <w:p>
      <w:pPr>
        <w:spacing w:after="0" w:line="158" w:lineRule="exact"/>
        <w:rPr>
          <w:sz w:val="20"/>
          <w:szCs w:val="20"/>
          <w:color w:val="auto"/>
        </w:rPr>
      </w:pPr>
    </w:p>
    <w:p>
      <w:pPr>
        <w:jc w:val="both"/>
        <w:ind w:left="340" w:hanging="332"/>
        <w:spacing w:after="0" w:line="238" w:lineRule="auto"/>
        <w:tabs>
          <w:tab w:leader="none" w:pos="3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of Employment</w:t>
      </w:r>
      <w:r>
        <w:rPr>
          <w:rFonts w:ascii="Times New Roman" w:cs="Times New Roman" w:eastAsia="Times New Roman" w:hAnsi="Times New Roman"/>
          <w:sz w:val="22"/>
          <w:szCs w:val="22"/>
          <w:color w:val="auto"/>
        </w:rPr>
        <w:t>. Executive’s employment or service with the Company and its Affiliates terminated as of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and Executive hereby resigns from any position as an officer, member of the board of managers or directors (as applicable) or fiduciary of the Company or any of its Affiliates (or reaffirms any such resignation that may have already occurred) and agrees to execute any additional documentation as may be necessary to effectuate such resignations.</w:t>
      </w:r>
    </w:p>
    <w:p>
      <w:pPr>
        <w:spacing w:after="0" w:line="176" w:lineRule="exact"/>
        <w:rPr>
          <w:rFonts w:ascii="Times New Roman" w:cs="Times New Roman" w:eastAsia="Times New Roman" w:hAnsi="Times New Roman"/>
          <w:sz w:val="22"/>
          <w:szCs w:val="22"/>
          <w:color w:val="auto"/>
        </w:rPr>
      </w:pPr>
    </w:p>
    <w:p>
      <w:pPr>
        <w:jc w:val="both"/>
        <w:ind w:left="340" w:hanging="332"/>
        <w:spacing w:after="0" w:line="245" w:lineRule="auto"/>
        <w:tabs>
          <w:tab w:leader="none" w:pos="34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 of Payments and Benefits</w:t>
      </w:r>
      <w:r>
        <w:rPr>
          <w:rFonts w:ascii="Times New Roman" w:cs="Times New Roman" w:eastAsia="Times New Roman" w:hAnsi="Times New Roman"/>
          <w:sz w:val="21"/>
          <w:szCs w:val="21"/>
          <w:color w:val="auto"/>
        </w:rPr>
        <w:t>. Executive understands that any payments paid and benefits provided under Section 5[(d)][(e)] of the Employment Agreement represent, in part, consideration for signing this General Release and are not salary, wages or benefits to which Executive was already entitled. Executive understands and agrees that Executive will not receive the payments specified in Section 5[(d)][(e)] of the Employment Agreement unless Executive timely executes, and does not revoke, this General Release within the time period permitted hereafter. Such payments and benefits will not be considered compensation for purposes of any employee benefit plan, program, policy or arrangement maintained or hereafter established by the Company or its Affiliates. In signing this General Release, Executive also acknowledges and represents that, except as set forth in this General Release, Executive is not entitled to receive any additional compensation, bonuses, equity compensation, payment in lieu of any paid time off, equity awards, severance payments or other payments or benefits of any kind from the Company or any of the other Released Parties (as defined below), including, without limitation, any payments of any kind under the Employment Agreement.</w:t>
      </w:r>
    </w:p>
    <w:p>
      <w:pPr>
        <w:spacing w:after="0" w:line="173" w:lineRule="exact"/>
        <w:rPr>
          <w:rFonts w:ascii="Times New Roman" w:cs="Times New Roman" w:eastAsia="Times New Roman" w:hAnsi="Times New Roman"/>
          <w:sz w:val="21"/>
          <w:szCs w:val="21"/>
          <w:color w:val="auto"/>
        </w:rPr>
      </w:pPr>
    </w:p>
    <w:p>
      <w:pPr>
        <w:jc w:val="both"/>
        <w:ind w:left="340" w:hanging="332"/>
        <w:spacing w:after="0" w:line="234" w:lineRule="auto"/>
        <w:tabs>
          <w:tab w:leader="none" w:pos="3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Executive, on behalf of Executive and Executive’s heirs beneficiaries, administrators, executors, trustees and assigns, shall, and hereby does, forever and irrevocably release and discharge the Company and its subsidiaries and Affiliates, and each of their respective past, present and future shareholders, directors, officers, employee benefit plans, administrators, trustees, agents, representatives, employees, consultants, parents, subsidiaries, divisions, insurers, attorneys, predecessors, purchasers, successors and assigns, and all those connected with any of them, in their official and individual capacities (each, a “Released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Released</w:t>
      </w:r>
      <w:r>
        <w:rPr>
          <w:rFonts w:ascii="Times New Roman" w:cs="Times New Roman" w:eastAsia="Times New Roman" w:hAnsi="Times New Roman"/>
          <w:sz w:val="22"/>
          <w:szCs w:val="22"/>
          <w:color w:val="auto"/>
        </w:rPr>
        <w:t xml:space="preserve"> Parties”), from any and all claims, suits, controversies, actions, causes of action, cross-claims, counterclaims, demands, debts, compensatory damages, liquidated damages, punitive or exemplary damages, other damages, claims for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83" w:name="page184"/>
    <w:bookmarkEnd w:id="183"/>
    <w:p>
      <w:pPr>
        <w:jc w:val="both"/>
        <w:ind w:left="340"/>
        <w:spacing w:after="0" w:line="244" w:lineRule="auto"/>
        <w:rPr>
          <w:sz w:val="20"/>
          <w:szCs w:val="20"/>
          <w:color w:val="auto"/>
        </w:rPr>
      </w:pPr>
      <w:r>
        <w:rPr>
          <w:rFonts w:ascii="Times New Roman" w:cs="Times New Roman" w:eastAsia="Times New Roman" w:hAnsi="Times New Roman"/>
          <w:sz w:val="21"/>
          <w:szCs w:val="21"/>
          <w:color w:val="auto"/>
        </w:rPr>
        <w:t>attorneys’ fees or liabilities of any nature whatsoever in law and in equity, both past and present and whether known or unknown, suspected, unsuspected or claimed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which Executive or any of Executive’s beneficiaries, administrators, executors, trustees and assigns may have (a) from the beginning of time through the date upon which Executive executes this General Release; (b) arising out of, or relating to, any agreement and/or any awards, policies, plans, programs, procedures or practices of any of the Released Parties that may apply to Executive or in which Executive may participate or may have participated, including, but not limited to, any rights under bonus plans or programs of any of the Released Parties and/or any other short-term or long-term equity-based or cash-based incentive plans or programs of any of the Released Parties;</w:t>
      </w:r>
    </w:p>
    <w:p>
      <w:pPr>
        <w:spacing w:after="0" w:line="5" w:lineRule="exact"/>
        <w:rPr>
          <w:sz w:val="20"/>
          <w:szCs w:val="20"/>
          <w:color w:val="auto"/>
        </w:rPr>
      </w:pPr>
    </w:p>
    <w:p>
      <w:pPr>
        <w:jc w:val="both"/>
        <w:ind w:left="340" w:hanging="8"/>
        <w:spacing w:after="0" w:line="231" w:lineRule="auto"/>
        <w:tabs>
          <w:tab w:leader="none" w:pos="66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out of, or relating to, Executive’s termination of employment with any of the Released Parties; and/or (d) arising out of, or relating to, Executive’s employment with any Released Party or Executive’s status as an employee, member, officer or director of any of the Released Parties, including, without limitation, any Claims or violations (i) arising under any federal, state or local civil or human rights law, including, but not limited to, the Age Discrimination in Employment Act as amended by the Older Workers Benefit Protection Act, Title VII of the Civil Rights Act of 1964, the Civil Rights Act of 1866, 42 U.S.C. § 1981, the Civil Rights Act of 1991, the Americans With Disabilities Act, the Family and Medical Leave Act, the Employee Retirement Income Security Act of 1974, the Equal Pay Act of 1963, the Genetic Information Nondiscrimination Act of 2008[, and] the Worker Adjustment and Retraining Notification Act, as all such laws have been amended from time to time and including all of their respective implementing regulations, and/or any other federal, state, foreign or local labor law, wage and hour law, worker safety law or employee relations or fair employment practices law, or public policy, contract or tort, or under common law; (ii) for wrongful discharge, breach of contract, infliction of emotional distress or defamation; or (iii) for costs, fees or other expenses, including attorneys’ fees, incurred in these matters.</w:t>
      </w:r>
    </w:p>
    <w:p>
      <w:pPr>
        <w:spacing w:after="0" w:line="185" w:lineRule="exact"/>
        <w:rPr>
          <w:rFonts w:ascii="Times New Roman" w:cs="Times New Roman" w:eastAsia="Times New Roman" w:hAnsi="Times New Roman"/>
          <w:sz w:val="22"/>
          <w:szCs w:val="22"/>
          <w:color w:val="auto"/>
        </w:rPr>
      </w:pPr>
    </w:p>
    <w:p>
      <w:pPr>
        <w:jc w:val="both"/>
        <w:ind w:left="340" w:hanging="332"/>
        <w:spacing w:after="0" w:line="233" w:lineRule="auto"/>
        <w:tabs>
          <w:tab w:leader="none" w:pos="34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xml:space="preserve">. Nothing in Section 3 shall release or impair (a) any Claim or right that may arise after the date Executive executes this General Release; (b) any vested benefits under the Company’s benefit plans; (c) any Claim or right Executive may have for indemnification under the Employment Agreement or the Company’s D&amp;O policy, by-laws, certificate of incorporation or other governing documents; or (d) any Claim which by law cannot be waived. Nothing in this General Release is intended to prohibit or restrict Executive’s right to file a charge with or participate in a charge by the Equal Employment Opportunity Commission, or any other local, state or federal administrative body or government agency;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to the extent permitted by applicable law, Executive hereby waives the right to recover any monetary damages or other relief against any Released Parties; provided, however, that nothing in this General Release shall prohibit Executive from receiving any monetary award to which Employee becomes entitled pursuant to Section 922 of the Dodd-Frank Wall Street Reform and Consumer Protection Act.</w:t>
      </w:r>
    </w:p>
    <w:p>
      <w:pPr>
        <w:spacing w:after="0" w:line="187" w:lineRule="exact"/>
        <w:rPr>
          <w:rFonts w:ascii="Times New Roman" w:cs="Times New Roman" w:eastAsia="Times New Roman" w:hAnsi="Times New Roman"/>
          <w:sz w:val="22"/>
          <w:szCs w:val="22"/>
          <w:color w:val="auto"/>
        </w:rPr>
      </w:pPr>
    </w:p>
    <w:p>
      <w:pPr>
        <w:jc w:val="both"/>
        <w:ind w:left="340" w:hanging="332"/>
        <w:spacing w:after="0" w:line="251" w:lineRule="auto"/>
        <w:tabs>
          <w:tab w:leader="none" w:pos="3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Later Discovered Claims</w:t>
      </w:r>
      <w:r>
        <w:rPr>
          <w:rFonts w:ascii="Times New Roman" w:cs="Times New Roman" w:eastAsia="Times New Roman" w:hAnsi="Times New Roman"/>
          <w:sz w:val="21"/>
          <w:szCs w:val="21"/>
          <w:color w:val="auto"/>
        </w:rPr>
        <w:t>. Executive understands that Executive may later discover Claims or facts that may be different from, or in addition to, those which Executive now knows or believes to exist with regards to the subject matter of this General Release and which, if known at the time of executing this General Release, may have materially affected this General Release or Executive’s decision to enter into it. Executive hereby waives any right or Claim that might arise as a result of such different or additional Claims or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84" w:name="page185"/>
    <w:bookmarkEnd w:id="184"/>
    <w:p>
      <w:pPr>
        <w:jc w:val="both"/>
        <w:ind w:left="332" w:hanging="332"/>
        <w:spacing w:after="0" w:line="244" w:lineRule="auto"/>
        <w:tabs>
          <w:tab w:leader="none" w:pos="33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Executive represents that Executive has made no assignment or transfer of any right or Claim covered by this General Release, and that Executive further agrees that Executive is not aware of any such right or Claim covered by this General Release.</w:t>
      </w:r>
    </w:p>
    <w:p>
      <w:pPr>
        <w:spacing w:after="0" w:line="174" w:lineRule="exact"/>
        <w:rPr>
          <w:rFonts w:ascii="Times New Roman" w:cs="Times New Roman" w:eastAsia="Times New Roman" w:hAnsi="Times New Roman"/>
          <w:sz w:val="22"/>
          <w:szCs w:val="22"/>
          <w:color w:val="auto"/>
        </w:rPr>
      </w:pPr>
    </w:p>
    <w:p>
      <w:pPr>
        <w:jc w:val="both"/>
        <w:ind w:left="332" w:hanging="332"/>
        <w:spacing w:after="0" w:line="238" w:lineRule="auto"/>
        <w:tabs>
          <w:tab w:leader="none" w:pos="33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Impact on Whistleblowing Rights</w:t>
      </w:r>
      <w:r>
        <w:rPr>
          <w:rFonts w:ascii="Times New Roman" w:cs="Times New Roman" w:eastAsia="Times New Roman" w:hAnsi="Times New Roman"/>
          <w:sz w:val="22"/>
          <w:szCs w:val="22"/>
          <w:color w:val="auto"/>
        </w:rPr>
        <w:t>. Executive understands that nothing contained in this General Release shall be construed to limit, restrict or in any other way affect Executive’s right to communicate with any governmental agency or entity, including, but not limited to, the Department of Justice, the Securities and Exchange Commission, the Congress and any agency Inspector General, or make other disclosures under the whistleblower provisions of federal law or regulation.</w:t>
      </w:r>
    </w:p>
    <w:p>
      <w:pPr>
        <w:spacing w:after="0" w:line="176" w:lineRule="exact"/>
        <w:rPr>
          <w:rFonts w:ascii="Times New Roman" w:cs="Times New Roman" w:eastAsia="Times New Roman" w:hAnsi="Times New Roman"/>
          <w:sz w:val="22"/>
          <w:szCs w:val="22"/>
          <w:color w:val="auto"/>
        </w:rPr>
      </w:pPr>
    </w:p>
    <w:p>
      <w:pPr>
        <w:jc w:val="both"/>
        <w:ind w:left="332" w:hanging="332"/>
        <w:spacing w:after="0" w:line="244" w:lineRule="auto"/>
        <w:tabs>
          <w:tab w:leader="none" w:pos="33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Beneficiary</w:t>
      </w:r>
      <w:r>
        <w:rPr>
          <w:rFonts w:ascii="Times New Roman" w:cs="Times New Roman" w:eastAsia="Times New Roman" w:hAnsi="Times New Roman"/>
          <w:sz w:val="22"/>
          <w:szCs w:val="22"/>
          <w:color w:val="auto"/>
        </w:rPr>
        <w:t>. The Released Parties are intended to be third-party beneficiaries of this General Release, and this General Release may be enforced by each of them in accordance with the terms hereof in respect of the rights granted to such Released Parties hereunder.</w:t>
      </w:r>
    </w:p>
    <w:p>
      <w:pPr>
        <w:spacing w:after="0" w:line="173" w:lineRule="exact"/>
        <w:rPr>
          <w:rFonts w:ascii="Times New Roman" w:cs="Times New Roman" w:eastAsia="Times New Roman" w:hAnsi="Times New Roman"/>
          <w:sz w:val="22"/>
          <w:szCs w:val="22"/>
          <w:color w:val="auto"/>
        </w:rPr>
      </w:pPr>
    </w:p>
    <w:p>
      <w:pPr>
        <w:jc w:val="both"/>
        <w:ind w:left="332" w:hanging="332"/>
        <w:spacing w:after="0" w:line="238" w:lineRule="auto"/>
        <w:tabs>
          <w:tab w:leader="none" w:pos="33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Executive agrees that neither this General Release, nor the furnishing of the consideration for this General Release, shall be deemed or construed at any time to be an admission by the Company, any Released Party or Executive of any improper or unlawful conduct. Rather, this General Release expresses the intention of the parties to resolve all issues and other Claims related to or arising out of the Executive’s employment by and termination of employment with the Company.</w:t>
      </w:r>
    </w:p>
    <w:p>
      <w:pPr>
        <w:spacing w:after="0" w:line="176" w:lineRule="exact"/>
        <w:rPr>
          <w:rFonts w:ascii="Times New Roman" w:cs="Times New Roman" w:eastAsia="Times New Roman" w:hAnsi="Times New Roman"/>
          <w:sz w:val="22"/>
          <w:szCs w:val="22"/>
          <w:color w:val="auto"/>
        </w:rPr>
      </w:pPr>
    </w:p>
    <w:p>
      <w:pPr>
        <w:jc w:val="both"/>
        <w:ind w:left="332" w:hanging="332"/>
        <w:spacing w:after="0" w:line="261" w:lineRule="auto"/>
        <w:tabs>
          <w:tab w:leader="none" w:pos="332"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Subsequent Breach</w:t>
      </w:r>
      <w:r>
        <w:rPr>
          <w:rFonts w:ascii="Times New Roman" w:cs="Times New Roman" w:eastAsia="Times New Roman" w:hAnsi="Times New Roman"/>
          <w:sz w:val="21"/>
          <w:szCs w:val="21"/>
          <w:color w:val="auto"/>
        </w:rPr>
        <w:t>. Notwithstanding anything in this General Release to the contrary, this General Release shall not relinquish, diminish or in any way affect any rights or Claims arising out of any breach by Employer of the Employment Agreement after the date hereof, which are not subject to this General Release.</w:t>
      </w:r>
    </w:p>
    <w:p>
      <w:pPr>
        <w:spacing w:after="0" w:line="157" w:lineRule="exact"/>
        <w:rPr>
          <w:rFonts w:ascii="Times New Roman" w:cs="Times New Roman" w:eastAsia="Times New Roman" w:hAnsi="Times New Roman"/>
          <w:sz w:val="21"/>
          <w:szCs w:val="21"/>
          <w:color w:val="auto"/>
        </w:rPr>
      </w:pPr>
    </w:p>
    <w:p>
      <w:pPr>
        <w:jc w:val="both"/>
        <w:ind w:left="332" w:hanging="332"/>
        <w:spacing w:after="0" w:line="236" w:lineRule="auto"/>
        <w:tabs>
          <w:tab w:leader="none" w:pos="33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spacing w:after="0" w:line="181" w:lineRule="exact"/>
        <w:rPr>
          <w:rFonts w:ascii="Times New Roman" w:cs="Times New Roman" w:eastAsia="Times New Roman" w:hAnsi="Times New Roman"/>
          <w:sz w:val="22"/>
          <w:szCs w:val="22"/>
          <w:color w:val="auto"/>
        </w:rPr>
      </w:pPr>
    </w:p>
    <w:p>
      <w:pPr>
        <w:jc w:val="both"/>
        <w:ind w:left="332" w:hanging="332"/>
        <w:spacing w:after="0" w:line="235" w:lineRule="auto"/>
        <w:tabs>
          <w:tab w:leader="none" w:pos="33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xml:space="preserve">. Executive acknowledges that Executive will continue to be bound by Executive’s obligations under the Employment Agreement that survive the termination of Executive’s employment by the terms thereof or by necessary implication, including, without limitation, the restrictive covenant obligations set forth in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of the Employment Agreement (all of the foregoing obligations,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Executive further acknowledge that the obligation of the Company to make payments to Executive or on Executive’s behalf under Section 5[(d)][(e)] of the Employment Agreement, and Executive’s right to retain the same, are expressly conditioned upon Executive’s continued full performance of Executive’s obligations hereunder and with respect to the Continuing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185" w:name="page186"/>
    <w:bookmarkEnd w:id="185"/>
    <w:p>
      <w:pPr>
        <w:jc w:val="both"/>
        <w:ind w:left="332" w:hanging="332"/>
        <w:spacing w:after="0" w:line="234" w:lineRule="auto"/>
        <w:tabs>
          <w:tab w:leader="none" w:pos="3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Non-Disparagement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General Release, Executive agrees that Executive will not disclose this General Release or any of its terms or provisions, directly or by implication, except to members of Executive’s immediate family and to Executive’s legal and tax advisors, and then only on condition that they agree not to further disclose this General Release or any of its terms or provisions to others.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General Release, Executive agrees that Executive will never disparage or criticize the Company, its Affiliates, their business, their management or their products or services, and that Executive will not otherwise do or say anything that could disrupt the good morale of employees of the Company or any of its Affiliates or harm the interests or reputation of the Company or any of its Affiliates. The Company has directed the senior officers and directors of the Company and its Affiliates not to make or cause to be made any statements that disparage or criticize Executive or Executive’s reputation.</w:t>
      </w:r>
    </w:p>
    <w:p>
      <w:pPr>
        <w:spacing w:after="0" w:line="180" w:lineRule="exact"/>
        <w:rPr>
          <w:rFonts w:ascii="Times New Roman" w:cs="Times New Roman" w:eastAsia="Times New Roman" w:hAnsi="Times New Roman"/>
          <w:sz w:val="22"/>
          <w:szCs w:val="22"/>
          <w:color w:val="auto"/>
        </w:rPr>
      </w:pPr>
    </w:p>
    <w:p>
      <w:pPr>
        <w:jc w:val="both"/>
        <w:ind w:left="332" w:right="20" w:hanging="332"/>
        <w:spacing w:after="0" w:line="239" w:lineRule="auto"/>
        <w:tabs>
          <w:tab w:leader="none" w:pos="3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Cooperation with Non-Governmental Third Parties</w:t>
      </w:r>
      <w:r>
        <w:rPr>
          <w:rFonts w:ascii="Times New Roman" w:cs="Times New Roman" w:eastAsia="Times New Roman" w:hAnsi="Times New Roman"/>
          <w:sz w:val="22"/>
          <w:szCs w:val="22"/>
          <w:color w:val="auto"/>
        </w:rPr>
        <w:t>. Executive agrees that, to the maximum extent permitted by law, Executive shall not knowingly encourage, counsel or assist any non- governmental attorneys or their clients in the presentation or prosecution of any disputes, differences, grievances, claims, charges or complaints by any non-governmental third party against any of the Released Parties.</w:t>
      </w:r>
    </w:p>
    <w:p>
      <w:pPr>
        <w:spacing w:after="0" w:line="180" w:lineRule="exact"/>
        <w:rPr>
          <w:rFonts w:ascii="Times New Roman" w:cs="Times New Roman" w:eastAsia="Times New Roman" w:hAnsi="Times New Roman"/>
          <w:sz w:val="22"/>
          <w:szCs w:val="22"/>
          <w:color w:val="auto"/>
        </w:rPr>
      </w:pPr>
    </w:p>
    <w:p>
      <w:pPr>
        <w:jc w:val="both"/>
        <w:ind w:left="332" w:hanging="332"/>
        <w:spacing w:after="0" w:line="238" w:lineRule="auto"/>
        <w:tabs>
          <w:tab w:leader="none" w:pos="3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Consultation; Voluntary Agreement</w:t>
      </w:r>
      <w:r>
        <w:rPr>
          <w:rFonts w:ascii="Times New Roman" w:cs="Times New Roman" w:eastAsia="Times New Roman" w:hAnsi="Times New Roman"/>
          <w:sz w:val="22"/>
          <w:szCs w:val="22"/>
          <w:color w:val="auto"/>
        </w:rPr>
        <w:t>. Executive acknowledges that the Company has advised Executive of Executive’s right to consult with an attorney prior to executing this General Release. Executive has carefully read and fully understands all of the provisions of this General Release. Executive is entering into this General Release knowingly, freely and voluntarily, in exchange for good and valuable consideration to which Executive would not be entitled in the absence of executing and not revoking this General Release.</w:t>
      </w:r>
    </w:p>
    <w:p>
      <w:pPr>
        <w:spacing w:after="0" w:line="176" w:lineRule="exact"/>
        <w:rPr>
          <w:rFonts w:ascii="Times New Roman" w:cs="Times New Roman" w:eastAsia="Times New Roman" w:hAnsi="Times New Roman"/>
          <w:sz w:val="22"/>
          <w:szCs w:val="22"/>
          <w:color w:val="auto"/>
        </w:rPr>
      </w:pPr>
    </w:p>
    <w:p>
      <w:pPr>
        <w:jc w:val="both"/>
        <w:ind w:left="332" w:hanging="332"/>
        <w:spacing w:after="0" w:line="233" w:lineRule="auto"/>
        <w:tabs>
          <w:tab w:leader="none" w:pos="3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 and Revocation Period</w:t>
      </w:r>
      <w:r>
        <w:rPr>
          <w:rFonts w:ascii="Times New Roman" w:cs="Times New Roman" w:eastAsia="Times New Roman" w:hAnsi="Times New Roman"/>
          <w:sz w:val="22"/>
          <w:szCs w:val="22"/>
          <w:color w:val="auto"/>
        </w:rPr>
        <w:t>. Executive acknowledges that Executive has [twenty- one (21)]/[forty-five (45)] calendar days to consider this General Release (the “</w:t>
      </w:r>
      <w:r>
        <w:rPr>
          <w:rFonts w:ascii="Times New Roman" w:cs="Times New Roman" w:eastAsia="Times New Roman" w:hAnsi="Times New Roman"/>
          <w:sz w:val="22"/>
          <w:szCs w:val="22"/>
          <w:u w:val="single" w:color="auto"/>
          <w:color w:val="auto"/>
        </w:rPr>
        <w:t>Consideration Period</w:t>
      </w:r>
      <w:r>
        <w:rPr>
          <w:rFonts w:ascii="Times New Roman" w:cs="Times New Roman" w:eastAsia="Times New Roman" w:hAnsi="Times New Roman"/>
          <w:sz w:val="22"/>
          <w:szCs w:val="22"/>
          <w:color w:val="auto"/>
        </w:rPr>
        <w:t xml:space="preserve">”). Executive agrees that changes to this General Release, whether material or immaterial, will not restart the Consideration Period. Executive understands that Executive may, at Executive’s own election, execute this General Release before the expiration of the Consideration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Executive may not execute this General Release prior to Executive’s final day of employment with the Company. Executive has seven (7) calendar days after the date on which Executive executes this General Release to revoke Executive’s consent to the General Release. Such revocation must be in writing and must be made to [●] at [●] via [●]. Notice of such revocation must be received within the seven (7) calendar days referenced above. In the event of such revocation by Executive, this General Release will be null and void, and Executive will have no entitlement to the payments and benefits set forth in 5[(d)][(e)] of the Employment Agreement. Provided that Executive does not revoke Executive’s execution of this General Release within such seven (7) day period, this General Release shall become effective on the eighth (8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calendar day after the date on which Executive initially executes it.</w:t>
      </w:r>
    </w:p>
    <w:p>
      <w:pPr>
        <w:spacing w:after="0" w:line="179" w:lineRule="exact"/>
        <w:rPr>
          <w:rFonts w:ascii="Times New Roman" w:cs="Times New Roman" w:eastAsia="Times New Roman" w:hAnsi="Times New Roman"/>
          <w:sz w:val="22"/>
          <w:szCs w:val="22"/>
          <w:color w:val="auto"/>
        </w:rPr>
      </w:pPr>
    </w:p>
    <w:p>
      <w:pPr>
        <w:jc w:val="both"/>
        <w:ind w:left="332" w:hanging="332"/>
        <w:spacing w:after="0" w:line="244" w:lineRule="auto"/>
        <w:tabs>
          <w:tab w:leader="none" w:pos="3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Incorporation by Reference</w:t>
      </w:r>
      <w:r>
        <w:rPr>
          <w:rFonts w:ascii="Times New Roman" w:cs="Times New Roman" w:eastAsia="Times New Roman" w:hAnsi="Times New Roman"/>
          <w:sz w:val="22"/>
          <w:szCs w:val="22"/>
          <w:color w:val="auto"/>
        </w:rPr>
        <w:t>. Executive acknowledges that Sections 7 through 23 of the Employment Agreement shall survive Executive’s execution of this General Release. Section 23 of the Employment Agreement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186" w:name="page187"/>
    <w:bookmarkEnd w:id="186"/>
    <w:p>
      <w:pPr>
        <w:ind w:left="200"/>
        <w:spacing w:after="0"/>
        <w:rPr>
          <w:sz w:val="20"/>
          <w:szCs w:val="20"/>
          <w:color w:val="auto"/>
        </w:rPr>
      </w:pPr>
      <w:r>
        <w:rPr>
          <w:rFonts w:ascii="Times New Roman" w:cs="Times New Roman" w:eastAsia="Times New Roman" w:hAnsi="Times New Roman"/>
          <w:sz w:val="22"/>
          <w:szCs w:val="22"/>
          <w:color w:val="auto"/>
        </w:rPr>
        <w:t>BY SIGNING THIS GENERAL RELEASE, EXECUTIVE REPRESENTS AND AGREES THAT:</w:t>
      </w:r>
    </w:p>
    <w:p>
      <w:pPr>
        <w:spacing w:after="0" w:line="207" w:lineRule="exact"/>
        <w:rPr>
          <w:sz w:val="20"/>
          <w:szCs w:val="20"/>
          <w:color w:val="auto"/>
        </w:rPr>
      </w:pPr>
    </w:p>
    <w:p>
      <w:pPr>
        <w:ind w:left="840" w:hanging="644"/>
        <w:spacing w:after="0"/>
        <w:tabs>
          <w:tab w:leader="none" w:pos="8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READ IT CAREFULLY;</w:t>
      </w:r>
    </w:p>
    <w:p>
      <w:pPr>
        <w:spacing w:after="0" w:line="206" w:lineRule="exact"/>
        <w:rPr>
          <w:rFonts w:ascii="Times New Roman" w:cs="Times New Roman" w:eastAsia="Times New Roman" w:hAnsi="Times New Roman"/>
          <w:sz w:val="22"/>
          <w:szCs w:val="22"/>
          <w:color w:val="auto"/>
        </w:rPr>
      </w:pPr>
    </w:p>
    <w:p>
      <w:pPr>
        <w:jc w:val="both"/>
        <w:ind w:left="840" w:hanging="644"/>
        <w:spacing w:after="0" w:line="247" w:lineRule="auto"/>
        <w:tabs>
          <w:tab w:leader="none" w:pos="84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UNDERSTANDS ALL OF ITS TERMS AND KNOWS THAT EXECUTIVE IS GIVING UP IMPORTANT RIGHTS, INCLUDING, BUT NOT LIMITED TO, RIGHTS UNDER THE AGE DISCRIMINATION IN EMPLOYMENT ACT OF 1967, AS AMENDED; TITLE VII OF THE CIVIL RIGHTS ACT OF 1964, AS AMENDED; THE EQUAL PAY ACT OF 1963;</w:t>
      </w:r>
    </w:p>
    <w:p>
      <w:pPr>
        <w:spacing w:after="0" w:line="1" w:lineRule="exact"/>
        <w:rPr>
          <w:rFonts w:ascii="Times New Roman" w:cs="Times New Roman" w:eastAsia="Times New Roman" w:hAnsi="Times New Roman"/>
          <w:sz w:val="21"/>
          <w:szCs w:val="21"/>
          <w:color w:val="auto"/>
        </w:rPr>
      </w:pPr>
    </w:p>
    <w:p>
      <w:pPr>
        <w:ind w:left="840"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AMERICANS WITH DISABILITIES ACT OF 1990; AND THE EMPLOYEE RETIREMENT INCOME SECURITY ACT OF 1974, AS AMENDED;</w:t>
      </w:r>
    </w:p>
    <w:p>
      <w:pPr>
        <w:spacing w:after="0" w:line="178" w:lineRule="exact"/>
        <w:rPr>
          <w:rFonts w:ascii="Times New Roman" w:cs="Times New Roman" w:eastAsia="Times New Roman" w:hAnsi="Times New Roman"/>
          <w:sz w:val="21"/>
          <w:szCs w:val="21"/>
          <w:color w:val="auto"/>
        </w:rPr>
      </w:pPr>
    </w:p>
    <w:p>
      <w:pPr>
        <w:ind w:left="840" w:hanging="644"/>
        <w:spacing w:after="0"/>
        <w:tabs>
          <w:tab w:leader="none" w:pos="8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VOLUNTARILY CONSENTS TO EVERYTHING IN IT;</w:t>
      </w:r>
    </w:p>
    <w:p>
      <w:pPr>
        <w:spacing w:after="0" w:line="206" w:lineRule="exact"/>
        <w:rPr>
          <w:rFonts w:ascii="Times New Roman" w:cs="Times New Roman" w:eastAsia="Times New Roman" w:hAnsi="Times New Roman"/>
          <w:sz w:val="22"/>
          <w:szCs w:val="22"/>
          <w:color w:val="auto"/>
        </w:rPr>
      </w:pPr>
    </w:p>
    <w:p>
      <w:pPr>
        <w:jc w:val="both"/>
        <w:ind w:left="840" w:hanging="644"/>
        <w:spacing w:after="0" w:line="239" w:lineRule="auto"/>
        <w:tabs>
          <w:tab w:leader="none" w:pos="8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ADVISED TO CONSULT WITH AN ATTORNEY BEFORE EXECUTING IT AND EXECUTIVE HAS DONE SO, OR, AFTER CAREFUL READING AND CONSIDERATION, EXECUTIVE HAS CHOSEN NOT TO DO SO OF EXECUTIVE’S OWN VOLITION;</w:t>
      </w:r>
    </w:p>
    <w:p>
      <w:pPr>
        <w:spacing w:after="0" w:line="180" w:lineRule="exact"/>
        <w:rPr>
          <w:rFonts w:ascii="Times New Roman" w:cs="Times New Roman" w:eastAsia="Times New Roman" w:hAnsi="Times New Roman"/>
          <w:sz w:val="22"/>
          <w:szCs w:val="22"/>
          <w:color w:val="auto"/>
        </w:rPr>
      </w:pPr>
    </w:p>
    <w:p>
      <w:pPr>
        <w:jc w:val="both"/>
        <w:ind w:left="840" w:right="20" w:hanging="644"/>
        <w:spacing w:after="0" w:line="244" w:lineRule="auto"/>
        <w:tabs>
          <w:tab w:leader="none" w:pos="8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EXECUTIVE MAY NOT SIGN THIS GENERAL RELEASE BEFORE THE DATE EXECUTIVE’S EMPLOYMENT WITH THE COMPANY TERMINATES;</w:t>
      </w:r>
    </w:p>
    <w:p>
      <w:pPr>
        <w:spacing w:after="0" w:line="173" w:lineRule="exact"/>
        <w:rPr>
          <w:rFonts w:ascii="Times New Roman" w:cs="Times New Roman" w:eastAsia="Times New Roman" w:hAnsi="Times New Roman"/>
          <w:sz w:val="22"/>
          <w:szCs w:val="22"/>
          <w:color w:val="auto"/>
        </w:rPr>
      </w:pPr>
    </w:p>
    <w:p>
      <w:pPr>
        <w:jc w:val="both"/>
        <w:ind w:left="840" w:hanging="644"/>
        <w:spacing w:after="0" w:line="235" w:lineRule="auto"/>
        <w:tabs>
          <w:tab w:leader="none" w:pos="8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GIVEN ALL TIME PERIODS REQUIRED BY LAW TO CONSIDER THIS GENERAL RELEASE (INCLUDING, BUT NOT LIMITED TO, THE TIME PERIODS REQUIRED UNDER THE AGE DISCRIMINATION AND EMPLOYMENT ACT, AS AMENDED) SINCE THE DATE OF EXECUTIVE’S RECEIPT OF THIS GENERAL RELEASE SUBSTANTIALLY IN ITS FINAL FORM ON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TO CONSIDER ITS TERMS AND TO CONSULT WITH AN ATTORNEY, IF EXECUTIVE WISHED TO DO SO, OR TO CONSULT WITH ANY OF THE OTHER PERSONS DESCRIBED IN SECTION 3 OF THIS GENERAL RELEASE;</w:t>
      </w:r>
    </w:p>
    <w:p>
      <w:pPr>
        <w:spacing w:after="0" w:line="178" w:lineRule="exact"/>
        <w:rPr>
          <w:rFonts w:ascii="Times New Roman" w:cs="Times New Roman" w:eastAsia="Times New Roman" w:hAnsi="Times New Roman"/>
          <w:sz w:val="22"/>
          <w:szCs w:val="22"/>
          <w:color w:val="auto"/>
        </w:rPr>
      </w:pPr>
    </w:p>
    <w:p>
      <w:pPr>
        <w:jc w:val="both"/>
        <w:ind w:left="840" w:hanging="644"/>
        <w:spacing w:after="0" w:line="261" w:lineRule="auto"/>
        <w:tabs>
          <w:tab w:leader="none" w:pos="84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HAS SIGNED THIS GENERAL RELEASE KNOWINGLY AND VOLUNTARILY, WITH A FULL UNDERSTANDING OF ITS TERMS AND WITH THE ADVICE OF ANY COUNSEL RETAINED TO ADVISE EXECUTIVE WITH RESPECT TO IT;</w:t>
      </w:r>
    </w:p>
    <w:p>
      <w:pPr>
        <w:spacing w:after="0" w:line="157" w:lineRule="exact"/>
        <w:rPr>
          <w:rFonts w:ascii="Times New Roman" w:cs="Times New Roman" w:eastAsia="Times New Roman" w:hAnsi="Times New Roman"/>
          <w:sz w:val="21"/>
          <w:szCs w:val="21"/>
          <w:color w:val="auto"/>
        </w:rPr>
      </w:pPr>
    </w:p>
    <w:p>
      <w:pPr>
        <w:jc w:val="both"/>
        <w:ind w:left="840" w:hanging="644"/>
        <w:spacing w:after="0" w:line="244" w:lineRule="auto"/>
        <w:tabs>
          <w:tab w:leader="none" w:pos="8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RELIED ON ANY PROMISES OR REPRESENTATIVES, EXPRESS OR IMPLIED, THAT ARE NOT SET FORTH EXPRESSLY IN THIS GENERAL RELEASE; AND</w:t>
      </w:r>
    </w:p>
    <w:p>
      <w:pPr>
        <w:spacing w:after="0" w:line="173" w:lineRule="exact"/>
        <w:rPr>
          <w:rFonts w:ascii="Times New Roman" w:cs="Times New Roman" w:eastAsia="Times New Roman" w:hAnsi="Times New Roman"/>
          <w:sz w:val="22"/>
          <w:szCs w:val="22"/>
          <w:color w:val="auto"/>
        </w:rPr>
      </w:pPr>
    </w:p>
    <w:p>
      <w:pPr>
        <w:jc w:val="both"/>
        <w:ind w:left="840" w:hanging="644"/>
        <w:spacing w:after="0" w:line="239" w:lineRule="auto"/>
        <w:tabs>
          <w:tab w:leader="none" w:pos="8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THE PROVISIONS OF THIS GENERAL RELEASE MAY NOT BE AMENDED, WAIVED, CHANGED OR MODIFIED, EXCEPT BY AN INSTRUMENT IN WRITING SIGNED BY AN AUTHORIZED REPRESENTATIVE OF THE COMPANY AND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11430</wp:posOffset>
            </wp:positionV>
            <wp:extent cx="58718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8"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22"/>
          <w:szCs w:val="22"/>
          <w:color w:val="auto"/>
        </w:rPr>
        <w:t>Dr. Richard Feifer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2" w:right="1440" w:bottom="1440" w:gutter="0" w:footer="0" w:header="0"/>
        </w:sectPr>
      </w:pPr>
    </w:p>
    <w:bookmarkStart w:id="188" w:name="page189"/>
    <w:bookmarkEnd w:id="188"/>
    <w:p>
      <w:pPr>
        <w:ind w:left="816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5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0" w:type="dxa"/>
            <w:vAlign w:val="bottom"/>
            <w:gridSpan w:val="5"/>
          </w:tcPr>
          <w:p>
            <w:pPr>
              <w:jc w:val="center"/>
              <w:ind w:right="2700"/>
              <w:spacing w:after="0"/>
              <w:rPr>
                <w:sz w:val="20"/>
                <w:szCs w:val="20"/>
                <w:color w:val="auto"/>
              </w:rPr>
            </w:pPr>
            <w:r>
              <w:rPr>
                <w:rFonts w:ascii="Times New Roman" w:cs="Times New Roman" w:eastAsia="Times New Roman" w:hAnsi="Times New Roman"/>
                <w:sz w:val="20"/>
                <w:szCs w:val="20"/>
                <w:color w:val="auto"/>
                <w:w w:val="98"/>
              </w:rPr>
              <w:t>InnovAge Holding Corp.</w:t>
            </w:r>
          </w:p>
        </w:tc>
      </w:tr>
      <w:tr>
        <w:trPr>
          <w:trHeight w:val="216"/>
        </w:trPr>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0" w:type="dxa"/>
            <w:vAlign w:val="bottom"/>
            <w:gridSpan w:val="5"/>
          </w:tcPr>
          <w:p>
            <w:pPr>
              <w:jc w:val="center"/>
              <w:ind w:right="2720"/>
              <w:spacing w:after="0"/>
              <w:rPr>
                <w:sz w:val="20"/>
                <w:szCs w:val="20"/>
                <w:color w:val="auto"/>
              </w:rPr>
            </w:pPr>
            <w:r>
              <w:rPr>
                <w:rFonts w:ascii="Times New Roman" w:cs="Times New Roman" w:eastAsia="Times New Roman" w:hAnsi="Times New Roman"/>
                <w:sz w:val="18"/>
                <w:szCs w:val="18"/>
                <w:color w:val="auto"/>
                <w:w w:val="99"/>
              </w:rPr>
              <w:t>List of Subsidiaries</w:t>
            </w:r>
          </w:p>
        </w:tc>
      </w:tr>
      <w:tr>
        <w:trPr>
          <w:trHeight w:val="234"/>
        </w:trPr>
        <w:tc>
          <w:tcPr>
            <w:tcW w:w="2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0" w:type="dxa"/>
            <w:vAlign w:val="bottom"/>
            <w:gridSpan w:val="5"/>
          </w:tcPr>
          <w:p>
            <w:pPr>
              <w:jc w:val="center"/>
              <w:ind w:right="2720"/>
              <w:spacing w:after="0"/>
              <w:rPr>
                <w:sz w:val="20"/>
                <w:szCs w:val="20"/>
                <w:color w:val="auto"/>
              </w:rPr>
            </w:pPr>
            <w:r>
              <w:rPr>
                <w:rFonts w:ascii="Times New Roman" w:cs="Times New Roman" w:eastAsia="Times New Roman" w:hAnsi="Times New Roman"/>
                <w:sz w:val="18"/>
                <w:szCs w:val="18"/>
                <w:color w:val="auto"/>
                <w:w w:val="99"/>
              </w:rPr>
              <w:t>As of June 30, 2022</w:t>
            </w:r>
          </w:p>
        </w:tc>
      </w:tr>
      <w:tr>
        <w:trPr>
          <w:trHeight w:val="405"/>
        </w:trPr>
        <w:tc>
          <w:tcPr>
            <w:tcW w:w="4980" w:type="dxa"/>
            <w:vAlign w:val="bottom"/>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40" w:type="dxa"/>
            <w:vAlign w:val="bottom"/>
            <w:gridSpan w:val="4"/>
          </w:tcPr>
          <w:p>
            <w:pPr>
              <w:ind w:left="1600"/>
              <w:spacing w:after="0"/>
              <w:rPr>
                <w:sz w:val="20"/>
                <w:szCs w:val="20"/>
                <w:color w:val="auto"/>
              </w:rPr>
            </w:pPr>
            <w:r>
              <w:rPr>
                <w:rFonts w:ascii="Times New Roman" w:cs="Times New Roman" w:eastAsia="Times New Roman" w:hAnsi="Times New Roman"/>
                <w:sz w:val="18"/>
                <w:szCs w:val="18"/>
                <w:b w:val="1"/>
                <w:bCs w:val="1"/>
                <w:color w:val="auto"/>
              </w:rPr>
              <w:t>State</w:t>
            </w:r>
          </w:p>
        </w:tc>
      </w:tr>
      <w:tr>
        <w:trPr>
          <w:trHeight w:val="21"/>
        </w:trPr>
        <w:tc>
          <w:tcPr>
            <w:tcW w:w="22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InnovAge Holding Corp.</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TCO Intermediate Holdings</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Community Options, Inc. dba InnovAge</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Investment Holdings,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Care Solutions,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TCO Western Holdings,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TCO Eastern Holdings,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Community Care,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Care, Inc.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Senior Housing Thornton II,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Innovative Care Management, Inc.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Seniors! Inc.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InnovAge Senior Housing – Thornton (Managing Member),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California PACE – Sacramento,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InnovAge Virginia PACE – Roanoke Valley,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Virginia PACE – Charlottesville,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Virginia</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Life at Home,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Senior Life at Home II,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InnovAge Senior Housing, Thornton,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California PACE – Los Angeles,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InnovAge Kentucky PACE – Louisville,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Virginia PACE II,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Virginia</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TLC Inland,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Continental Community Housing, Inc.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InnovAge Home Care – North,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Home Care – Aspen,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InnovAge California PACE – Oakland,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Florida PACE,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InnovAge Florida PACE II,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Greater Colorado PACE – Loveland,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Pinewood Lodge LLLP</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InnovAge Pennsylvania LIFE,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20" w:type="dxa"/>
            <w:vAlign w:val="bottom"/>
          </w:tcPr>
          <w:p>
            <w:pPr>
              <w:spacing w:after="0"/>
              <w:rPr>
                <w:sz w:val="18"/>
                <w:szCs w:val="18"/>
                <w:color w:val="auto"/>
              </w:rPr>
            </w:pPr>
          </w:p>
        </w:tc>
      </w:tr>
      <w:tr>
        <w:trPr>
          <w:trHeight w:val="770"/>
        </w:trPr>
        <w:tc>
          <w:tcPr>
            <w:tcW w:w="2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231F20"/>
        </w:rPr>
        <w:t>Exhibit 23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CONSENT OF INDEPENDENT REGISTERED PUBLIC ACCOUNTING FIRM</w:t>
      </w:r>
    </w:p>
    <w:p>
      <w:pPr>
        <w:spacing w:after="0" w:line="27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231F20"/>
        </w:rPr>
        <w:t>We consent to the incorporation by reference in Registration Statement No. 333-253902 on Form S-8 of our report dated September 13, 2022, relating to the financial statements of InnovAge Holding Corp. appearing in this Annual Report on Form 10-K for the year ended June 30,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Denver, Colorado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September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Blair, certify that:</w:t>
      </w:r>
    </w:p>
    <w:p>
      <w:pPr>
        <w:spacing w:after="0" w:line="225" w:lineRule="exact"/>
        <w:rPr>
          <w:sz w:val="20"/>
          <w:szCs w:val="20"/>
          <w:color w:val="auto"/>
        </w:rPr>
      </w:pPr>
    </w:p>
    <w:p>
      <w:pPr>
        <w:ind w:left="340" w:hanging="332"/>
        <w:spacing w:after="0"/>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InnovAge Holding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2022</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Patrick Blair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Gutierrez, certify that:</w:t>
      </w:r>
    </w:p>
    <w:p>
      <w:pPr>
        <w:spacing w:after="0" w:line="225" w:lineRule="exact"/>
        <w:rPr>
          <w:sz w:val="20"/>
          <w:szCs w:val="20"/>
          <w:color w:val="auto"/>
        </w:rPr>
      </w:pPr>
    </w:p>
    <w:p>
      <w:pPr>
        <w:ind w:left="340" w:hanging="332"/>
        <w:spacing w:after="0"/>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InnovAge Holding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2022</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Barbara Gutierrez</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2" w:name="page193"/>
    <w:bookmarkEnd w:id="192"/>
    <w:p>
      <w:pPr>
        <w:ind w:left="880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2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InnovAge Holding Corp. (the “Company”) for the year ended June 30, 2022,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2022</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Patrick Blair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460"/>
          </w:cols>
          <w:pgMar w:left="980" w:top="117" w:right="459" w:bottom="1440" w:gutter="0" w:footer="0" w:header="0"/>
        </w:sectPr>
      </w:pPr>
    </w:p>
    <w:bookmarkStart w:id="193" w:name="page194"/>
    <w:bookmarkEnd w:id="193"/>
    <w:p>
      <w:pPr>
        <w:ind w:left="88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2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InnovAge Holding Corp. (the “Company”) for the year ended June 30, 2022, as filed with the U.S. Securities and Exchange Commission (the “Report”), I, Barbara Gutierrez,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2022</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Barbara Gutierrez</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10460"/>
      </w:cols>
      <w:pgMar w:left="980" w:top="1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1)"/>
      <w:numFmt w:val="decimal"/>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
      <w:numFmt w:val="bullet"/>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
      <w:numFmt w:val="bullet"/>
      <w:start w:val="1"/>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
      <w:numFmt w:val="bullet"/>
      <w:start w:val="1"/>
    </w:lvl>
  </w:abstractNum>
  <w:abstractNum w:abstractNumId="20">
    <w:nsid w:val="7F01579B"/>
    <w:multiLevelType w:val="hybridMultilevel"/>
    <w:lvl w:ilvl="0">
      <w:lvlJc w:val="left"/>
      <w:lvlText w:val="●"/>
      <w:numFmt w:val="bullet"/>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
      <w:numFmt w:val="bullet"/>
      <w:start w:val="1"/>
    </w:lvl>
  </w:abstractNum>
  <w:abstractNum w:abstractNumId="24">
    <w:nsid w:val="50801EE1"/>
    <w:multiLevelType w:val="hybridMultilevel"/>
    <w:lvl w:ilvl="0">
      <w:lvlJc w:val="left"/>
      <w:lvlText w:val="●"/>
      <w:numFmt w:val="bullet"/>
      <w:start w:val="1"/>
    </w:lvl>
  </w:abstractNum>
  <w:abstractNum w:abstractNumId="25">
    <w:nsid w:val="488AC1A"/>
    <w:multiLevelType w:val="hybridMultilevel"/>
    <w:lvl w:ilvl="0">
      <w:lvlJc w:val="left"/>
      <w:lvlText w:val="●"/>
      <w:numFmt w:val="bullet"/>
      <w:start w:val="1"/>
    </w:lvl>
  </w:abstractNum>
  <w:abstractNum w:abstractNumId="26">
    <w:nsid w:val="5FB8011C"/>
    <w:multiLevelType w:val="hybridMultilevel"/>
    <w:lvl w:ilvl="0">
      <w:lvlJc w:val="left"/>
      <w:lvlText w:val="●"/>
      <w:numFmt w:val="bullet"/>
      <w:start w:val="1"/>
    </w:lvl>
  </w:abstractNum>
  <w:abstractNum w:abstractNumId="27">
    <w:nsid w:val="6AA78F7F"/>
    <w:multiLevelType w:val="hybridMultilevel"/>
    <w:lvl w:ilvl="0">
      <w:lvlJc w:val="left"/>
      <w:lvlText w:val="●"/>
      <w:numFmt w:val="bullet"/>
      <w:start w:val="1"/>
    </w:lvl>
    <w:lvl w:ilvl="1">
      <w:lvlJc w:val="left"/>
      <w:lvlText w:val="●"/>
      <w:numFmt w:val="bullet"/>
      <w:start w:val="1"/>
    </w:lvl>
  </w:abstractNum>
  <w:abstractNum w:abstractNumId="28">
    <w:nsid w:val="7672BD23"/>
    <w:multiLevelType w:val="hybridMultilevel"/>
    <w:lvl w:ilvl="0">
      <w:lvlJc w:val="left"/>
      <w:lvlText w:val="●"/>
      <w:numFmt w:val="bullet"/>
      <w:start w:val="1"/>
    </w:lvl>
  </w:abstractNum>
  <w:abstractNum w:abstractNumId="29">
    <w:nsid w:val="6FC75AF8"/>
    <w:multiLevelType w:val="hybridMultilevel"/>
    <w:lvl w:ilvl="0">
      <w:lvlJc w:val="left"/>
      <w:lvlText w:val="●"/>
      <w:numFmt w:val="bullet"/>
      <w:start w:val="1"/>
    </w:lvl>
    <w:lvl w:ilvl="1">
      <w:lvlJc w:val="left"/>
      <w:lvlText w:val="●"/>
      <w:numFmt w:val="bullet"/>
      <w:start w:val="1"/>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
      <w:numFmt w:val="bullet"/>
      <w:start w:val="1"/>
    </w:lvl>
    <w:lvl w:ilvl="1">
      <w:lvlJc w:val="left"/>
      <w:lvlText w:val="●"/>
      <w:numFmt w:val="bullet"/>
      <w:start w:val="1"/>
    </w:lvl>
  </w:abstractNum>
  <w:abstractNum w:abstractNumId="34">
    <w:nsid w:val="7DE67713"/>
    <w:multiLevelType w:val="hybridMultilevel"/>
    <w:lvl w:ilvl="0">
      <w:lvlJc w:val="left"/>
      <w:lvlText w:val="●"/>
      <w:numFmt w:val="bullet"/>
      <w:start w:val="1"/>
    </w:lvl>
  </w:abstractNum>
  <w:abstractNum w:abstractNumId="35">
    <w:nsid w:val="555C55B5"/>
    <w:multiLevelType w:val="hybridMultilevel"/>
    <w:lvl w:ilvl="0">
      <w:lvlJc w:val="left"/>
      <w:lvlText w:val="●"/>
      <w:numFmt w:val="bullet"/>
      <w:start w:val="1"/>
    </w:lvl>
  </w:abstractNum>
  <w:abstractNum w:abstractNumId="36">
    <w:nsid w:val="3FA62ACA"/>
    <w:multiLevelType w:val="hybridMultilevel"/>
    <w:lvl w:ilvl="0">
      <w:lvlJc w:val="left"/>
      <w:lvlText w:val="●"/>
      <w:numFmt w:val="bullet"/>
      <w:start w:val="1"/>
    </w:lvl>
  </w:abstractNum>
  <w:abstractNum w:abstractNumId="37">
    <w:nsid w:val="14FCE74E"/>
    <w:multiLevelType w:val="hybridMultilevel"/>
    <w:lvl w:ilvl="0">
      <w:lvlJc w:val="left"/>
      <w:lvlText w:val="●"/>
      <w:numFmt w:val="bullet"/>
      <w:start w:val="1"/>
    </w:lvl>
  </w:abstractNum>
  <w:abstractNum w:abstractNumId="38">
    <w:nsid w:val="6A3DD3E8"/>
    <w:multiLevelType w:val="hybridMultilevel"/>
    <w:lvl w:ilvl="0">
      <w:lvlJc w:val="left"/>
      <w:lvlText w:val="(%1)"/>
      <w:numFmt w:val="lowerRoman"/>
      <w:start w:val="2"/>
    </w:lvl>
  </w:abstractNum>
  <w:abstractNum w:abstractNumId="39">
    <w:nsid w:val="71C91298"/>
    <w:multiLevelType w:val="hybridMultilevel"/>
    <w:lvl w:ilvl="0">
      <w:lvlJc w:val="left"/>
      <w:lvlText w:val="●"/>
      <w:numFmt w:val="bullet"/>
      <w:start w:val="1"/>
    </w:lvl>
  </w:abstractNum>
  <w:abstractNum w:abstractNumId="40">
    <w:nsid w:val="9DAF632"/>
    <w:multiLevelType w:val="hybridMultilevel"/>
    <w:lvl w:ilvl="0">
      <w:lvlJc w:val="left"/>
      <w:lvlText w:val="●"/>
      <w:numFmt w:val="bullet"/>
      <w:start w:val="1"/>
    </w:lvl>
  </w:abstractNum>
  <w:abstractNum w:abstractNumId="41">
    <w:nsid w:val="53299938"/>
    <w:multiLevelType w:val="hybridMultilevel"/>
    <w:lvl w:ilvl="0">
      <w:lvlJc w:val="left"/>
      <w:lvlText w:val="(%1)"/>
      <w:numFmt w:val="lowerRoman"/>
      <w:start w:val="1"/>
    </w:lvl>
  </w:abstractNum>
  <w:abstractNum w:abstractNumId="42">
    <w:nsid w:val="1FBFE8E0"/>
    <w:multiLevelType w:val="hybridMultilevel"/>
    <w:lvl w:ilvl="0">
      <w:lvlJc w:val="left"/>
      <w:lvlText w:val="●"/>
      <w:numFmt w:val="bullet"/>
      <w:start w:val="1"/>
    </w:lvl>
  </w:abstractNum>
  <w:abstractNum w:abstractNumId="43">
    <w:nsid w:val="5092CA79"/>
    <w:multiLevelType w:val="hybridMultilevel"/>
    <w:lvl w:ilvl="0">
      <w:lvlJc w:val="left"/>
      <w:lvlText w:val="●"/>
      <w:numFmt w:val="bullet"/>
      <w:start w:val="1"/>
    </w:lvl>
    <w:lvl w:ilvl="1">
      <w:lvlJc w:val="left"/>
      <w:lvlText w:val="●"/>
      <w:numFmt w:val="bullet"/>
      <w:start w:val="1"/>
    </w:lvl>
  </w:abstractNum>
  <w:abstractNum w:abstractNumId="44">
    <w:nsid w:val="1D545C4D"/>
    <w:multiLevelType w:val="hybridMultilevel"/>
    <w:lvl w:ilvl="0">
      <w:lvlJc w:val="left"/>
      <w:lvlText w:val="●"/>
      <w:numFmt w:val="bullet"/>
      <w:start w:val="1"/>
    </w:lvl>
  </w:abstractNum>
  <w:abstractNum w:abstractNumId="45">
    <w:nsid w:val="59ADEA3D"/>
    <w:multiLevelType w:val="hybridMultilevel"/>
    <w:lvl w:ilvl="0">
      <w:lvlJc w:val="left"/>
      <w:lvlText w:val="●"/>
      <w:numFmt w:val="bullet"/>
      <w:start w:val="1"/>
    </w:lvl>
  </w:abstractNum>
  <w:abstractNum w:abstractNumId="46">
    <w:nsid w:val="288F1A34"/>
    <w:multiLevelType w:val="hybridMultilevel"/>
    <w:lvl w:ilvl="0">
      <w:lvlJc w:val="left"/>
      <w:lvlText w:val="●"/>
      <w:numFmt w:val="bullet"/>
      <w:start w:val="1"/>
    </w:lvl>
  </w:abstractNum>
  <w:abstractNum w:abstractNumId="47">
    <w:nsid w:val="2A155DBC"/>
    <w:multiLevelType w:val="hybridMultilevel"/>
    <w:lvl w:ilvl="0">
      <w:lvlJc w:val="left"/>
      <w:lvlText w:val="●"/>
      <w:numFmt w:val="bullet"/>
      <w:start w:val="1"/>
    </w:lvl>
  </w:abstractNum>
  <w:abstractNum w:abstractNumId="48">
    <w:nsid w:val="1D9F6E5F"/>
    <w:multiLevelType w:val="hybridMultilevel"/>
    <w:lvl w:ilvl="0">
      <w:lvlJc w:val="left"/>
      <w:lvlText w:val="(%1)"/>
      <w:numFmt w:val="lowerLetter"/>
      <w:start w:val="3"/>
    </w:lvl>
  </w:abstractNum>
  <w:abstractNum w:abstractNumId="49">
    <w:nsid w:val="97E1B4E"/>
    <w:multiLevelType w:val="hybridMultilevel"/>
    <w:lvl w:ilvl="0">
      <w:lvlJc w:val="left"/>
      <w:lvlText w:val="(%1)"/>
      <w:numFmt w:val="lowerLetter"/>
      <w:start w:val="1"/>
    </w:lvl>
  </w:abstractNum>
  <w:abstractNum w:abstractNumId="50">
    <w:nsid w:val="51088277"/>
    <w:multiLevelType w:val="hybridMultilevel"/>
    <w:lvl w:ilvl="0">
      <w:lvlJc w:val="left"/>
      <w:lvlText w:val="(%1)"/>
      <w:numFmt w:val="lowerLetter"/>
      <w:start w:val="1"/>
    </w:lvl>
  </w:abstractNum>
  <w:abstractNum w:abstractNumId="51">
    <w:nsid w:val="1CA0C5FA"/>
    <w:multiLevelType w:val="hybridMultilevel"/>
    <w:lvl w:ilvl="0">
      <w:lvlJc w:val="left"/>
      <w:lvlText w:val="(%1)"/>
      <w:numFmt w:val="lowerLetter"/>
      <w:start w:val="6"/>
    </w:lvl>
  </w:abstractNum>
  <w:abstractNum w:abstractNumId="52">
    <w:nsid w:val="53584BCB"/>
    <w:multiLevelType w:val="hybridMultilevel"/>
    <w:lvl w:ilvl="0">
      <w:lvlJc w:val="left"/>
      <w:lvlText w:val="(%1)"/>
      <w:numFmt w:val="decimal"/>
      <w:start w:val="2"/>
    </w:lvl>
  </w:abstractNum>
  <w:abstractNum w:abstractNumId="53">
    <w:nsid w:val="415E286C"/>
    <w:multiLevelType w:val="hybridMultilevel"/>
    <w:lvl w:ilvl="0">
      <w:lvlJc w:val="left"/>
      <w:lvlText w:val="(%1)"/>
      <w:numFmt w:val="lowerLetter"/>
      <w:start w:val="1"/>
    </w:lvl>
  </w:abstractNum>
  <w:abstractNum w:abstractNumId="54">
    <w:nsid w:val="7C58FD05"/>
    <w:multiLevelType w:val="hybridMultilevel"/>
    <w:lvl w:ilvl="0">
      <w:lvlJc w:val="left"/>
      <w:lvlText w:val="(%1)"/>
      <w:numFmt w:val="lowerRoman"/>
      <w:start w:val="1"/>
    </w:lvl>
  </w:abstractNum>
  <w:abstractNum w:abstractNumId="55">
    <w:nsid w:val="23D86AAC"/>
    <w:multiLevelType w:val="hybridMultilevel"/>
    <w:lvl w:ilvl="0">
      <w:lvlJc w:val="left"/>
      <w:lvlText w:val="(%1)"/>
      <w:numFmt w:val="lowerLetter"/>
      <w:start w:val="1"/>
    </w:lvl>
  </w:abstractNum>
  <w:abstractNum w:abstractNumId="56">
    <w:nsid w:val="45E6D486"/>
    <w:multiLevelType w:val="hybridMultilevel"/>
    <w:lvl w:ilvl="0">
      <w:lvlJc w:val="left"/>
      <w:lvlText w:val="(%1)"/>
      <w:numFmt w:val="decimal"/>
      <w:start w:val="1"/>
    </w:lvl>
  </w:abstractNum>
  <w:abstractNum w:abstractNumId="57">
    <w:nsid w:val="5C10FE21"/>
    <w:multiLevelType w:val="hybridMultilevel"/>
    <w:lvl w:ilvl="0">
      <w:lvlJc w:val="left"/>
      <w:lvlText w:val="+"/>
      <w:numFmt w:val="bullet"/>
      <w:start w:val="1"/>
    </w:lvl>
    <w:lvl w:ilvl="1">
      <w:lvlJc w:val="left"/>
      <w:lvlText w:val="%2"/>
      <w:numFmt w:val="decimal"/>
      <w:start w:val="104"/>
    </w:lvl>
  </w:abstractNum>
  <w:abstractNum w:abstractNumId="58">
    <w:nsid w:val="E7FFA2B"/>
    <w:multiLevelType w:val="hybridMultilevel"/>
    <w:lvl w:ilvl="0">
      <w:lvlJc w:val="left"/>
      <w:lvlText w:val="*"/>
      <w:numFmt w:val="bullet"/>
      <w:start w:val="1"/>
    </w:lvl>
  </w:abstractNum>
  <w:abstractNum w:abstractNumId="59">
    <w:nsid w:val="3C5991AA"/>
    <w:multiLevelType w:val="hybridMultilevel"/>
    <w:lvl w:ilvl="0">
      <w:lvlJc w:val="left"/>
      <w:lvlText w:val="†"/>
      <w:numFmt w:val="bullet"/>
      <w:start w:val="1"/>
    </w:lvl>
  </w:abstractNum>
  <w:abstractNum w:abstractNumId="60">
    <w:nsid w:val="4BD8591A"/>
    <w:multiLevelType w:val="hybridMultilevel"/>
    <w:lvl w:ilvl="0">
      <w:lvlJc w:val="left"/>
      <w:lvlText w:val="%1."/>
      <w:numFmt w:val="decimal"/>
      <w:start w:val="1"/>
    </w:lvl>
    <w:lvl w:ilvl="1">
      <w:lvlJc w:val="left"/>
      <w:lvlText w:val="(%2)"/>
      <w:numFmt w:val="lowerLetter"/>
      <w:start w:val="1"/>
    </w:lvl>
  </w:abstractNum>
  <w:abstractNum w:abstractNumId="61">
    <w:nsid w:val="78DF6A55"/>
    <w:multiLevelType w:val="hybridMultilevel"/>
    <w:lvl w:ilvl="0">
      <w:lvlJc w:val="left"/>
      <w:lvlText w:val="%1"/>
      <w:numFmt w:val="decimal"/>
      <w:start w:val="1"/>
    </w:lvl>
    <w:lvl w:ilvl="1">
      <w:lvlJc w:val="left"/>
      <w:lvlText w:val="(%2)"/>
      <w:numFmt w:val="lowerLetter"/>
      <w:start w:val="1"/>
    </w:lvl>
  </w:abstractNum>
  <w:abstractNum w:abstractNumId="62">
    <w:nsid w:val="39B7AAA2"/>
    <w:multiLevelType w:val="hybridMultilevel"/>
    <w:lvl w:ilvl="0">
      <w:lvlJc w:val="left"/>
      <w:lvlText w:val="(%1)"/>
      <w:numFmt w:val="decimal"/>
      <w:start w:val="4"/>
    </w:lvl>
    <w:lvl w:ilvl="1">
      <w:lvlJc w:val="left"/>
      <w:lvlText w:val="%2"/>
      <w:numFmt w:val="lowerLetter"/>
      <w:start w:val="1"/>
    </w:lvl>
  </w:abstractNum>
  <w:abstractNum w:abstractNumId="63">
    <w:nsid w:val="2B0D8DBE"/>
    <w:multiLevelType w:val="hybridMultilevel"/>
    <w:lvl w:ilvl="0">
      <w:lvlJc w:val="left"/>
      <w:lvlText w:val="%1"/>
      <w:numFmt w:val="lowerLetter"/>
      <w:start w:val="1"/>
    </w:lvl>
    <w:lvl w:ilvl="1">
      <w:lvlJc w:val="left"/>
      <w:lvlText w:val="(%2)"/>
      <w:numFmt w:val="lowerLetter"/>
      <w:start w:val="6"/>
    </w:lvl>
  </w:abstractNum>
  <w:abstractNum w:abstractNumId="64">
    <w:nsid w:val="6C80EC70"/>
    <w:multiLevelType w:val="hybridMultilevel"/>
    <w:lvl w:ilvl="0">
      <w:lvlJc w:val="left"/>
      <w:lvlText w:val="(%1)"/>
      <w:numFmt w:val="lowerLetter"/>
      <w:start w:val="9"/>
    </w:lvl>
    <w:lvl w:ilvl="1">
      <w:lvlJc w:val="left"/>
      <w:lvlText w:val="%2"/>
      <w:numFmt w:val="lowerLetter"/>
      <w:start w:val="1"/>
    </w:lvl>
  </w:abstractNum>
  <w:abstractNum w:abstractNumId="65">
    <w:nsid w:val="379E21B5"/>
    <w:multiLevelType w:val="hybridMultilevel"/>
    <w:lvl w:ilvl="0">
      <w:lvlJc w:val="left"/>
      <w:lvlText w:val="(%1)"/>
      <w:numFmt w:val="lowerLetter"/>
      <w:start w:val="61"/>
    </w:lvl>
    <w:lvl w:ilvl="1">
      <w:lvlJc w:val="left"/>
      <w:lvlText w:val="(%2)"/>
      <w:numFmt w:val="lowerLetter"/>
      <w:start w:val="7"/>
    </w:lvl>
  </w:abstractNum>
  <w:abstractNum w:abstractNumId="66">
    <w:nsid w:val="69E373"/>
    <w:multiLevelType w:val="hybridMultilevel"/>
    <w:lvl w:ilvl="0">
      <w:lvlJc w:val="left"/>
      <w:lvlText w:val="%1."/>
      <w:numFmt w:val="decimal"/>
      <w:start w:val="5"/>
    </w:lvl>
    <w:lvl w:ilvl="1">
      <w:lvlJc w:val="left"/>
      <w:lvlText w:val="(%2)"/>
      <w:numFmt w:val="lowerLetter"/>
      <w:start w:val="1"/>
    </w:lvl>
  </w:abstractNum>
  <w:abstractNum w:abstractNumId="67">
    <w:nsid w:val="2C27173B"/>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68">
    <w:nsid w:val="4C9B0904"/>
    <w:multiLevelType w:val="hybridMultilevel"/>
    <w:lvl w:ilvl="0">
      <w:lvlJc w:val="left"/>
      <w:lvlText w:val="(%1)"/>
      <w:numFmt w:val="lowerRoman"/>
      <w:start w:val="1"/>
    </w:lvl>
  </w:abstractNum>
  <w:abstractNum w:abstractNumId="69">
    <w:nsid w:val="6AA7B75C"/>
    <w:multiLevelType w:val="hybridMultilevel"/>
    <w:lvl w:ilvl="0">
      <w:lvlJc w:val="left"/>
      <w:lvlText w:val="(%1)"/>
      <w:numFmt w:val="lowerLetter"/>
      <w:start w:val="4"/>
    </w:lvl>
  </w:abstractNum>
  <w:abstractNum w:abstractNumId="70">
    <w:nsid w:val="1DF029D3"/>
    <w:multiLevelType w:val="hybridMultilevel"/>
    <w:lvl w:ilvl="0">
      <w:lvlJc w:val="left"/>
      <w:lvlText w:val="(%1)"/>
      <w:numFmt w:val="lowerLetter"/>
      <w:start w:val="5"/>
    </w:lvl>
    <w:lvl w:ilvl="1">
      <w:lvlJc w:val="left"/>
      <w:lvlText w:val="(%2)"/>
      <w:numFmt w:val="lowerLetter"/>
      <w:start w:val="9"/>
    </w:lvl>
  </w:abstractNum>
  <w:abstractNum w:abstractNumId="71">
    <w:nsid w:val="5675FF36"/>
    <w:multiLevelType w:val="hybridMultilevel"/>
    <w:lvl w:ilvl="0">
      <w:lvlJc w:val="left"/>
      <w:lvlText w:val="(%1)"/>
      <w:numFmt w:val="lowerRoman"/>
      <w:start w:val="2"/>
    </w:lvl>
  </w:abstractNum>
  <w:abstractNum w:abstractNumId="72">
    <w:nsid w:val="3DD15094"/>
    <w:multiLevelType w:val="hybridMultilevel"/>
    <w:lvl w:ilvl="0">
      <w:lvlJc w:val="left"/>
      <w:lvlText w:val="(%1)"/>
      <w:numFmt w:val="lowerLetter"/>
      <w:start w:val="6"/>
    </w:lvl>
    <w:lvl w:ilvl="1">
      <w:lvlJc w:val="left"/>
      <w:lvlText w:val="(%2)"/>
      <w:numFmt w:val="lowerLetter"/>
      <w:start w:val="9"/>
    </w:lvl>
  </w:abstractNum>
  <w:abstractNum w:abstractNumId="73">
    <w:nsid w:val="3DB012B3"/>
    <w:multiLevelType w:val="hybridMultilevel"/>
    <w:lvl w:ilvl="0">
      <w:lvlJc w:val="left"/>
      <w:lvlText w:val="%1"/>
      <w:numFmt w:val="lowerLetter"/>
      <w:start w:val="1"/>
    </w:lvl>
    <w:lvl w:ilvl="1">
      <w:lvlJc w:val="left"/>
      <w:lvlText w:val="(%2)"/>
      <w:numFmt w:val="lowerRoman"/>
      <w:start w:val="2"/>
    </w:lvl>
  </w:abstractNum>
  <w:abstractNum w:abstractNumId="74">
    <w:nsid w:val="2708C9AF"/>
    <w:multiLevelType w:val="hybridMultilevel"/>
    <w:lvl w:ilvl="0">
      <w:lvlJc w:val="left"/>
      <w:lvlText w:val="(%1)"/>
      <w:numFmt w:val="lowerLetter"/>
      <w:start w:val="8"/>
    </w:lvl>
    <w:lvl w:ilvl="1">
      <w:lvlJc w:val="left"/>
      <w:lvlText w:val="%2"/>
      <w:numFmt w:val="lowerRoman"/>
      <w:start w:val="1"/>
    </w:lvl>
  </w:abstractNum>
  <w:abstractNum w:abstractNumId="75">
    <w:nsid w:val="5B25ACE2"/>
    <w:multiLevelType w:val="hybridMultilevel"/>
    <w:lvl w:ilvl="0">
      <w:lvlJc w:val="left"/>
      <w:lvlText w:val="%1."/>
      <w:numFmt w:val="decimal"/>
      <w:start w:val="6"/>
    </w:lvl>
    <w:lvl w:ilvl="1">
      <w:lvlJc w:val="left"/>
      <w:lvlText w:val="(%2)"/>
      <w:numFmt w:val="lowerLetter"/>
      <w:start w:val="1"/>
    </w:lvl>
  </w:abstractNum>
  <w:abstractNum w:abstractNumId="76">
    <w:nsid w:val="175DFCF0"/>
    <w:multiLevelType w:val="hybridMultilevel"/>
    <w:lvl w:ilvl="0">
      <w:lvlJc w:val="left"/>
      <w:lvlText w:val="(%1)"/>
      <w:numFmt w:val="lowerLetter"/>
      <w:start w:val="2"/>
    </w:lvl>
  </w:abstractNum>
  <w:abstractNum w:abstractNumId="77">
    <w:nsid w:val="4F97E3E4"/>
    <w:multiLevelType w:val="hybridMultilevel"/>
    <w:lvl w:ilvl="0">
      <w:lvlJc w:val="left"/>
      <w:lvlText w:val="%1."/>
      <w:numFmt w:val="decimal"/>
      <w:start w:val="8"/>
    </w:lvl>
    <w:lvl w:ilvl="1">
      <w:lvlJc w:val="left"/>
      <w:lvlText w:val="(%2)"/>
      <w:numFmt w:val="lowerLetter"/>
      <w:start w:val="1"/>
    </w:lvl>
  </w:abstractNum>
  <w:abstractNum w:abstractNumId="78">
    <w:nsid w:val="53B0A9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2"/>
    </w:lvl>
    <w:lvl w:ilvl="4">
      <w:lvlJc w:val="left"/>
      <w:lvlText w:val="(%5)"/>
      <w:numFmt w:val="lowerLetter"/>
      <w:start w:val="9"/>
    </w:lvl>
  </w:abstractNum>
  <w:abstractNum w:abstractNumId="79">
    <w:nsid w:val="34FD6B4F"/>
    <w:multiLevelType w:val="hybridMultilevel"/>
    <w:lvl w:ilvl="0">
      <w:lvlJc w:val="left"/>
      <w:lvlText w:val="(%1)"/>
      <w:numFmt w:val="upperLetter"/>
      <w:start w:val="1"/>
    </w:lvl>
    <w:lvl w:ilvl="1">
      <w:lvlJc w:val="left"/>
      <w:lvlText w:val="%2."/>
      <w:numFmt w:val="decimal"/>
      <w:start w:val="9"/>
    </w:lvl>
    <w:lvl w:ilvl="2">
      <w:lvlJc w:val="left"/>
      <w:lvlText w:val="(%3)"/>
      <w:numFmt w:val="lowerLetter"/>
      <w:start w:val="2"/>
    </w:lvl>
    <w:lvl w:ilvl="3">
      <w:lvlJc w:val="left"/>
      <w:lvlText w:val="%4"/>
      <w:numFmt w:val="lowerLetter"/>
      <w:start w:val="1"/>
    </w:lvl>
    <w:lvl w:ilvl="4">
      <w:lvlJc w:val="left"/>
      <w:lvlText w:val="(%5)"/>
      <w:numFmt w:val="lowerLetter"/>
      <w:start w:val="35"/>
    </w:lvl>
  </w:abstractNum>
  <w:abstractNum w:abstractNumId="80">
    <w:nsid w:val="5915FF32"/>
    <w:multiLevelType w:val="hybridMultilevel"/>
    <w:lvl w:ilvl="0">
      <w:lvlJc w:val="left"/>
      <w:lvlText w:val="%1."/>
      <w:numFmt w:val="decimal"/>
      <w:start w:val="11"/>
    </w:lvl>
    <w:lvl w:ilvl="1">
      <w:lvlJc w:val="left"/>
      <w:lvlText w:val="(%2)"/>
      <w:numFmt w:val="lowerLetter"/>
      <w:start w:val="1"/>
    </w:lvl>
  </w:abstractNum>
  <w:abstractNum w:abstractNumId="81">
    <w:nsid w:val="56438D15"/>
    <w:multiLevelType w:val="hybridMultilevel"/>
    <w:lvl w:ilvl="0">
      <w:lvlJc w:val="left"/>
      <w:lvlText w:val="%1"/>
      <w:numFmt w:val="decimal"/>
      <w:start w:val="1"/>
    </w:lvl>
    <w:lvl w:ilvl="1">
      <w:lvlJc w:val="left"/>
      <w:lvlText w:val="(%2)"/>
      <w:numFmt w:val="lowerLetter"/>
      <w:start w:val="2"/>
    </w:lvl>
  </w:abstractNum>
  <w:abstractNum w:abstractNumId="82">
    <w:nsid w:val="519E3149"/>
    <w:multiLevelType w:val="hybridMultilevel"/>
    <w:lvl w:ilvl="0">
      <w:lvlJc w:val="left"/>
      <w:lvlText w:val="%1."/>
      <w:numFmt w:val="decimal"/>
      <w:start w:val="14"/>
    </w:lvl>
    <w:lvl w:ilvl="1">
      <w:lvlJc w:val="left"/>
      <w:lvlText w:val="%2"/>
      <w:numFmt w:val="lowerLetter"/>
      <w:start w:val="1"/>
    </w:lvl>
  </w:abstractNum>
  <w:abstractNum w:abstractNumId="83">
    <w:nsid w:val="2C6E4AFD"/>
    <w:multiLevelType w:val="hybridMultilevel"/>
    <w:lvl w:ilvl="0">
      <w:lvlJc w:val="left"/>
      <w:lvlText w:val="%1."/>
      <w:numFmt w:val="decimal"/>
      <w:start w:val="15"/>
    </w:lvl>
  </w:abstractNum>
  <w:abstractNum w:abstractNumId="84">
    <w:nsid w:val="17A1B582"/>
    <w:multiLevelType w:val="hybridMultilevel"/>
    <w:lvl w:ilvl="0">
      <w:lvlJc w:val="left"/>
      <w:lvlText w:val="%1."/>
      <w:numFmt w:val="decimal"/>
      <w:start w:val="19"/>
    </w:lvl>
  </w:abstractNum>
  <w:abstractNum w:abstractNumId="85">
    <w:nsid w:val="4DF72E4E"/>
    <w:multiLevelType w:val="hybridMultilevel"/>
    <w:lvl w:ilvl="0">
      <w:lvlJc w:val="left"/>
      <w:lvlText w:val="%1."/>
      <w:numFmt w:val="decimal"/>
      <w:start w:val="1"/>
    </w:lvl>
  </w:abstractNum>
  <w:abstractNum w:abstractNumId="86">
    <w:nsid w:val="5046B5A9"/>
    <w:multiLevelType w:val="hybridMultilevel"/>
    <w:lvl w:ilvl="0">
      <w:lvlJc w:val="left"/>
      <w:lvlText w:val="%1."/>
      <w:numFmt w:val="decimal"/>
      <w:start w:val="4"/>
    </w:lvl>
  </w:abstractNum>
  <w:abstractNum w:abstractNumId="87">
    <w:nsid w:val="5D888A08"/>
    <w:multiLevelType w:val="hybridMultilevel"/>
    <w:lvl w:ilvl="0">
      <w:lvlJc w:val="left"/>
      <w:lvlText w:val="%1."/>
      <w:numFmt w:val="decimal"/>
      <w:start w:val="6"/>
    </w:lvl>
  </w:abstractNum>
  <w:abstractNum w:abstractNumId="88">
    <w:nsid w:val="2A082C70"/>
    <w:multiLevelType w:val="hybridMultilevel"/>
    <w:lvl w:ilvl="0">
      <w:lvlJc w:val="left"/>
      <w:lvlText w:val="%1."/>
      <w:numFmt w:val="decimal"/>
      <w:start w:val="14"/>
    </w:lvl>
  </w:abstractNum>
  <w:abstractNum w:abstractNumId="89">
    <w:nsid w:val="5EC6AFD4"/>
    <w:multiLevelType w:val="hybridMultilevel"/>
    <w:lvl w:ilvl="0">
      <w:lvlJc w:val="left"/>
      <w:lvlText w:val="%1."/>
      <w:numFmt w:val="decimal"/>
      <w:start w:val="1"/>
    </w:lvl>
  </w:abstractNum>
  <w:abstractNum w:abstractNumId="90">
    <w:nsid w:val="19E21B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1">
    <w:nsid w:val="75E0858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92">
    <w:nsid w:val="57A61A2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93">
    <w:nsid w:val="5399C654"/>
    <w:multiLevelType w:val="hybridMultilevel"/>
    <w:lvl w:ilvl="0">
      <w:lvlJc w:val="left"/>
      <w:lvlText w:val="(%1)"/>
      <w:numFmt w:val="decimal"/>
      <w:start w:val="4"/>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94">
    <w:nsid w:val="20EE13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5">
    <w:nsid w:val="4427069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61"/>
    </w:lvl>
  </w:abstractNum>
  <w:abstractNum w:abstractNumId="96">
    <w:nsid w:val="B37E80A"/>
    <w:multiLevelType w:val="hybridMultilevel"/>
    <w:lvl w:ilvl="0">
      <w:lvlJc w:val="left"/>
      <w:lvlText w:val="(%1)"/>
      <w:numFmt w:val="lowerLetter"/>
      <w:start w:val="3"/>
    </w:lvl>
    <w:lvl w:ilvl="1">
      <w:lvlJc w:val="left"/>
      <w:lvlText w:val="(%2)"/>
      <w:numFmt w:val="lowerRoman"/>
      <w:start w:val="5"/>
    </w:lvl>
    <w:lvl w:ilvl="2">
      <w:lvlJc w:val="left"/>
      <w:lvlText w:val="(%3)"/>
      <w:numFmt w:val="lowerRoman"/>
      <w:start w:val="1"/>
    </w:lvl>
    <w:lvl w:ilvl="3">
      <w:lvlJc w:val="left"/>
      <w:lvlText w:val="%4"/>
      <w:numFmt w:val="lowerLetter"/>
      <w:start w:val="1"/>
    </w:lvl>
  </w:abstractNum>
  <w:abstractNum w:abstractNumId="97">
    <w:nsid w:val="2157F6BC"/>
    <w:multiLevelType w:val="hybridMultilevel"/>
    <w:lvl w:ilvl="0">
      <w:lvlJc w:val="left"/>
      <w:lvlText w:val="(%1)"/>
      <w:numFmt w:val="lowerLetter"/>
      <w:start w:val="5"/>
    </w:lvl>
    <w:lvl w:ilvl="1">
      <w:lvlJc w:val="left"/>
      <w:lvlText w:val="(%2)"/>
      <w:numFmt w:val="lowerRoman"/>
      <w:start w:val="2"/>
    </w:lvl>
    <w:lvl w:ilvl="2">
      <w:lvlJc w:val="left"/>
      <w:lvlText w:val="(%3)"/>
      <w:numFmt w:val="lowerRoman"/>
      <w:start w:val="1"/>
    </w:lvl>
  </w:abstractNum>
  <w:abstractNum w:abstractNumId="98">
    <w:nsid w:val="704E1DD5"/>
    <w:multiLevelType w:val="hybridMultilevel"/>
    <w:lvl w:ilvl="0">
      <w:lvlJc w:val="left"/>
      <w:lvlText w:val="(%1)"/>
      <w:numFmt w:val="lowerLetter"/>
      <w:start w:val="6"/>
    </w:lvl>
  </w:abstractNum>
  <w:abstractNum w:abstractNumId="99">
    <w:nsid w:val="57D2F10E"/>
    <w:multiLevelType w:val="hybridMultilevel"/>
    <w:lvl w:ilvl="0">
      <w:lvlJc w:val="left"/>
      <w:lvlText w:val="(%1)"/>
      <w:numFmt w:val="lowerLetter"/>
      <w:start w:val="7"/>
    </w:lvl>
    <w:lvl w:ilvl="1">
      <w:lvlJc w:val="left"/>
      <w:lvlText w:val="(%2)"/>
      <w:numFmt w:val="lowerLetter"/>
      <w:start w:val="9"/>
    </w:lvl>
  </w:abstractNum>
  <w:abstractNum w:abstractNumId="100">
    <w:nsid w:val="BFFAE1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2"/>
    </w:lvl>
  </w:abstractNum>
  <w:abstractNum w:abstractNumId="101">
    <w:nsid w:val="E3E47A8"/>
    <w:multiLevelType w:val="hybridMultilevel"/>
    <w:lvl w:ilvl="0">
      <w:lvlJc w:val="left"/>
      <w:lvlText w:val="(%1)"/>
      <w:numFmt w:val="lowerRoman"/>
      <w:start w:val="2"/>
    </w:lvl>
    <w:lvl w:ilvl="1">
      <w:lvlJc w:val="left"/>
      <w:lvlText w:val="%2."/>
      <w:numFmt w:val="decimal"/>
      <w:start w:val="5"/>
    </w:lvl>
    <w:lvl w:ilvl="2">
      <w:lvlJc w:val="left"/>
      <w:lvlText w:val="(%3)"/>
      <w:numFmt w:val="lowerLetter"/>
      <w:start w:val="7"/>
    </w:lvl>
    <w:lvl w:ilvl="3">
      <w:lvlJc w:val="left"/>
      <w:lvlText w:val="(%4)"/>
      <w:numFmt w:val="lowerLetter"/>
      <w:start w:val="22"/>
    </w:lvl>
    <w:lvl w:ilvl="4">
      <w:lvlJc w:val="left"/>
      <w:lvlText w:val="%5"/>
      <w:numFmt w:val="lowerRoman"/>
      <w:start w:val="1"/>
    </w:lvl>
  </w:abstractNum>
  <w:abstractNum w:abstractNumId="102">
    <w:nsid w:val="2E48F04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103">
    <w:nsid w:val="49D0FEAC"/>
    <w:multiLevelType w:val="hybridMultilevel"/>
    <w:lvl w:ilvl="0">
      <w:lvlJc w:val="left"/>
      <w:lvlText w:val="%1"/>
      <w:numFmt w:val="decimal"/>
      <w:start w:val="1"/>
    </w:lvl>
    <w:lvl w:ilvl="1">
      <w:lvlJc w:val="left"/>
      <w:lvlText w:val="(%2)"/>
      <w:numFmt w:val="lowerLetter"/>
      <w:start w:val="2"/>
    </w:lvl>
  </w:abstractNum>
  <w:abstractNum w:abstractNumId="104">
    <w:nsid w:val="4BEE5A5B"/>
    <w:multiLevelType w:val="hybridMultilevel"/>
    <w:lvl w:ilvl="0">
      <w:lvlJc w:val="left"/>
      <w:lvlText w:val="%1."/>
      <w:numFmt w:val="decimal"/>
      <w:start w:val="7"/>
    </w:lvl>
    <w:lvl w:ilvl="1">
      <w:lvlJc w:val="left"/>
      <w:lvlText w:val="(%2)"/>
      <w:numFmt w:val="lowerLetter"/>
      <w:start w:val="1"/>
    </w:lvl>
  </w:abstractNum>
  <w:abstractNum w:abstractNumId="105">
    <w:nsid w:val="5551B9F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6">
    <w:nsid w:val="24F6AB8E"/>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107">
    <w:nsid w:val="634C574C"/>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108">
    <w:nsid w:val="24E99DD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9">
    <w:nsid w:val="2A31B62D"/>
    <w:multiLevelType w:val="hybridMultilevel"/>
    <w:lvl w:ilvl="0">
      <w:lvlJc w:val="left"/>
      <w:lvlText w:val="(%1)"/>
      <w:numFmt w:val="lowerLetter"/>
      <w:start w:val="24"/>
    </w:lvl>
    <w:lvl w:ilvl="1">
      <w:lvlJc w:val="left"/>
      <w:lvlText w:val="(%2)"/>
      <w:numFmt w:val="lowerLetter"/>
      <w:start w:val="2"/>
    </w:lvl>
    <w:lvl w:ilvl="2">
      <w:lvlJc w:val="left"/>
      <w:lvlText w:val="%3"/>
      <w:numFmt w:val="lowerLetter"/>
      <w:start w:val="1"/>
    </w:lvl>
  </w:abstractNum>
  <w:abstractNum w:abstractNumId="110">
    <w:nsid w:val="1849C29B"/>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11">
    <w:nsid w:val="7DFF9D09"/>
    <w:multiLevelType w:val="hybridMultilevel"/>
    <w:lvl w:ilvl="0">
      <w:lvlJc w:val="left"/>
      <w:lvlText w:val="%1"/>
      <w:numFmt w:val="decimal"/>
      <w:start w:val="1"/>
    </w:lvl>
    <w:lvl w:ilvl="1">
      <w:lvlJc w:val="left"/>
      <w:lvlText w:val="%2."/>
      <w:numFmt w:val="decimal"/>
      <w:start w:val="10"/>
    </w:lvl>
  </w:abstractNum>
  <w:abstractNum w:abstractNumId="112">
    <w:nsid w:val="754342"/>
    <w:multiLevelType w:val="hybridMultilevel"/>
    <w:lvl w:ilvl="0">
      <w:lvlJc w:val="left"/>
      <w:lvlText w:val="%1."/>
      <w:numFmt w:val="decimal"/>
      <w:start w:val="11"/>
    </w:lvl>
    <w:lvl w:ilvl="1">
      <w:lvlJc w:val="left"/>
      <w:lvlText w:val="%2"/>
      <w:numFmt w:val="decimal"/>
      <w:start w:val="1"/>
    </w:lvl>
  </w:abstractNum>
  <w:abstractNum w:abstractNumId="113">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4">
    <w:nsid w:val="2A6DE806"/>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15">
    <w:nsid w:val="1816F8C4"/>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116">
    <w:nsid w:val="37DF2233"/>
    <w:multiLevelType w:val="hybridMultilevel"/>
    <w:lvl w:ilvl="0">
      <w:lvlJc w:val="left"/>
      <w:lvlText w:val="%1"/>
      <w:numFmt w:val="decimal"/>
      <w:start w:val="1"/>
    </w:lvl>
    <w:lvl w:ilvl="1">
      <w:lvlJc w:val="left"/>
      <w:lvlText w:val="%2."/>
      <w:numFmt w:val="decimal"/>
      <w:start w:val="14"/>
    </w:lvl>
  </w:abstractNum>
  <w:abstractNum w:abstractNumId="117">
    <w:nsid w:val="7AB49DAF"/>
    <w:multiLevelType w:val="hybridMultilevel"/>
    <w:lvl w:ilvl="0">
      <w:lvlJc w:val="left"/>
      <w:lvlText w:val="%1."/>
      <w:numFmt w:val="decimal"/>
      <w:start w:val="17"/>
    </w:lvl>
    <w:lvl w:ilvl="1">
      <w:lvlJc w:val="left"/>
      <w:lvlText w:val="%2"/>
      <w:numFmt w:val="decimal"/>
      <w:start w:val="1"/>
    </w:lvl>
  </w:abstractNum>
  <w:abstractNum w:abstractNumId="118">
    <w:nsid w:val="759F82CD"/>
    <w:multiLevelType w:val="hybridMultilevel"/>
    <w:lvl w:ilvl="0">
      <w:lvlJc w:val="left"/>
      <w:lvlText w:val="%1"/>
      <w:numFmt w:val="decimal"/>
      <w:start w:val="1"/>
    </w:lvl>
    <w:lvl w:ilvl="1">
      <w:lvlJc w:val="left"/>
      <w:lvlText w:val="%2."/>
      <w:numFmt w:val="decimal"/>
      <w:start w:val="18"/>
    </w:lvl>
  </w:abstractNum>
  <w:abstractNum w:abstractNumId="119">
    <w:nsid w:val="61E74EA3"/>
    <w:multiLevelType w:val="hybridMultilevel"/>
    <w:lvl w:ilvl="0">
      <w:lvlJc w:val="left"/>
      <w:lvlText w:val="%1."/>
      <w:numFmt w:val="decimal"/>
      <w:start w:val="20"/>
    </w:lvl>
    <w:lvl w:ilvl="1">
      <w:lvlJc w:val="left"/>
      <w:lvlText w:val="%2"/>
      <w:numFmt w:val="decimal"/>
      <w:start w:val="1"/>
    </w:lvl>
  </w:abstractNum>
  <w:abstractNum w:abstractNumId="120">
    <w:nsid w:val="597B4D84"/>
    <w:multiLevelType w:val="hybridMultilevel"/>
    <w:lvl w:ilvl="0">
      <w:lvlJc w:val="left"/>
      <w:lvlText w:val="%1"/>
      <w:numFmt w:val="decimal"/>
      <w:start w:val="1"/>
    </w:lvl>
    <w:lvl w:ilvl="1">
      <w:lvlJc w:val="left"/>
      <w:lvlText w:val="%2."/>
      <w:numFmt w:val="decimal"/>
      <w:start w:val="1"/>
    </w:lvl>
  </w:abstractNum>
  <w:abstractNum w:abstractNumId="121">
    <w:nsid w:val="F819E7F"/>
    <w:multiLevelType w:val="hybridMultilevel"/>
    <w:lvl w:ilvl="0">
      <w:lvlJc w:val="left"/>
      <w:lvlText w:val="%1."/>
      <w:numFmt w:val="decimal"/>
      <w:start w:val="2"/>
    </w:lvl>
    <w:lvl w:ilvl="1">
      <w:lvlJc w:val="left"/>
      <w:lvlText w:val="%2"/>
      <w:numFmt w:val="decimal"/>
      <w:start w:val="1"/>
    </w:lvl>
  </w:abstractNum>
  <w:abstractNum w:abstractNumId="122">
    <w:nsid w:val="57C7D42D"/>
    <w:multiLevelType w:val="hybridMultilevel"/>
    <w:lvl w:ilvl="0">
      <w:lvlJc w:val="left"/>
      <w:lvlText w:val="%1"/>
      <w:numFmt w:val="decimal"/>
      <w:start w:val="1"/>
    </w:lvl>
    <w:lvl w:ilvl="1">
      <w:lvlJc w:val="left"/>
      <w:lvlText w:val="%2."/>
      <w:numFmt w:val="decimal"/>
      <w:start w:val="3"/>
    </w:lvl>
  </w:abstractNum>
  <w:abstractNum w:abstractNumId="123">
    <w:nsid w:val="312167AD"/>
    <w:multiLevelType w:val="hybridMultilevel"/>
    <w:lvl w:ilvl="0">
      <w:lvlJc w:val="left"/>
      <w:lvlText w:val="%1."/>
      <w:numFmt w:val="decimal"/>
      <w:start w:val="6"/>
    </w:lvl>
    <w:lvl w:ilvl="1">
      <w:lvlJc w:val="left"/>
      <w:lvlText w:val="%2"/>
      <w:numFmt w:val="decimal"/>
      <w:start w:val="1"/>
    </w:lvl>
  </w:abstractNum>
  <w:abstractNum w:abstractNumId="124">
    <w:nsid w:val="631B64D4"/>
    <w:multiLevelType w:val="hybridMultilevel"/>
    <w:lvl w:ilvl="0">
      <w:lvlJc w:val="left"/>
      <w:lvlText w:val="%1"/>
      <w:numFmt w:val="decimal"/>
      <w:start w:val="1"/>
    </w:lvl>
    <w:lvl w:ilvl="1">
      <w:lvlJc w:val="left"/>
      <w:lvlText w:val="%2."/>
      <w:numFmt w:val="decimal"/>
      <w:start w:val="7"/>
    </w:lvl>
  </w:abstractNum>
  <w:abstractNum w:abstractNumId="125">
    <w:nsid w:val="78B5E776"/>
    <w:multiLevelType w:val="hybridMultilevel"/>
    <w:lvl w:ilvl="0">
      <w:lvlJc w:val="left"/>
      <w:lvlText w:val="%1."/>
      <w:numFmt w:val="decimal"/>
      <w:start w:val="9"/>
    </w:lvl>
    <w:lvl w:ilvl="1">
      <w:lvlJc w:val="left"/>
      <w:lvlText w:val="%2."/>
      <w:numFmt w:val="decimal"/>
      <w:start w:val="10"/>
    </w:lvl>
  </w:abstractNum>
  <w:abstractNum w:abstractNumId="126">
    <w:nsid w:val="75486E47"/>
    <w:multiLevelType w:val="hybridMultilevel"/>
    <w:lvl w:ilvl="0">
      <w:lvlJc w:val="left"/>
      <w:lvlText w:val="%1."/>
      <w:numFmt w:val="decimal"/>
      <w:start w:val="12"/>
    </w:lvl>
  </w:abstractNum>
  <w:abstractNum w:abstractNumId="127">
    <w:nsid w:val="6E534CD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28">
    <w:nsid w:val="1A0DDE32"/>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129">
    <w:nsid w:val="65968C1C"/>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lvl w:ilvl="3">
      <w:lvlJc w:val="left"/>
      <w:lvlText w:val="%4"/>
      <w:numFmt w:val="decimal"/>
      <w:start w:val="1"/>
    </w:lvl>
  </w:abstractNum>
  <w:abstractNum w:abstractNumId="130">
    <w:nsid w:val="46263DEC"/>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31">
    <w:nsid w:val="260D8C4A"/>
    <w:multiLevelType w:val="hybridMultilevel"/>
    <w:lvl w:ilvl="0">
      <w:lvlJc w:val="left"/>
      <w:lvlText w:val="%1."/>
      <w:numFmt w:val="decimal"/>
      <w:start w:val="8"/>
    </w:lvl>
  </w:abstractNum>
  <w:abstractNum w:abstractNumId="132">
    <w:nsid w:val="73D4D3C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33">
    <w:nsid w:val="746F2E30"/>
    <w:multiLevelType w:val="hybridMultilevel"/>
    <w:lvl w:ilvl="0">
      <w:lvlJc w:val="left"/>
      <w:lvlText w:val="%1."/>
      <w:numFmt w:val="decimal"/>
      <w:start w:val="1"/>
    </w:lvl>
    <w:lvl w:ilvl="1">
      <w:lvlJc w:val="left"/>
      <w:lvlText w:val="(%2)"/>
      <w:numFmt w:val="lowerLetter"/>
      <w:start w:val="1"/>
    </w:lvl>
  </w:abstractNum>
  <w:abstractNum w:abstractNumId="134">
    <w:nsid w:val="6FDE8AF6"/>
    <w:multiLevelType w:val="hybridMultilevel"/>
    <w:lvl w:ilvl="0">
      <w:lvlJc w:val="left"/>
      <w:lvlText w:val="(%1)"/>
      <w:numFmt w:val="lowerLetter"/>
      <w:start w:val="1"/>
    </w:lvl>
  </w:abstractNum>
  <w:abstractNum w:abstractNumId="135">
    <w:nsid w:val="3FC32E20"/>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136">
    <w:nsid w:val="49C0E823"/>
    <w:multiLevelType w:val="hybridMultilevel"/>
    <w:lvl w:ilvl="0">
      <w:lvlJc w:val="left"/>
      <w:lvlText w:val="(%1)"/>
      <w:numFmt w:val="decimal"/>
      <w:start w:val="4"/>
    </w:lvl>
    <w:lvl w:ilvl="1">
      <w:lvlJc w:val="left"/>
      <w:lvlText w:val="%2."/>
      <w:numFmt w:val="decimal"/>
      <w:start w:val="4"/>
    </w:lvl>
    <w:lvl w:ilvl="2">
      <w:lvlJc w:val="left"/>
      <w:lvlText w:val="(%3)"/>
      <w:numFmt w:val="lowerLetter"/>
      <w:start w:val="6"/>
    </w:lvl>
    <w:lvl w:ilvl="3">
      <w:lvlJc w:val="left"/>
      <w:lvlText w:val="%4"/>
      <w:numFmt w:val="lowerLetter"/>
      <w:start w:val="1"/>
    </w:lvl>
  </w:abstractNum>
  <w:abstractNum w:abstractNumId="137">
    <w:nsid w:val="14D5368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138">
    <w:nsid w:val="230F856C"/>
    <w:multiLevelType w:val="hybridMultilevel"/>
    <w:lvl w:ilvl="0">
      <w:lvlJc w:val="left"/>
      <w:lvlText w:val="%1"/>
      <w:numFmt w:val="lowerLetter"/>
      <w:start w:val="1"/>
    </w:lvl>
    <w:lvl w:ilvl="1">
      <w:lvlJc w:val="left"/>
      <w:lvlText w:val="(%2)"/>
      <w:numFmt w:val="lowerRoman"/>
      <w:start w:val="2"/>
    </w:lvl>
  </w:abstractNum>
  <w:abstractNum w:abstractNumId="139">
    <w:nsid w:val="6EAA85FB"/>
    <w:multiLevelType w:val="hybridMultilevel"/>
    <w:lvl w:ilvl="0">
      <w:lvlJc w:val="left"/>
      <w:lvlText w:val="(%1)"/>
      <w:numFmt w:val="lowerLetter"/>
      <w:start w:val="3"/>
    </w:lvl>
    <w:lvl w:ilvl="1">
      <w:lvlJc w:val="left"/>
      <w:lvlText w:val="(%2)"/>
      <w:numFmt w:val="lowerRoman"/>
      <w:start w:val="1"/>
    </w:lvl>
  </w:abstractNum>
  <w:abstractNum w:abstractNumId="140">
    <w:nsid w:val="3F06ECB2"/>
    <w:multiLevelType w:val="hybridMultilevel"/>
    <w:lvl w:ilvl="0">
      <w:lvlJc w:val="left"/>
      <w:lvlText w:val="(%1)"/>
      <w:numFmt w:val="lowerRoman"/>
      <w:start w:val="3"/>
    </w:lvl>
  </w:abstractNum>
  <w:abstractNum w:abstractNumId="141">
    <w:nsid w:val="3B594807"/>
    <w:multiLevelType w:val="hybridMultilevel"/>
    <w:lvl w:ilvl="0">
      <w:lvlJc w:val="left"/>
      <w:lvlText w:val="(%1)"/>
      <w:numFmt w:val="lowerLetter"/>
      <w:start w:val="4"/>
    </w:lvl>
  </w:abstractNum>
  <w:abstractNum w:abstractNumId="142">
    <w:nsid w:val="6CAA2304"/>
    <w:multiLevelType w:val="hybridMultilevel"/>
    <w:lvl w:ilvl="0">
      <w:lvlJc w:val="left"/>
      <w:lvlText w:val="(%1)"/>
      <w:numFmt w:val="lowerLetter"/>
      <w:start w:val="5"/>
    </w:lvl>
    <w:lvl w:ilvl="1">
      <w:lvlJc w:val="left"/>
      <w:lvlText w:val="(%2)"/>
      <w:numFmt w:val="lowerRoman"/>
      <w:start w:val="1"/>
    </w:lvl>
  </w:abstractNum>
  <w:abstractNum w:abstractNumId="143">
    <w:nsid w:val="3F7C2FF4"/>
    <w:multiLevelType w:val="hybridMultilevel"/>
    <w:lvl w:ilvl="0">
      <w:lvlJc w:val="left"/>
      <w:lvlText w:val="(%1)"/>
      <w:numFmt w:val="lowerRoman"/>
      <w:start w:val="4"/>
    </w:lvl>
  </w:abstractNum>
  <w:abstractNum w:abstractNumId="144">
    <w:nsid w:val="25413BEC"/>
    <w:multiLevelType w:val="hybridMultilevel"/>
    <w:lvl w:ilvl="0">
      <w:lvlJc w:val="left"/>
      <w:lvlText w:val="(%1)"/>
      <w:numFmt w:val="lowerLetter"/>
      <w:start w:val="6"/>
    </w:lvl>
    <w:lvl w:ilvl="1">
      <w:lvlJc w:val="left"/>
      <w:lvlText w:val="(%2)"/>
      <w:numFmt w:val="lowerRoman"/>
      <w:start w:val="1"/>
    </w:lvl>
  </w:abstractNum>
  <w:abstractNum w:abstractNumId="145">
    <w:nsid w:val="17180B0B"/>
    <w:multiLevelType w:val="hybridMultilevel"/>
    <w:lvl w:ilvl="0">
      <w:lvlJc w:val="left"/>
      <w:lvlText w:val="(%1)"/>
      <w:numFmt w:val="lowerRoman"/>
      <w:start w:val="4"/>
    </w:lvl>
  </w:abstractNum>
  <w:abstractNum w:abstractNumId="146">
    <w:nsid w:val="579328B9"/>
    <w:multiLevelType w:val="hybridMultilevel"/>
    <w:lvl w:ilvl="0">
      <w:lvlJc w:val="left"/>
      <w:lvlText w:val="%1"/>
      <w:numFmt w:val="decimal"/>
      <w:start w:val="1"/>
    </w:lvl>
    <w:lvl w:ilvl="1">
      <w:lvlJc w:val="left"/>
      <w:lvlText w:val="(%2)"/>
      <w:numFmt w:val="lowerLetter"/>
      <w:start w:val="8"/>
    </w:lvl>
  </w:abstractNum>
  <w:abstractNum w:abstractNumId="147">
    <w:nsid w:val="5D205E20"/>
    <w:multiLevelType w:val="hybridMultilevel"/>
    <w:lvl w:ilvl="0">
      <w:lvlJc w:val="left"/>
      <w:lvlText w:val="%1."/>
      <w:numFmt w:val="decimal"/>
      <w:start w:val="6"/>
    </w:lvl>
    <w:lvl w:ilvl="1">
      <w:lvlJc w:val="left"/>
      <w:lvlText w:val="(%2)"/>
      <w:numFmt w:val="lowerLetter"/>
      <w:start w:val="1"/>
    </w:lvl>
  </w:abstractNum>
  <w:abstractNum w:abstractNumId="148">
    <w:nsid w:val="11CCA8BA"/>
    <w:multiLevelType w:val="hybridMultilevel"/>
    <w:lvl w:ilvl="0">
      <w:lvlJc w:val="left"/>
      <w:lvlText w:val="%1."/>
      <w:numFmt w:val="decimal"/>
      <w:start w:val="7"/>
    </w:lvl>
    <w:lvl w:ilvl="1">
      <w:lvlJc w:val="left"/>
      <w:lvlText w:val="(%2)"/>
      <w:numFmt w:val="lowerLetter"/>
      <w:start w:val="1"/>
    </w:lvl>
  </w:abstractNum>
  <w:abstractNum w:abstractNumId="149">
    <w:nsid w:val="4D32AB86"/>
    <w:multiLevelType w:val="hybridMultilevel"/>
    <w:lvl w:ilvl="0">
      <w:lvlJc w:val="left"/>
      <w:lvlText w:val="%1"/>
      <w:numFmt w:val="decimal"/>
      <w:start w:val="1"/>
    </w:lvl>
    <w:lvl w:ilvl="1">
      <w:lvlJc w:val="left"/>
      <w:lvlText w:val="(%2)"/>
      <w:numFmt w:val="lowerLetter"/>
      <w:start w:val="3"/>
    </w:lvl>
  </w:abstractNum>
  <w:abstractNum w:abstractNumId="150">
    <w:nsid w:val="3F07ACC3"/>
    <w:multiLevelType w:val="hybridMultilevel"/>
    <w:lvl w:ilvl="0">
      <w:lvlJc w:val="left"/>
      <w:lvlText w:val="%1."/>
      <w:numFmt w:val="decimal"/>
      <w:start w:val="8"/>
    </w:lvl>
    <w:lvl w:ilvl="1">
      <w:lvlJc w:val="left"/>
      <w:lvlText w:val="(%2)"/>
      <w:numFmt w:val="lowerLetter"/>
      <w:start w:val="1"/>
    </w:lvl>
  </w:abstractNum>
  <w:abstractNum w:abstractNumId="151">
    <w:nsid w:val="6B47F63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152">
    <w:nsid w:val="5CB44A05"/>
    <w:multiLevelType w:val="hybridMultilevel"/>
    <w:lvl w:ilvl="0">
      <w:lvlJc w:val="left"/>
      <w:lvlText w:val="(%1)"/>
      <w:numFmt w:val="upperLetter"/>
      <w:start w:val="1"/>
    </w:lvl>
    <w:lvl w:ilvl="1">
      <w:lvlJc w:val="left"/>
      <w:lvlText w:val="%2."/>
      <w:numFmt w:val="decimal"/>
      <w:start w:val="9"/>
    </w:lvl>
    <w:lvl w:ilvl="2">
      <w:lvlJc w:val="left"/>
      <w:lvlText w:val="%3"/>
      <w:numFmt w:val="lowerLetter"/>
      <w:start w:val="1"/>
    </w:lvl>
    <w:lvl w:ilvl="3">
      <w:lvlJc w:val="left"/>
      <w:lvlText w:val="(%4)"/>
      <w:numFmt w:val="lowerLetter"/>
      <w:start w:val="35"/>
    </w:lvl>
  </w:abstractNum>
  <w:abstractNum w:abstractNumId="153">
    <w:nsid w:val="16CF80F1"/>
    <w:multiLevelType w:val="hybridMultilevel"/>
    <w:lvl w:ilvl="0">
      <w:lvlJc w:val="left"/>
      <w:lvlText w:val="%1."/>
      <w:numFmt w:val="decimal"/>
      <w:start w:val="11"/>
    </w:lvl>
  </w:abstractNum>
  <w:abstractNum w:abstractNumId="154">
    <w:nsid w:val="1C695DEC"/>
    <w:multiLevelType w:val="hybridMultilevel"/>
    <w:lvl w:ilvl="0">
      <w:lvlJc w:val="left"/>
      <w:lvlText w:val="%1."/>
      <w:numFmt w:val="decimal"/>
      <w:start w:val="13"/>
    </w:lvl>
    <w:lvl w:ilvl="1">
      <w:lvlJc w:val="left"/>
      <w:lvlText w:val="(%2)"/>
      <w:numFmt w:val="lowerLetter"/>
      <w:start w:val="1"/>
    </w:lvl>
  </w:abstractNum>
  <w:abstractNum w:abstractNumId="155">
    <w:nsid w:val="3FCFAED9"/>
    <w:multiLevelType w:val="hybridMultilevel"/>
    <w:lvl w:ilvl="0">
      <w:lvlJc w:val="left"/>
      <w:lvlText w:val="%1"/>
      <w:numFmt w:val="decimal"/>
      <w:start w:val="1"/>
    </w:lvl>
    <w:lvl w:ilvl="1">
      <w:lvlJc w:val="left"/>
      <w:lvlText w:val="(%2)"/>
      <w:numFmt w:val="lowerLetter"/>
      <w:start w:val="5"/>
    </w:lvl>
  </w:abstractNum>
  <w:abstractNum w:abstractNumId="156">
    <w:nsid w:val="F856867"/>
    <w:multiLevelType w:val="hybridMultilevel"/>
    <w:lvl w:ilvl="0">
      <w:lvlJc w:val="left"/>
      <w:lvlText w:val="%1."/>
      <w:numFmt w:val="decimal"/>
      <w:start w:val="14"/>
    </w:lvl>
    <w:lvl w:ilvl="1">
      <w:lvlJc w:val="left"/>
      <w:lvlText w:val="%2"/>
      <w:numFmt w:val="lowerLetter"/>
      <w:start w:val="1"/>
    </w:lvl>
  </w:abstractNum>
  <w:abstractNum w:abstractNumId="157">
    <w:nsid w:val="11B1CC33"/>
    <w:multiLevelType w:val="hybridMultilevel"/>
    <w:lvl w:ilvl="0">
      <w:lvlJc w:val="left"/>
      <w:lvlText w:val="%1."/>
      <w:numFmt w:val="decimal"/>
      <w:start w:val="15"/>
    </w:lvl>
  </w:abstractNum>
  <w:abstractNum w:abstractNumId="158">
    <w:nsid w:val="2E22FBB7"/>
    <w:multiLevelType w:val="hybridMultilevel"/>
    <w:lvl w:ilvl="0">
      <w:lvlJc w:val="left"/>
      <w:lvlText w:val="%1."/>
      <w:numFmt w:val="decimal"/>
      <w:start w:val="19"/>
    </w:lvl>
  </w:abstractNum>
  <w:abstractNum w:abstractNumId="159">
    <w:nsid w:val="29934699"/>
    <w:multiLevelType w:val="hybridMultilevel"/>
    <w:lvl w:ilvl="0">
      <w:lvlJc w:val="left"/>
      <w:lvlText w:val="%1."/>
      <w:numFmt w:val="decimal"/>
      <w:start w:val="1"/>
    </w:lvl>
  </w:abstractNum>
  <w:abstractNum w:abstractNumId="160">
    <w:nsid w:val="77485850"/>
    <w:multiLevelType w:val="hybridMultilevel"/>
    <w:lvl w:ilvl="0">
      <w:lvlJc w:val="left"/>
      <w:lvlText w:val="%1"/>
      <w:numFmt w:val="decimal"/>
      <w:start w:val="1"/>
    </w:lvl>
    <w:lvl w:ilvl="1">
      <w:lvlJc w:val="left"/>
      <w:lvlText w:val="(%2)"/>
      <w:numFmt w:val="lowerLetter"/>
      <w:start w:val="3"/>
    </w:lvl>
  </w:abstractNum>
  <w:abstractNum w:abstractNumId="161">
    <w:nsid w:val="744939A3"/>
    <w:multiLevelType w:val="hybridMultilevel"/>
    <w:lvl w:ilvl="0">
      <w:lvlJc w:val="left"/>
      <w:lvlText w:val="%1."/>
      <w:numFmt w:val="decimal"/>
      <w:start w:val="4"/>
    </w:lvl>
    <w:lvl w:ilvl="1">
      <w:lvlJc w:val="left"/>
      <w:lvlText w:val="%2"/>
      <w:numFmt w:val="lowerLetter"/>
      <w:start w:val="1"/>
    </w:lvl>
  </w:abstractNum>
  <w:abstractNum w:abstractNumId="162">
    <w:nsid w:val="4FA0D2E3"/>
    <w:multiLevelType w:val="hybridMultilevel"/>
    <w:lvl w:ilvl="0">
      <w:lvlJc w:val="left"/>
      <w:lvlText w:val="%1."/>
      <w:numFmt w:val="decimal"/>
      <w:start w:val="6"/>
    </w:lvl>
  </w:abstractNum>
  <w:abstractNum w:abstractNumId="163">
    <w:nsid w:val="6B1D2C14"/>
    <w:multiLevelType w:val="hybridMultilevel"/>
    <w:lvl w:ilvl="0">
      <w:lvlJc w:val="left"/>
      <w:lvlText w:val="%1."/>
      <w:numFmt w:val="decimal"/>
      <w:start w:val="13"/>
    </w:lvl>
  </w:abstractNum>
  <w:abstractNum w:abstractNumId="164">
    <w:nsid w:val="68B867D3"/>
    <w:multiLevelType w:val="hybridMultilevel"/>
    <w:lvl w:ilvl="0">
      <w:lvlJc w:val="left"/>
      <w:lvlText w:val="%1."/>
      <w:numFmt w:val="decimal"/>
      <w:start w:val="1"/>
    </w:lvl>
  </w:abstractNum>
  <w:abstractNum w:abstractNumId="165">
    <w:nsid w:val="3F7F5DD9"/>
    <w:multiLevelType w:val="hybridMultilevel"/>
    <w:lvl w:ilvl="0">
      <w:lvlJc w:val="left"/>
      <w:lvlText w:val="%1."/>
      <w:numFmt w:val="decimal"/>
      <w:start w:val="1"/>
    </w:lvl>
    <w:lvl w:ilvl="1">
      <w:lvlJc w:val="left"/>
      <w:lvlText w:val="%2."/>
      <w:numFmt w:val="lowerLetter"/>
      <w:start w:val="1"/>
    </w:lvl>
  </w:abstractNum>
  <w:abstractNum w:abstractNumId="166">
    <w:nsid w:val="2AE05A34"/>
    <w:multiLevelType w:val="hybridMultilevel"/>
    <w:lvl w:ilvl="0">
      <w:lvlJc w:val="left"/>
      <w:lvlText w:val="%1."/>
      <w:numFmt w:val="decimal"/>
      <w:start w:val="1"/>
    </w:lvl>
    <w:lvl w:ilvl="1">
      <w:lvlJc w:val="left"/>
      <w:lvlText w:val="%2."/>
      <w:numFmt w:val="lowerLetter"/>
      <w:start w:val="1"/>
    </w:lvl>
  </w:abstractNum>
  <w:abstractNum w:abstractNumId="167">
    <w:nsid w:val="32794FF7"/>
    <w:multiLevelType w:val="hybridMultilevel"/>
    <w:lvl w:ilvl="0">
      <w:lvlJc w:val="left"/>
      <w:lvlText w:val="%1."/>
      <w:numFmt w:val="decimal"/>
      <w:start w:val="1"/>
    </w:lvl>
  </w:abstractNum>
  <w:abstractNum w:abstractNumId="168">
    <w:nsid w:val="545494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5"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138" Type="http://schemas.openxmlformats.org/officeDocument/2006/relationships/hyperlink" Target="https://www.sec.gov/Archives/edgar/data/1834376/000110465921033328/tm2037889d18_ex3-1.htm" TargetMode="External"/><Relationship Id="rId139" Type="http://schemas.openxmlformats.org/officeDocument/2006/relationships/hyperlink" Target="https://www.sec.gov/Archives/edgar/data/1834376/000110465921033328/tm2037889d18_ex3-2.htm" TargetMode="External"/><Relationship Id="rId140" Type="http://schemas.openxmlformats.org/officeDocument/2006/relationships/hyperlink" Target="https://www.sec.gov/Archives/edgar/data/1834376/000155837021012679/tmb-20210630xex4d1.htm" TargetMode="External"/><Relationship Id="rId141" Type="http://schemas.openxmlformats.org/officeDocument/2006/relationships/hyperlink" Target="https://www.sec.gov/Archives/edgar/data/1834376/000110465921033328/tm2037889d18_ex4-1.htm" TargetMode="External"/><Relationship Id="rId142" Type="http://schemas.openxmlformats.org/officeDocument/2006/relationships/hyperlink" Target="https://www.sec.gov/Archives/edgar/data/1834376/000110465921033328/tm2037889d18_ex10-1.htm" TargetMode="External"/><Relationship Id="rId143" Type="http://schemas.openxmlformats.org/officeDocument/2006/relationships/hyperlink" Target="https://www.sec.gov/Archives/edgar/data/1834376/000110465921035601/tm2037889d20_ex10-1.htm" TargetMode="External"/><Relationship Id="rId144" Type="http://schemas.openxmlformats.org/officeDocument/2006/relationships/hyperlink" Target="https://www.sec.gov/Archives/edgar/data/1834376/000110465921014071/tm2037889d5_ex10-2.htm" TargetMode="External"/><Relationship Id="rId146" Type="http://schemas.openxmlformats.org/officeDocument/2006/relationships/hyperlink" Target="https://www.sec.gov/Archives/edgar/data/1834376/000110465921137649/tm2132692d1_ex10-1.htm" TargetMode="External"/><Relationship Id="rId147" Type="http://schemas.openxmlformats.org/officeDocument/2006/relationships/hyperlink" Target="https://www.sec.gov/Archives/edgar/data/1834376/000110465921014071/tm2037889d5_ex10-7.htm" TargetMode="External"/><Relationship Id="rId148" Type="http://schemas.openxmlformats.org/officeDocument/2006/relationships/hyperlink" Target="https://www.sec.gov/Archives/edgar/data/1834376/000110465922000142/tm2136615d1_ex10-1.htm" TargetMode="External"/><Relationship Id="rId149" Type="http://schemas.openxmlformats.org/officeDocument/2006/relationships/hyperlink" Target="https://www.sec.gov/Archives/edgar/data/1834376/000110465921032425/tm2037889d8_ex10-1.htm" TargetMode="External"/><Relationship Id="rId150" Type="http://schemas.openxmlformats.org/officeDocument/2006/relationships/hyperlink" Target="https://www.sec.gov/Archives/edgar/data/1834376/000110465921014071/tm2037889d5_ex10-4.htm" TargetMode="External"/><Relationship Id="rId151" Type="http://schemas.openxmlformats.org/officeDocument/2006/relationships/hyperlink" Target="https://www.sec.gov/Archives/edgar/data/1834376/000110465921027152/tm2037889d8_ex10-9.htm" TargetMode="External"/><Relationship Id="rId152" Type="http://schemas.openxmlformats.org/officeDocument/2006/relationships/hyperlink" Target="https://www.sec.gov/Archives/edgar/data/1834376/000110465921027152/tm2037889d8_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2022-09-13T16:22:15Z</dcterms:created>
  <dcterms:modified xsi:type="dcterms:W3CDTF">2022-09-13T16:22:15Z</dcterms:modified>
</cp:coreProperties>
</file>