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536575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561975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8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8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97" w:lineRule="exact"/>
        <w:rPr>
          <w:sz w:val="24"/>
          <w:szCs w:val="24"/>
          <w:color w:val="auto"/>
        </w:rPr>
      </w:pPr>
    </w:p>
    <w:p>
      <w:pPr>
        <w:ind w:left="3200" w:hanging="310"/>
        <w:spacing w:after="0"/>
        <w:tabs>
          <w:tab w:leader="none" w:pos="320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EXCHANGE ACT OF 1934</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2025</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4" w:lineRule="exact"/>
        <w:rPr>
          <w:sz w:val="24"/>
          <w:szCs w:val="24"/>
          <w:color w:val="auto"/>
        </w:rPr>
      </w:pPr>
    </w:p>
    <w:p>
      <w:pPr>
        <w:ind w:left="3040" w:hanging="284"/>
        <w:spacing w:after="0"/>
        <w:tabs>
          <w:tab w:leader="none" w:pos="304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EXCHANGE ACT OF 1934</w:t>
      </w:r>
    </w:p>
    <w:p>
      <w:pPr>
        <w:spacing w:after="0" w:line="18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__________to</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001-40159</w:t>
      </w:r>
    </w:p>
    <w:p>
      <w:pPr>
        <w:spacing w:after="0" w:line="19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81915</wp:posOffset>
            </wp:positionV>
            <wp:extent cx="1682750" cy="487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2750" cy="487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tbl>
      <w:tblPr>
        <w:tblLayout w:type="fixed"/>
        <w:tblInd w:w="176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5120" w:type="dxa"/>
            <w:vAlign w:val="bottom"/>
          </w:tcPr>
          <w:p>
            <w:pPr>
              <w:jc w:val="center"/>
              <w:ind w:right="1633"/>
              <w:spacing w:after="0"/>
              <w:rPr>
                <w:sz w:val="20"/>
                <w:szCs w:val="20"/>
                <w:color w:val="auto"/>
              </w:rPr>
            </w:pPr>
            <w:r>
              <w:rPr>
                <w:rFonts w:ascii="Times New Roman" w:cs="Times New Roman" w:eastAsia="Times New Roman" w:hAnsi="Times New Roman"/>
                <w:sz w:val="14"/>
                <w:szCs w:val="14"/>
                <w:b w:val="1"/>
                <w:bCs w:val="1"/>
                <w:color w:val="auto"/>
              </w:rPr>
              <w:t>InnovAge Holding Corp.</w:t>
            </w:r>
          </w:p>
        </w:tc>
      </w:tr>
      <w:tr>
        <w:trPr>
          <w:trHeight w:val="345"/>
        </w:trPr>
        <w:tc>
          <w:tcPr>
            <w:tcW w:w="2160" w:type="dxa"/>
            <w:vAlign w:val="bottom"/>
          </w:tcPr>
          <w:p>
            <w:pPr>
              <w:spacing w:after="0"/>
              <w:rPr>
                <w:sz w:val="24"/>
                <w:szCs w:val="24"/>
                <w:color w:val="auto"/>
              </w:rPr>
            </w:pPr>
          </w:p>
        </w:tc>
        <w:tc>
          <w:tcPr>
            <w:tcW w:w="5120" w:type="dxa"/>
            <w:vAlign w:val="bottom"/>
          </w:tcPr>
          <w:p>
            <w:pPr>
              <w:jc w:val="center"/>
              <w:ind w:right="165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45"/>
        </w:trPr>
        <w:tc>
          <w:tcPr>
            <w:tcW w:w="2160" w:type="dxa"/>
            <w:vAlign w:val="bottom"/>
          </w:tcPr>
          <w:p>
            <w:pPr>
              <w:spacing w:after="0"/>
              <w:rPr>
                <w:sz w:val="24"/>
                <w:szCs w:val="24"/>
                <w:color w:val="auto"/>
              </w:rPr>
            </w:pPr>
          </w:p>
        </w:tc>
        <w:tc>
          <w:tcPr>
            <w:tcW w:w="5120" w:type="dxa"/>
            <w:vAlign w:val="bottom"/>
          </w:tcPr>
          <w:p>
            <w:pPr>
              <w:jc w:val="center"/>
              <w:ind w:right="1653"/>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tc>
      </w:tr>
      <w:tr>
        <w:trPr>
          <w:trHeight w:val="259"/>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5120" w:type="dxa"/>
            <w:vAlign w:val="bottom"/>
          </w:tcPr>
          <w:p>
            <w:pPr>
              <w:jc w:val="right"/>
              <w:ind w:right="233"/>
              <w:spacing w:after="0"/>
              <w:rPr>
                <w:sz w:val="20"/>
                <w:szCs w:val="20"/>
                <w:color w:val="auto"/>
              </w:rPr>
            </w:pPr>
            <w:r>
              <w:rPr>
                <w:rFonts w:ascii="Times New Roman" w:cs="Times New Roman" w:eastAsia="Times New Roman" w:hAnsi="Times New Roman"/>
                <w:sz w:val="12"/>
                <w:szCs w:val="12"/>
                <w:b w:val="1"/>
                <w:bCs w:val="1"/>
                <w:color w:val="auto"/>
              </w:rPr>
              <w:t>81-0710819</w:t>
            </w:r>
          </w:p>
        </w:tc>
      </w:tr>
      <w:tr>
        <w:trPr>
          <w:trHeight w:val="182"/>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5120" w:type="dxa"/>
            <w:vAlign w:val="bottom"/>
          </w:tcPr>
          <w:p>
            <w:pPr>
              <w:jc w:val="center"/>
              <w:ind w:left="3833"/>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5120" w:type="dxa"/>
            <w:vAlign w:val="bottom"/>
          </w:tcPr>
          <w:p>
            <w:pPr>
              <w:jc w:val="center"/>
              <w:ind w:left="3833"/>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r>
        <w:trPr>
          <w:trHeight w:val="328"/>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8950 E. Lowry Boulevard</w:t>
            </w:r>
          </w:p>
        </w:tc>
        <w:tc>
          <w:tcPr>
            <w:tcW w:w="5120" w:type="dxa"/>
            <w:vAlign w:val="bottom"/>
          </w:tcPr>
          <w:p>
            <w:pPr>
              <w:spacing w:after="0"/>
              <w:rPr>
                <w:sz w:val="24"/>
                <w:szCs w:val="24"/>
                <w:color w:val="auto"/>
              </w:rPr>
            </w:pPr>
          </w:p>
        </w:tc>
      </w:tr>
      <w:tr>
        <w:trPr>
          <w:trHeight w:val="146"/>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Denver, CO</w:t>
            </w:r>
          </w:p>
        </w:tc>
        <w:tc>
          <w:tcPr>
            <w:tcW w:w="5120" w:type="dxa"/>
            <w:vAlign w:val="bottom"/>
          </w:tcPr>
          <w:p>
            <w:pPr>
              <w:jc w:val="right"/>
              <w:ind w:right="393"/>
              <w:spacing w:after="0"/>
              <w:rPr>
                <w:sz w:val="20"/>
                <w:szCs w:val="20"/>
                <w:color w:val="auto"/>
              </w:rPr>
            </w:pPr>
            <w:r>
              <w:rPr>
                <w:rFonts w:ascii="Times New Roman" w:cs="Times New Roman" w:eastAsia="Times New Roman" w:hAnsi="Times New Roman"/>
                <w:sz w:val="12"/>
                <w:szCs w:val="12"/>
                <w:b w:val="1"/>
                <w:bCs w:val="1"/>
                <w:color w:val="auto"/>
              </w:rPr>
              <w:t>80230</w:t>
            </w:r>
          </w:p>
        </w:tc>
      </w:tr>
      <w:tr>
        <w:trPr>
          <w:trHeight w:val="175"/>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5120" w:type="dxa"/>
            <w:vAlign w:val="bottom"/>
          </w:tcPr>
          <w:p>
            <w:pPr>
              <w:jc w:val="center"/>
              <w:ind w:left="3833"/>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337"/>
        </w:trPr>
        <w:tc>
          <w:tcPr>
            <w:tcW w:w="2160" w:type="dxa"/>
            <w:vAlign w:val="bottom"/>
          </w:tcPr>
          <w:p>
            <w:pPr>
              <w:spacing w:after="0"/>
              <w:rPr>
                <w:sz w:val="24"/>
                <w:szCs w:val="24"/>
                <w:color w:val="auto"/>
              </w:rPr>
            </w:pPr>
          </w:p>
        </w:tc>
        <w:tc>
          <w:tcPr>
            <w:tcW w:w="5120" w:type="dxa"/>
            <w:vAlign w:val="bottom"/>
          </w:tcPr>
          <w:p>
            <w:pPr>
              <w:jc w:val="center"/>
              <w:ind w:right="1653"/>
              <w:spacing w:after="0"/>
              <w:rPr>
                <w:sz w:val="20"/>
                <w:szCs w:val="20"/>
                <w:color w:val="auto"/>
              </w:rPr>
            </w:pPr>
            <w:r>
              <w:rPr>
                <w:rFonts w:ascii="Times New Roman" w:cs="Times New Roman" w:eastAsia="Times New Roman" w:hAnsi="Times New Roman"/>
                <w:sz w:val="14"/>
                <w:szCs w:val="14"/>
                <w:b w:val="1"/>
                <w:bCs w:val="1"/>
                <w:color w:val="auto"/>
              </w:rPr>
              <w:t>(844) 803-8745</w:t>
            </w:r>
          </w:p>
        </w:tc>
      </w:tr>
      <w:tr>
        <w:trPr>
          <w:trHeight w:val="344"/>
        </w:trPr>
        <w:tc>
          <w:tcPr>
            <w:tcW w:w="2160" w:type="dxa"/>
            <w:vAlign w:val="bottom"/>
          </w:tcPr>
          <w:p>
            <w:pPr>
              <w:spacing w:after="0"/>
              <w:rPr>
                <w:sz w:val="24"/>
                <w:szCs w:val="24"/>
                <w:color w:val="auto"/>
              </w:rPr>
            </w:pPr>
          </w:p>
        </w:tc>
        <w:tc>
          <w:tcPr>
            <w:tcW w:w="5120" w:type="dxa"/>
            <w:vAlign w:val="bottom"/>
          </w:tcPr>
          <w:p>
            <w:pPr>
              <w:jc w:val="center"/>
              <w:ind w:right="1633"/>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345"/>
        </w:trPr>
        <w:tc>
          <w:tcPr>
            <w:tcW w:w="2160" w:type="dxa"/>
            <w:vAlign w:val="bottom"/>
          </w:tcPr>
          <w:p>
            <w:pPr>
              <w:spacing w:after="0"/>
              <w:rPr>
                <w:sz w:val="24"/>
                <w:szCs w:val="24"/>
                <w:color w:val="auto"/>
              </w:rPr>
            </w:pPr>
          </w:p>
        </w:tc>
        <w:tc>
          <w:tcPr>
            <w:tcW w:w="5120" w:type="dxa"/>
            <w:vAlign w:val="bottom"/>
          </w:tcPr>
          <w:p>
            <w:pPr>
              <w:jc w:val="center"/>
              <w:ind w:right="1653"/>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tc>
      </w:tr>
    </w:tbl>
    <w:p>
      <w:pPr>
        <w:spacing w:after="0" w:line="4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Act:</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560" w:type="dxa"/>
            <w:vAlign w:val="bottom"/>
            <w:tcBorders>
              <w:top w:val="single" w:sz="8" w:color="auto"/>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8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0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8"/>
        </w:trPr>
        <w:tc>
          <w:tcPr>
            <w:tcW w:w="356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r>
      <w:tr>
        <w:trPr>
          <w:trHeight w:val="154"/>
        </w:trPr>
        <w:tc>
          <w:tcPr>
            <w:tcW w:w="3560" w:type="dxa"/>
            <w:vAlign w:val="bottom"/>
            <w:tcBorders>
              <w:left w:val="single" w:sz="8" w:color="auto"/>
              <w:right w:val="single" w:sz="8" w:color="auto"/>
            </w:tcBorders>
          </w:tcPr>
          <w:p>
            <w:pPr>
              <w:ind w:left="780"/>
              <w:spacing w:after="0" w:line="154" w:lineRule="exact"/>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3480" w:type="dxa"/>
            <w:vAlign w:val="bottom"/>
            <w:tcBorders>
              <w:right w:val="single" w:sz="8" w:color="auto"/>
            </w:tcBorders>
          </w:tcPr>
          <w:p>
            <w:pPr>
              <w:ind w:left="1540"/>
              <w:spacing w:after="0" w:line="154" w:lineRule="exact"/>
              <w:rPr>
                <w:sz w:val="20"/>
                <w:szCs w:val="20"/>
                <w:color w:val="auto"/>
              </w:rPr>
            </w:pPr>
            <w:r>
              <w:rPr>
                <w:rFonts w:ascii="Times New Roman" w:cs="Times New Roman" w:eastAsia="Times New Roman" w:hAnsi="Times New Roman"/>
                <w:sz w:val="14"/>
                <w:szCs w:val="14"/>
                <w:b w:val="1"/>
                <w:bCs w:val="1"/>
                <w:color w:val="auto"/>
              </w:rPr>
              <w:t>INNV</w:t>
            </w:r>
          </w:p>
        </w:tc>
        <w:tc>
          <w:tcPr>
            <w:tcW w:w="4200" w:type="dxa"/>
            <w:vAlign w:val="bottom"/>
            <w:tcBorders>
              <w:right w:val="single" w:sz="8" w:color="auto"/>
            </w:tcBorders>
          </w:tcPr>
          <w:p>
            <w:pPr>
              <w:ind w:left="1120"/>
              <w:spacing w:after="0" w:line="154"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6"/>
        </w:trPr>
        <w:tc>
          <w:tcPr>
            <w:tcW w:w="3560" w:type="dxa"/>
            <w:vAlign w:val="bottom"/>
            <w:tcBorders>
              <w:left w:val="single" w:sz="8" w:color="auto"/>
              <w:right w:val="single" w:sz="8" w:color="auto"/>
            </w:tcBorders>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4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51"/>
        </w:trPr>
        <w:tc>
          <w:tcPr>
            <w:tcW w:w="3560" w:type="dxa"/>
            <w:vAlign w:val="bottom"/>
            <w:tcBorders>
              <w:left w:val="single" w:sz="8" w:color="auto"/>
              <w:bottom w:val="single" w:sz="8" w:color="auto"/>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r>
    </w:tbl>
    <w:p>
      <w:pPr>
        <w:spacing w:after="0" w:line="16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Securities Act: </w:t>
      </w:r>
      <w:r>
        <w:rPr>
          <w:rFonts w:ascii="Times New Roman" w:cs="Times New Roman" w:eastAsia="Times New Roman" w:hAnsi="Times New Roman"/>
          <w:sz w:val="14"/>
          <w:szCs w:val="14"/>
          <w:b w:val="1"/>
          <w:bCs w:val="1"/>
          <w:color w:val="auto"/>
        </w:rPr>
        <w:t>None.</w:t>
      </w:r>
    </w:p>
    <w:p>
      <w:pPr>
        <w:spacing w:after="0" w:line="13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3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17" w:lineRule="exact"/>
        <w:rPr>
          <w:sz w:val="24"/>
          <w:szCs w:val="24"/>
          <w:color w:val="auto"/>
        </w:rPr>
      </w:pPr>
    </w:p>
    <w:p>
      <w:pPr>
        <w:ind w:right="80"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1" w:lineRule="exact"/>
        <w:rPr>
          <w:sz w:val="24"/>
          <w:szCs w:val="24"/>
          <w:color w:val="auto"/>
        </w:rPr>
      </w:pPr>
    </w:p>
    <w:p>
      <w:pPr>
        <w:ind w:right="460" w:firstLine="318"/>
        <w:spacing w:after="0" w:line="310"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8" w:lineRule="exact"/>
        <w:rPr>
          <w:sz w:val="24"/>
          <w:szCs w:val="24"/>
          <w:color w:val="auto"/>
        </w:rPr>
      </w:pPr>
    </w:p>
    <w:p>
      <w:pPr>
        <w:ind w:right="300" w:firstLine="318"/>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93" w:right="359" w:bottom="0" w:gutter="0" w:footer="0" w:header="0"/>
        </w:sectPr>
      </w:pPr>
    </w:p>
    <w:p>
      <w:pPr>
        <w:spacing w:after="0" w:line="10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53" w:lineRule="exact"/>
        <w:rPr>
          <w:sz w:val="24"/>
          <w:szCs w:val="24"/>
          <w:color w:val="auto"/>
        </w:rPr>
      </w:pPr>
    </w:p>
    <w:p>
      <w:pPr>
        <w:sectPr>
          <w:pgSz w:w="11900" w:h="16838" w:orient="portrait"/>
          <w:cols w:equalWidth="0" w:num="4">
            <w:col w:w="2020" w:space="720"/>
            <w:col w:w="120" w:space="660"/>
            <w:col w:w="2480" w:space="720"/>
            <w:col w:w="4500"/>
          </w:cols>
          <w:pgMar w:left="320" w:top="293" w:right="359" w:bottom="0" w:gutter="0" w:footer="0" w:header="0"/>
          <w:type w:val="continuous"/>
        </w:sectPr>
      </w:pPr>
    </w:p>
    <w:p>
      <w:pPr>
        <w:ind w:left="34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200" w:lineRule="exact"/>
        <w:rPr>
          <w:sz w:val="24"/>
          <w:szCs w:val="24"/>
          <w:color w:val="auto"/>
        </w:rPr>
      </w:pPr>
    </w:p>
    <w:p>
      <w:pPr>
        <w:sectPr>
          <w:pgSz w:w="11900" w:h="16838" w:orient="portrait"/>
          <w:cols w:equalWidth="0" w:num="6">
            <w:col w:w="2020" w:space="720"/>
            <w:col w:w="120" w:space="660"/>
            <w:col w:w="2480" w:space="720"/>
            <w:col w:w="140" w:space="640"/>
            <w:col w:w="2240" w:space="720"/>
            <w:col w:w="760"/>
          </w:cols>
          <w:pgMar w:left="320" w:top="293" w:right="359" w:bottom="0" w:gutter="0" w:footer="0" w:header="0"/>
          <w:type w:val="continuous"/>
        </w:sectPr>
      </w:pPr>
    </w:p>
    <w:p>
      <w:pPr>
        <w:spacing w:after="0" w:line="14" w:lineRule="exact"/>
        <w:rPr>
          <w:sz w:val="24"/>
          <w:szCs w:val="24"/>
          <w:color w:val="auto"/>
        </w:rPr>
      </w:pPr>
    </w:p>
    <w:p>
      <w:pPr>
        <w:ind w:right="440" w:firstLine="318"/>
        <w:spacing w:after="0" w:line="310"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8" w:lineRule="exact"/>
        <w:rPr>
          <w:sz w:val="24"/>
          <w:szCs w:val="24"/>
          <w:color w:val="auto"/>
        </w:rPr>
      </w:pPr>
    </w:p>
    <w:p>
      <w:pPr>
        <w:ind w:right="380"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spacing w:after="0" w:line="61" w:lineRule="exact"/>
        <w:rPr>
          <w:sz w:val="24"/>
          <w:szCs w:val="24"/>
          <w:color w:val="auto"/>
        </w:rPr>
      </w:pPr>
    </w:p>
    <w:p>
      <w:pPr>
        <w:ind w:firstLine="318"/>
        <w:spacing w:after="0" w:line="310"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ind w:right="140" w:firstLine="318"/>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7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ectPr>
          <w:pgSz w:w="11900" w:h="16838" w:orient="portrait"/>
          <w:cols w:equalWidth="0" w:num="1">
            <w:col w:w="11220"/>
          </w:cols>
          <w:pgMar w:left="320" w:top="293" w:right="359" w:bottom="0" w:gutter="0" w:footer="0" w:header="0"/>
          <w:type w:val="continuous"/>
        </w:sectPr>
      </w:pPr>
    </w:p>
    <w:bookmarkStart w:id="1" w:name="page2"/>
    <w:bookmarkEnd w:id="1"/>
    <w:p>
      <w:pPr>
        <w:ind w:right="80" w:firstLine="318"/>
        <w:spacing w:after="0" w:line="289" w:lineRule="auto"/>
        <w:rPr>
          <w:sz w:val="20"/>
          <w:szCs w:val="20"/>
          <w:color w:val="auto"/>
        </w:rPr>
      </w:pPr>
      <w:r>
        <w:rPr>
          <w:rFonts w:ascii="Times New Roman" w:cs="Times New Roman" w:eastAsia="Times New Roman" w:hAnsi="Times New Roman"/>
          <w:sz w:val="14"/>
          <w:szCs w:val="14"/>
          <w:color w:val="auto"/>
        </w:rPr>
        <w:t>Based on the closing price of the registrant’s common stock as reported on the Nasdaq Global Select Market, the aggregate market value of the registrant’s common stock held by non-affiliates on December 31, 2024 (the last business day of the registrant’s most recently completed second fiscal quarter) was $86.1 million.</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September 2, 2025, there were 135,637,975 shares of the registrant’s common stock outstanding.</w:t>
      </w:r>
    </w:p>
    <w:p>
      <w:pPr>
        <w:spacing w:after="0" w:line="10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9" w:lineRule="exact"/>
        <w:rPr>
          <w:sz w:val="20"/>
          <w:szCs w:val="20"/>
          <w:color w:val="auto"/>
        </w:rPr>
      </w:pPr>
    </w:p>
    <w:p>
      <w:pPr>
        <w:ind w:left="1140" w:hanging="817"/>
        <w:spacing w:after="0" w:line="290" w:lineRule="auto"/>
        <w:rPr>
          <w:sz w:val="20"/>
          <w:szCs w:val="20"/>
          <w:color w:val="auto"/>
        </w:rPr>
      </w:pPr>
      <w:r>
        <w:rPr>
          <w:rFonts w:ascii="Times New Roman" w:cs="Times New Roman" w:eastAsia="Times New Roman" w:hAnsi="Times New Roman"/>
          <w:sz w:val="14"/>
          <w:szCs w:val="14"/>
          <w:color w:val="auto"/>
        </w:rPr>
        <w:t>Portions of the registrant’s proxy statement for the upcoming Annual Meeting of Stockholders to be filed with the U.S. Securities and Exchange Commission no later than 120 days after the end of the registrant’s fiscal year ended June 30, 2025, are incorporated by reference in Part III of this Annual Report on Form 10-K to the extent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789305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128905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154305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 xml:space="preserve">Table </w:t>
            </w:r>
            <w:r>
              <w:rPr>
                <w:rFonts w:ascii="Times New Roman" w:cs="Times New Roman" w:eastAsia="Times New Roman" w:hAnsi="Times New Roman"/>
                <w:sz w:val="18"/>
                <w:szCs w:val="18"/>
                <w:color w:val="0000FF"/>
              </w:rPr>
              <w:t>of</w:t>
            </w:r>
            <w:r>
              <w:rPr>
                <w:rFonts w:ascii="Times New Roman" w:cs="Times New Roman" w:eastAsia="Times New Roman" w:hAnsi="Times New Roman"/>
                <w:sz w:val="18"/>
                <w:szCs w:val="18"/>
                <w:color w:val="0000EE"/>
              </w:rPr>
              <w:t xml:space="preserve"> Contents</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001"/>
        </w:trPr>
        <w:tc>
          <w:tcPr>
            <w:tcW w:w="994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00" w:type="dxa"/>
            <w:vAlign w:val="bottom"/>
          </w:tcPr>
          <w:p>
            <w:pPr>
              <w:spacing w:after="0"/>
              <w:rPr>
                <w:sz w:val="24"/>
                <w:szCs w:val="24"/>
                <w:color w:val="auto"/>
              </w:rPr>
            </w:pPr>
          </w:p>
        </w:tc>
      </w:tr>
      <w:tr>
        <w:trPr>
          <w:trHeight w:val="397"/>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66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1</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46</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580" w:type="dxa"/>
            <w:vAlign w:val="bottom"/>
            <w:gridSpan w:val="12"/>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46</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2.</w:t>
            </w:r>
          </w:p>
        </w:tc>
        <w:tc>
          <w:tcPr>
            <w:tcW w:w="140" w:type="dxa"/>
            <w:vAlign w:val="bottom"/>
            <w:tcBorders>
              <w:top w:val="single" w:sz="8" w:color="0000FF"/>
            </w:tcBorders>
            <w:gridSpan w:val="3"/>
          </w:tcPr>
          <w:p>
            <w:pPr>
              <w:spacing w:after="0"/>
              <w:rPr>
                <w:sz w:val="21"/>
                <w:szCs w:val="21"/>
                <w:color w:val="auto"/>
              </w:rPr>
            </w:pP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80" w:type="dxa"/>
            <w:vAlign w:val="bottom"/>
            <w:tcBorders>
              <w:top w:val="single" w:sz="8" w:color="0000FF"/>
            </w:tcBorders>
            <w:gridSpan w:val="3"/>
          </w:tcPr>
          <w:p>
            <w:pPr>
              <w:spacing w:after="0"/>
              <w:rPr>
                <w:sz w:val="21"/>
                <w:szCs w:val="21"/>
                <w:color w:val="auto"/>
              </w:rPr>
            </w:pPr>
          </w:p>
        </w:tc>
        <w:tc>
          <w:tcPr>
            <w:tcW w:w="7580" w:type="dxa"/>
            <w:vAlign w:val="bottom"/>
            <w:gridSpan w:val="18"/>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47</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3.</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260" w:type="dxa"/>
            <w:vAlign w:val="bottom"/>
            <w:gridSpan w:val="16"/>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47</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4.</w:t>
            </w:r>
          </w:p>
        </w:tc>
        <w:tc>
          <w:tcPr>
            <w:tcW w:w="862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10"/>
        </w:trPr>
        <w:tc>
          <w:tcPr>
            <w:tcW w:w="20" w:type="dxa"/>
            <w:vAlign w:val="bottom"/>
          </w:tcPr>
          <w:p>
            <w:pPr>
              <w:spacing w:after="0"/>
              <w:rPr>
                <w:sz w:val="24"/>
                <w:szCs w:val="24"/>
                <w:color w:val="auto"/>
              </w:rPr>
            </w:pPr>
          </w:p>
        </w:tc>
        <w:tc>
          <w:tcPr>
            <w:tcW w:w="1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5.</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50</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6.</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Reserved</w:t>
            </w:r>
          </w:p>
        </w:tc>
        <w:tc>
          <w:tcPr>
            <w:tcW w:w="7260" w:type="dxa"/>
            <w:vAlign w:val="bottom"/>
            <w:tcBorders>
              <w:top w:val="single" w:sz="8" w:color="0000FF"/>
            </w:tcBorders>
            <w:gridSpan w:val="21"/>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50</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7.</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63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240" w:type="dxa"/>
            <w:vAlign w:val="bottom"/>
            <w:gridSpan w:val="4"/>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51</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2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300" w:type="dxa"/>
            <w:vAlign w:val="bottom"/>
            <w:gridSpan w:val="7"/>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67</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8.</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9.</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6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2220" w:type="dxa"/>
            <w:vAlign w:val="bottom"/>
            <w:gridSpan w:val="3"/>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100</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6840" w:type="dxa"/>
            <w:vAlign w:val="bottom"/>
            <w:gridSpan w:val="14"/>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100</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80" w:type="dxa"/>
            <w:vAlign w:val="bottom"/>
            <w:gridSpan w:val="17"/>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100</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9C.</w:t>
            </w:r>
          </w:p>
        </w:tc>
        <w:tc>
          <w:tcPr>
            <w:tcW w:w="862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100</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10"/>
        </w:trPr>
        <w:tc>
          <w:tcPr>
            <w:tcW w:w="20" w:type="dxa"/>
            <w:vAlign w:val="bottom"/>
          </w:tcPr>
          <w:p>
            <w:pPr>
              <w:spacing w:after="0"/>
              <w:rPr>
                <w:sz w:val="24"/>
                <w:szCs w:val="24"/>
                <w:color w:val="auto"/>
              </w:rPr>
            </w:pP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58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101</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10.</w:t>
            </w: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4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4560" w:type="dxa"/>
            <w:vAlign w:val="bottom"/>
            <w:gridSpan w:val="8"/>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101</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11.</w:t>
            </w:r>
          </w:p>
        </w:tc>
        <w:tc>
          <w:tcPr>
            <w:tcW w:w="862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101</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12.</w:t>
            </w: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71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1420" w:type="dxa"/>
            <w:vAlign w:val="bottom"/>
            <w:gridSpan w:val="2"/>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101</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5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3220" w:type="dxa"/>
            <w:vAlign w:val="bottom"/>
            <w:gridSpan w:val="5"/>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101</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8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Principal Accounting Fees and Services</w:t>
            </w:r>
          </w:p>
        </w:tc>
        <w:tc>
          <w:tcPr>
            <w:tcW w:w="5760" w:type="dxa"/>
            <w:vAlign w:val="bottom"/>
            <w:gridSpan w:val="11"/>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101</w:t>
            </w:r>
          </w:p>
        </w:tc>
      </w:tr>
      <w:tr>
        <w:trPr>
          <w:trHeight w:val="510"/>
        </w:trPr>
        <w:tc>
          <w:tcPr>
            <w:tcW w:w="20" w:type="dxa"/>
            <w:vAlign w:val="bottom"/>
          </w:tcPr>
          <w:p>
            <w:pPr>
              <w:spacing w:after="0"/>
              <w:rPr>
                <w:sz w:val="24"/>
                <w:szCs w:val="24"/>
                <w:color w:val="auto"/>
              </w:rPr>
            </w:pPr>
          </w:p>
        </w:tc>
        <w:tc>
          <w:tcPr>
            <w:tcW w:w="1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102</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6"/>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740" w:type="dxa"/>
            <w:vAlign w:val="bottom"/>
            <w:gridSpan w:val="1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104</w:t>
            </w:r>
          </w:p>
        </w:tc>
      </w:tr>
      <w:tr>
        <w:trPr>
          <w:trHeight w:val="265"/>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520" w:type="dxa"/>
            <w:vAlign w:val="bottom"/>
            <w:gridSpan w:val="3"/>
          </w:tcPr>
          <w:p>
            <w:pPr>
              <w:spacing w:after="0"/>
              <w:rPr>
                <w:sz w:val="23"/>
                <w:szCs w:val="23"/>
                <w:color w:val="auto"/>
              </w:rPr>
            </w:pPr>
          </w:p>
        </w:tc>
        <w:tc>
          <w:tcPr>
            <w:tcW w:w="40" w:type="dxa"/>
            <w:vAlign w:val="bottom"/>
          </w:tcPr>
          <w:p>
            <w:pPr>
              <w:spacing w:after="0"/>
              <w:rPr>
                <w:sz w:val="23"/>
                <w:szCs w:val="23"/>
                <w:color w:val="auto"/>
              </w:rPr>
            </w:pPr>
          </w:p>
        </w:tc>
        <w:tc>
          <w:tcPr>
            <w:tcW w:w="28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740" w:type="dxa"/>
            <w:vAlign w:val="bottom"/>
            <w:gridSpan w:val="10"/>
          </w:tcPr>
          <w:p>
            <w:pPr>
              <w:spacing w:after="0"/>
              <w:rPr>
                <w:sz w:val="23"/>
                <w:szCs w:val="23"/>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104</w:t>
            </w:r>
          </w:p>
        </w:tc>
      </w:tr>
      <w:tr>
        <w:trPr>
          <w:trHeight w:val="225"/>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060" w:type="dxa"/>
            <w:vAlign w:val="bottom"/>
            <w:gridSpan w:val="15"/>
          </w:tcPr>
          <w:p>
            <w:pPr>
              <w:spacing w:after="0"/>
              <w:rPr>
                <w:sz w:val="19"/>
                <w:szCs w:val="19"/>
                <w:color w:val="auto"/>
              </w:rPr>
            </w:pPr>
          </w:p>
        </w:tc>
        <w:tc>
          <w:tcPr>
            <w:tcW w:w="1300" w:type="dxa"/>
            <w:vAlign w:val="bottom"/>
          </w:tcPr>
          <w:p>
            <w:pPr>
              <w:spacing w:after="0"/>
              <w:rPr>
                <w:sz w:val="19"/>
                <w:szCs w:val="19"/>
                <w:color w:val="auto"/>
              </w:rPr>
            </w:pPr>
          </w:p>
        </w:tc>
      </w:tr>
      <w:tr>
        <w:trPr>
          <w:trHeight w:val="93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top w:val="single" w:sz="8" w:color="0000FF"/>
            </w:tcBorders>
            <w:gridSpan w:val="4"/>
          </w:tcPr>
          <w:p>
            <w:pPr>
              <w:spacing w:after="0"/>
              <w:rPr>
                <w:sz w:val="24"/>
                <w:szCs w:val="24"/>
                <w:color w:val="auto"/>
              </w:rPr>
            </w:pPr>
          </w:p>
        </w:tc>
        <w:tc>
          <w:tcPr>
            <w:tcW w:w="4060" w:type="dxa"/>
            <w:vAlign w:val="bottom"/>
            <w:gridSpan w:val="14"/>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7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About Forward-Looking Statements</w:t>
      </w:r>
    </w:p>
    <w:p>
      <w:pPr>
        <w:spacing w:after="0" w:line="1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Throughout this Annual Report on Form 10-K for the year ended June 30, 2025 (this “Annual Report”), we make “forward-looking statements” within the meaning of the U.S. Private Securities Litigation Reform Act of 1995, Section 27A of the Securities Act of 1933, as amended (the “Securities Act”) and Section 21E of the Securities Exchange Act of 1934, as amended (the “Exchange Act”). This Annual Report contains forward-looking statements that are subject to risks and uncertainties. All statements other than statements of historical fact included in this Annual Report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150" w:lineRule="exact"/>
        <w:rPr>
          <w:sz w:val="20"/>
          <w:szCs w:val="20"/>
          <w:color w:val="auto"/>
        </w:rPr>
      </w:pPr>
    </w:p>
    <w:p>
      <w:pPr>
        <w:jc w:val="both"/>
        <w:ind w:left="6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our growth strategy, including our ability to find suitable geographies for new centers and obtain licenses to open such centers (including in Downey and Bakersfield, California), our ability to ramp up our de novo centers (including in Florida), and the outcome of our organizational and enterprise efficiency initiatives;</w:t>
      </w:r>
    </w:p>
    <w:p>
      <w:pPr>
        <w:spacing w:after="0" w:line="15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successfully complete and integrate acquisitions, joint ventures and other strategic partnerships;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participants and retain existing participants to implement our growth strategy;</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ongoing macroeconomic related challenges, including labor shortages, labor competition, inflation, tariffs and trade disputes;</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periodic inspections, reviews, audits and investigations under the federal and state government programs, and our ability to sufficiently cure any deficiencies identified by the respective federal and state government programs;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legal proceedings, enforcement actions and litigation and disputes, including the current civil investigative demands initiated by federal and state agencies, as well as the litigation and other proceedings initiated by, or on behalf, of our stockholders;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of providing services will exceed our compensation under the Program of All Inclusive Care for the Elderly (“PACE”);</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costs and expenditures and our inability to execute or realize the benefits of our clinical and operational value initiatives;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revenues and operations upon a limited number of government payors, including the risk of sudden loss of any of our government contracts;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submissions to government payors may contain inaccurate or unsupportable information, including regarding risk adjustment scores of participants;</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and federal efforts to reduce healthcare spending;</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a significant percentage of our operations in the State of Colorado;</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healthcare industry;</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to predict our future operating results, which could cause such results to fall below any guidance, targets or goals we provide;</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other key employees;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failures by our suppliers to meet our needs, or limitations on our ability to effectively access new technology or medical products;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operations effectively, execute our business plan, maintain effective levels of service and participant satisfaction and adequately address competitive challenges;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operations in new geographic markets;</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security breaches, loss of data or other disruptions, including disruptions in our disaster recovery systems, causing the compromise of sensitive information or preventing us from accessing critical information;</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incurred but not reported medical expense or the risk scores of our participants;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termination of our leases, increases in rent or inability to renew or extend leases;</w:t>
      </w:r>
    </w:p>
    <w:p>
      <w:pPr>
        <w:spacing w:after="0" w:line="19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w:t>
      </w:r>
    </w:p>
    <w:p>
      <w:pPr>
        <w:spacing w:after="0" w:line="13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“controlled company”;</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continued listing requirements of Nasdaq;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section entitled “Risk Factors” and elsewhere in this Annual Report.</w:t>
      </w:r>
    </w:p>
    <w:p>
      <w:pPr>
        <w:spacing w:after="0" w:line="17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are made only as of the date hereof. We undertake no obligation to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9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InnovAge is the leading healthcare delivery platform by number of participants focused on providing all-inclusive, capitated care to high-cost, seniors, many of whom are dual-eligible. Our programs are designed to address two of the most pressing challenges facing the U.S. healthcare industry: rising costs and poor outcomes. The purpose of our participant-centered care delivery approach is to improve the quality of care our participants receive, while keeping them in their homes for as long as safely possible and reducing over-utilization of high-cost care settings such as hospitals and nursing homes. Through our Program of All-Inclusive Care for the Elderly (“PACE”), we fulfill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and from the PACE center and third-party medical appointments; and care management.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patient experience, and (iv) addressing social determinants of health.</w:t>
      </w:r>
    </w:p>
    <w:p>
      <w:pPr>
        <w:spacing w:after="0" w:line="15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InnovAge Holding Corp. (formerly, TCO Group Holdings, Inc.)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In connection with our initial public offering (“IPO”), which occurred in March 2021, we changed the name of our company from TCO Group Holdings, Inc. to InnovAge Holding Corp. (“InnovAge”). In this Annual Report, the terms “we”, “our”, “our company” and “us” may refer, as the context requires, to InnovAge or collectively to InnovAge and its subsidiaries.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InnovAge is headquartered in Denver, Colorado and manages its business as one reportable segment, PACE.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PACE</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2025, the Company served approximately 7,740 PACE participants, making it the largest PACE provider in the United States (the “U.S.”) based on participants served, and operated 20 PACE centers across California, Colorado, Florida, New Mexico, Pennsylvania and Virginia.</w:t>
      </w:r>
    </w:p>
    <w:p>
      <w:pPr>
        <w:spacing w:after="0" w:line="1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 We deliver our participant-centered care through the InnovAge Platform (as defined herein), which is designed to bring high-touch, comprehensive, value-based care.</w:t>
      </w:r>
    </w:p>
    <w:p>
      <w:pPr>
        <w:spacing w:after="0" w:line="1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require us to coordinate and manage all aspects of a participant’s health, and deliver the necessary care. Costs under the PACE program are estimated to be 12% lower on average than for a comparable dual-eligible population aged 65 and older under Medicaid, based on an analysis of most recently available data by the National PACE Association in January 2024. Importantly, we believe our vertically integrated model can deliver better health outcomes and reduce unnecessary or avoidable medical spend. In addition, as of June 30, 2025, we believe our participants had a lower hospital readmission rate compared to a frail, dual-eligible or disabled waiver population. In addition to reducing spend, we also focus on ensuring our participants are satisfied with the services delivered and frequently evaluate benchmarks and survey methodologies to measure their satisfaction. Our participant satisfaction is currently measured through a Net Promoter Score (“NPS”). NPS is a metric used to measure customer satisfaction, loyalty and enthusiasm by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asking how likely they are to recommend a company to a friend or colleague, and is reported as a number between negative 100 and positive 100. Based on quarterly surveys to measure emerging sentiment within a subset of our participants nationally, our average NPS was 45. According to Qualtrics, the creator of the NPS, Bain and Company suggests a score above 20 is favorable and above 50 is excellent. As part of our quarterly surveys, each year, we conduct an I-SAT survey (“Integrated Satisfaction Measurement for PACE”) to measure NPS across a national sample of our participants. In fiscal year 2025, our I-SAT NPS score was 56, which compares favorably to a national PACE program average of 55.</w:t>
      </w:r>
    </w:p>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our value proposition to each constituency translates into a predictable economic model. We directly contract with Medicare and Medicaid on a per member, per month (“PMPM”) basis, which creates recurring revenue streams and provides significant visibility into our revenue trajectory. We receive 100% of the pooled capitated payment to directly provide or manage the healthcare needs of our participants.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Challenges</w:t>
      </w:r>
    </w:p>
    <w:p>
      <w:pPr>
        <w:spacing w:after="0" w:line="19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Unsustainable and rising healthcare costs. </w:t>
      </w:r>
      <w:r>
        <w:rPr>
          <w:rFonts w:ascii="Times New Roman" w:cs="Times New Roman" w:eastAsia="Times New Roman" w:hAnsi="Times New Roman"/>
          <w:sz w:val="18"/>
          <w:szCs w:val="18"/>
          <w:color w:val="auto"/>
        </w:rPr>
        <w:t>According to data from the Office of the Actuary of CMS, healthcare spending in the United States grew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6% per year from 2018 to 2023, and in 2023 represented $4.9 trillion of annual spend, or 17.6% of U.S. GDP. The overall growth rate of healthcare spending is expected to accelerate due to the aging population.</w:t>
      </w:r>
    </w:p>
    <w:p>
      <w:pPr>
        <w:spacing w:after="0" w:line="13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government healthcare spend has been higher for the dual-eligible population, who typically suffer from multiple chronic conditions and require long-term services and support. Average total spend, including Medicare, Medicaid, supplemental insurance and out-of-pocket spending across all payers, for dual-eligible seniors was more than twice the amount than other Medicare beneficiaries, based on data from the Medicare Payment Advisory Commission (MedPAC) as of 2022. Improved care management of dual-eligible seniors is critical to reducing the rapid growth in government healthcare spending in the United States.</w:t>
      </w:r>
    </w:p>
    <w:p>
      <w:pPr>
        <w:spacing w:after="0" w:line="14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Highly fragmented, uncoordinated healthcare system. </w:t>
      </w:r>
      <w:r>
        <w:rPr>
          <w:rFonts w:ascii="Times New Roman" w:cs="Times New Roman" w:eastAsia="Times New Roman" w:hAnsi="Times New Roman"/>
          <w:sz w:val="18"/>
          <w:szCs w:val="18"/>
          <w:color w:val="auto"/>
        </w:rPr>
        <w:t>The U.S. healthcare system is complex and highly fragmented, resulting in piecemeal care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different providers who each lack a complete picture of the patient. Furthermore, this dynamic often makes the healthcare system difficult for patients to navigate. Primary, acute, behavioral and long-term care providers need to work together to effectively manage a patient’s care, yet, today, they often work in silos. This lack of care coordination can result in missed or inaccurate diagnoses, gaps in care, unnecessary spend and ultimately sub-optimal patient outcomes.</w:t>
      </w:r>
    </w:p>
    <w:p>
      <w:pPr>
        <w:spacing w:after="0" w:line="1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High-cost, dual-eligible seniors are at high risk of falling through the cracks of the U.S. healthcare system. Few government-sponsored programs other than PACE bring together the Medicare and Medicaid benefit for these individuals, creating further barriers to delivering coordinated care. Dual-eligible beneficiaries are among the most medically complex, high-frequency users of healthcare services. Based on InnovAge data as of June 30, 2025, the typical InnovAge participant had, on average, ten chronic conditions and, based on the data most recently available to us from a 2023 modified health outcomes survey, required, on average, assistance with two or more activities of daily living (“ADLs”). A lack of coordination across providers can have severe consequences given the high occurrence of chronic illnesses and other underlying health issues in this population.</w:t>
      </w:r>
    </w:p>
    <w:p>
      <w:pPr>
        <w:spacing w:after="0" w:line="14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Prevalence of wasteful spending and sub-optimal outcomes. </w:t>
      </w:r>
      <w:r>
        <w:rPr>
          <w:rFonts w:ascii="Times New Roman" w:cs="Times New Roman" w:eastAsia="Times New Roman" w:hAnsi="Times New Roman"/>
          <w:sz w:val="17"/>
          <w:szCs w:val="17"/>
          <w:color w:val="auto"/>
        </w:rPr>
        <w:t>Proper management of chronic conditions and targeted interventions to mitigate challenges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presented by social determinants of health can significantly reduce the incidence of acute episodes, which are the main driver of emergency room visits and hospitalization among the dual-eligible senior population. Healthcare spending on nursing care facilities and continuing care retirement communities is expected to reach approximately $247.1 billion in 2025, based on the latest projections made by the Office of the Actuary of CMS, which is an 8.0% increase compared to the current 2024 projection. Similar to spend on hospitals and other high-acuity care settings, we believe many of these dollars can ultimately be saved by providing proactive treatment and investing in proper medical and social supports to enable frail seniors to live in their homes and communities.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Despite high levels of spending, the U.S. healthcare system struggles to produce better health outcomes and delivers low levels of patient and provider satisfaction.</w:t>
      </w:r>
    </w:p>
    <w:p>
      <w:pPr>
        <w:spacing w:after="0" w:line="13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Payment structures are evolving to address healthcare issues. </w:t>
      </w:r>
      <w:r>
        <w:rPr>
          <w:rFonts w:ascii="Times New Roman" w:cs="Times New Roman" w:eastAsia="Times New Roman" w:hAnsi="Times New Roman"/>
          <w:sz w:val="18"/>
          <w:szCs w:val="18"/>
          <w:color w:val="auto"/>
        </w:rPr>
        <w:t>Policymakers and healthcare experts generally acknowledge that the fee-for-service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designed to deliver on the “triple aim” of providing low-cost, high-quality care while improving the patient experience. Historically, healthcare delivery was oriented around reactive care for acute events, which resulted in the development of a fee-for-service payment model. By linking payments to the volume of encounters and pricing for higher complexity interventions, the fee-for-service model does not incentivize providers to practice preventative medicine or manage patients in lower cost settings. Rather, many policymakers and healthcare experts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believe it unintentionally creates the opposite result—acute, episodic care delivered in high-cost settings that unnecessarily drive up the total cost of healthcare.</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High-cost, dual-eligible seniors often require proactive, coordinated care plans to address their medical acuity, need for long term support and risks related to social determinants of health. Without personalized, patient-centered care that removes barriers to preventative or other early treatment, high-cost, dual-eligible seniors would likely continue to over-utilize healthcare in higher-cost settings, such as emergency rooms and nursing homes.</w:t>
      </w:r>
    </w:p>
    <w:p>
      <w:pPr>
        <w:spacing w:after="0" w:line="13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PACE is a value-based government-sponsored, provider-led managed care program focused on enabling frail, dual-eligible seniors who have skilled nursing needs to age independently in their homes that can mitigate concerns over utilization of high-cost healthcare. PACE providers receive a monthly risk-adjusted payment for each participant (PMPM) directly from Medicare and Medicaid to oversee the totality of medical care an enrolled participant needs. Fully capitated models, such as PACE, incentivize organizations to better manage chronic conditions to avoid high-cost acute episodes and to invest in services that fall outside the scope of a fee-for-service model. These services, such as care coordination and ancillary support to remove barriers created by social determinants of health, can have a significant impact on a participant’s overall health.</w:t>
      </w:r>
    </w:p>
    <w:p>
      <w:pPr>
        <w:spacing w:after="0" w:line="15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InnovAge participants are, on average, more complex and medically fragile than other Medicare-eligible patients, including those in average Medicare Advantage (“MA”) programs. As a result, we receive larger payments for our participants compared to MA participants. This is driven by two factors: (i) we believe we provide care for a higher acuity population, with an average Medicare Risk Adjustment Factor (“RAF”) score of 2.42 based on InnovAge data as of June 30, 2025, with a higher RAF score indicating poorer health and higher predicted healthcare costs, and (ii) we have Medicaid spend in addition to Medicare. Our comprehensive care model and globally capitated payments are designed to cover participants from enrollment until the end of life, including coverage for participants requiring hospice and palliative care.</w:t>
      </w:r>
    </w:p>
    <w:p>
      <w:pPr>
        <w:spacing w:after="0" w:line="14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Legacy healthcare delivery infrastructure has been slow to transition from fee-for-service to value-based care models. </w:t>
      </w:r>
      <w:r>
        <w:rPr>
          <w:rFonts w:ascii="Times New Roman" w:cs="Times New Roman" w:eastAsia="Times New Roman" w:hAnsi="Times New Roman"/>
          <w:sz w:val="18"/>
          <w:szCs w:val="18"/>
          <w:color w:val="auto"/>
        </w:rPr>
        <w:t>In order for the shift to value-based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models to drive meaningful results, we believe there must be a corresponding shift in care delivery models. While there has been significant investment by providers, payors and technology companies in developing solutions to enable higher-quality and lower-cost care, the healthcare industry still relies on fee-for-service reimbursement models.</w:t>
      </w:r>
    </w:p>
    <w:p>
      <w:pPr>
        <w:spacing w:after="0" w:line="13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COVID-19 pandemic highlighted the need for integrated, multimodal value-based care delivery models. Traditional healthcare providers experienced reduced revenue and strained ability to provide care during shutdowns and restrictions and as a result of general patient fear of medical settings. Providers that operate comprehensive value-based models, like us, were and remain better positioned to quickly pivot the care delivery approach to safely treat patients in virtual settings without losing revenue.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one of the largest healthcare platforms focused on frail, dual-eligible seniors, serving participants exclusively through our PACE program. We have built the largest PACE-focused operation in the country based on number of participants, with 20 PACE centers across six states; we are 16% larger than the size of our closest PACE-focused competitor and more than 30 times larger than the typical PACE operator. Given our scale across geographies, we believe we are positioned to capitalize on a significant market opportunity to provide care to frail, high-cost, dual-eligible seniors.</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care model targets the most complex, frail subset of the dual-eligible senior population. We estimated our target population at approximately 2.3 million in 2024 based on data from the U.S. Census Bureau from 2018, representing seniors who we believe are dually eligible for Medicare and Medicaid and meet the nursing home eligibility criteria for PACE. We prioritize growth in high-density urban and suburban areas, where there are sizable numbers of frail dual-eligible seniors who would benefit most from our program. We leverage the InnovAge Platform (as defined herein) which is designed to provide comprehensive, coordinated healthcare to enable our frail, eligible for skilled nursing seniors to live independently in their homes and communities. We believe people want to stay in their home for as long as possible, and the InnovAge Platform is designed to empower seniors to age independently in their own homes, on their own terms, for as long as possible.</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Based on historical results for the year ended June 30, 2025 and our experience and industry knowledge, we estimate an average annual revenue opportunity of $115,000 per participant (or $9,600 PMPM) and a total addressable market opportunity of $265 billion, based on our estimated market of approximately 2.3 million PACE eligible participants in the United States in 2024, as described above. Of these estimated PACE eligible participants, only approximately 85,000 are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enrolled in a PACE program, based on a June 2025 report from the National PACE Association, and over the next four years, the National PACE Association is targeting a PACE enrollment increase at a compound annual growth rate (“CAGR”) of approximately 27%. As a result, we believe that we have a substantial opportunity to bring our comprehensive value-based model of care to more frail, dual-eligible seniors across the country. This opportunity is subject to our ability to effectively execute our growth strategy and assumes no adverse macroeconomic or regulatory changes. For example, reductions to the Medicaid portion of PACE capitation rates from the recently enacted federal budget reconciliation bill, the One Big Beautiful Bill Act (the “OBBBA”), will have a negative impact on the size of our estimated total addressable market opportunity for PACE.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InnovAge Platform</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participant-centered approach is tailored to address the complex medical and social needs of our frail dual-eligible senior population. We leverage the InnovAge Platform to deliver comprehensive, coordinated healthcare to our participants. The InnovAge Platform consists of (1) our Interdisciplinary Care Teams (“IDTs”) and (2) our community-based care delivery model. The key attributes of the InnovAge Platform include:</w:t>
      </w:r>
    </w:p>
    <w:p>
      <w:pPr>
        <w:spacing w:after="0" w:line="14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Our participant focus. </w:t>
      </w:r>
      <w:r>
        <w:rPr>
          <w:rFonts w:ascii="Times New Roman" w:cs="Times New Roman" w:eastAsia="Times New Roman" w:hAnsi="Times New Roman"/>
          <w:sz w:val="18"/>
          <w:szCs w:val="18"/>
          <w:color w:val="auto"/>
        </w:rPr>
        <w:t>Our model is focused on caring for frail, high-cost, dual-eligible seniors. Our target participant population is the frail, nursing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home-eligible subset of dual-eligible seniors to whom we refer as “high-cost, dual-eligibles” given their high healthcare acuity and the associated high level of spend. Our participants are among the most frail and medically complex individuals in the U.S. healthcare system. Based on InnovAge data as of June 30, 2025, the typical InnovAge participant had, on average, ten chronic conditions and, based on the data most recently available to us from a 2023 modified health outcomes survey, required, on average, assistance with two or more ADLs. Our platform is designed to enable participants to exercise their preference to age independently in their homes and stay active in their communities for as long as safely possible. All of our participants are certified as nursing home-eligible. As of June 30, 2025, approximately 93% of our participants were able to live safely in their homes and communities.</w:t>
      </w:r>
    </w:p>
    <w:p>
      <w:pPr>
        <w:spacing w:after="0" w:line="14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Our interdisciplinary care teams. </w:t>
      </w:r>
      <w:r>
        <w:rPr>
          <w:rFonts w:ascii="Times New Roman" w:cs="Times New Roman" w:eastAsia="Times New Roman" w:hAnsi="Times New Roman"/>
          <w:sz w:val="18"/>
          <w:szCs w:val="18"/>
          <w:color w:val="auto"/>
        </w:rPr>
        <w:t>The IDT structure is core to our clinical model. Our IDTs oversee all aspects of each participant’s unique care plan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 as the core group of care providers to our participants. Our IDT structure is designed to enhance access to care for our participants and eliminate information silos and gaps in care that frequently occur in a fee-for-service model. We are responsible for all of our participants’ medical care, and we direct care delivery across multiple settings. We deliver individualized care for each participant that addresses both his or her specific medical conditions and social determinants of health. We deliver or manage primary and specialist care, in-home care, hospital visits, nutrition, transportation to and from our care centers and to other medical appointments, pharmacy and behavioral health. We leverage a technology suite, which we believe is powered by industry-leading clinical and operational information technology solutions to collect and analyze data, streamline IDT workflows and empower our teams with timely participant insights that improve outcomes.</w:t>
      </w:r>
    </w:p>
    <w:p>
      <w:pPr>
        <w:spacing w:after="0" w:line="1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Each IDT convenes, at a minimum, experts across at least 11 disciplines to collectively manage the complex care needs of each participant. IDTs are typically comprised of a primary care provider, registered nurse, master’s level social worker, physical therapist, occupational therapist, recreational therapist or activity coordinator, dietician, center manager, home care coordinator, personal care attendant and driver. Members of the IDTs meet multiple times per week to discuss participant care and to closely monitor key clinical metrics so that each participant receives optimal treatment based on his or her current conditions.</w:t>
      </w:r>
    </w:p>
    <w:p>
      <w:pPr>
        <w:spacing w:after="0" w:line="157"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community-based care delivery model. </w:t>
      </w:r>
      <w:r>
        <w:rPr>
          <w:rFonts w:ascii="Times New Roman" w:cs="Times New Roman" w:eastAsia="Times New Roman" w:hAnsi="Times New Roman"/>
          <w:sz w:val="18"/>
          <w:szCs w:val="18"/>
          <w:color w:val="auto"/>
        </w:rPr>
        <w:t>Our high-touch model delivers care across a continuum of community-based settings. Our multimodal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leverages (1) the care center, (2) the home and (3) virtual care capabilities to deliver comprehensive care to our participants. Our capitated payment model gives us the flexibility to invest in care coordination, transportation and other services to mitigate challenges presented by participants’ social determinants of health, regardless of what is traditionally covered by insurance. As a result, our capabilities are not limited to what we are able to offer inside of our centers.</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Our community-based care centers. </w:t>
      </w:r>
      <w:r>
        <w:rPr>
          <w:rFonts w:ascii="Times New Roman" w:cs="Times New Roman" w:eastAsia="Times New Roman" w:hAnsi="Times New Roman"/>
          <w:sz w:val="18"/>
          <w:szCs w:val="18"/>
          <w:color w:val="auto"/>
        </w:rPr>
        <w:t>Our purpose-built community-based care centers are designed for the specific needs of our target population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 as a medical and social hub for our participants. Our participants often spend the full day in these centers receiving medical treatment, meals and physical therapy and socializing with peers. Our care centers are larger than those of most other comparable care organizations and include dedicated spaces for medical care, physical therapy, behavioral health and dentistry, in addition to day-rooms and dining spaces for socialization among our participants. We incorporate population-specific design elements, such as grab bars and rounded hallways, to accommodate the frailty and the prevalence of dementia among our participant population. The size and design of our centers enable us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a significant portion of our participants’ care in one location, simplifying the healthcare experience for participants and their families.</w:t>
      </w:r>
    </w:p>
    <w:p>
      <w:pPr>
        <w:spacing w:after="0" w:line="17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Our in-home care capabilities</w:t>
      </w:r>
      <w:r>
        <w:rPr>
          <w:rFonts w:ascii="Times New Roman" w:cs="Times New Roman" w:eastAsia="Times New Roman" w:hAnsi="Times New Roman"/>
          <w:sz w:val="18"/>
          <w:szCs w:val="18"/>
          <w:color w:val="auto"/>
        </w:rPr>
        <w:t>. Our in-home care capabilities are designed to enable our participants to live safely in their homes and avoid nursing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safely possible. We directly deliver or manage all skilled and unskilled care a participant may require to live independently at home. Additionally, we have dedicated strategic partnerships with “hospital-at-home” providers to deliver acute care in-home when appropriate. In addition, we manage transportation not only to and from our centers, but also to all third-party medical appointments. Our capitated payment model gives us the flexibility to invest in home modifications, such as ramps, grab bars and shower chairs, to reduce falls and make the home safer for our participants. We believe our presence in our participants’ homes gives us real-time insight into their health and enables us to positively influence many environmentally-driven social determinants of health.</w:t>
      </w:r>
    </w:p>
    <w:p>
      <w:pPr>
        <w:spacing w:after="0" w:line="14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Our virtual care capabilities</w:t>
      </w:r>
      <w:r>
        <w:rPr>
          <w:rFonts w:ascii="Times New Roman" w:cs="Times New Roman" w:eastAsia="Times New Roman" w:hAnsi="Times New Roman"/>
          <w:sz w:val="18"/>
          <w:szCs w:val="18"/>
          <w:color w:val="auto"/>
        </w:rPr>
        <w:t>. Our virtual care capabilities give us the flexibility to deliver medical care and social services virtually when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physicians are equipped with HIPAA compliant platforms to provide virtual care. We offer telehealth visits when clinically indicated, allowed per regulations and more convenient for the participant. Our aim is to make virtual care access simple and convenient for our participants.</w:t>
      </w:r>
    </w:p>
    <w:p>
      <w:pPr>
        <w:spacing w:after="0" w:line="14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Addressing social determinants of health</w:t>
      </w:r>
      <w:r>
        <w:rPr>
          <w:rFonts w:ascii="Times New Roman" w:cs="Times New Roman" w:eastAsia="Times New Roman" w:hAnsi="Times New Roman"/>
          <w:sz w:val="18"/>
          <w:szCs w:val="18"/>
          <w:color w:val="auto"/>
        </w:rPr>
        <w:t>. Our care delivery model is designed to provide services that mitigate challenges presented by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social determinants of health, such as:</w:t>
      </w:r>
    </w:p>
    <w:p>
      <w:pPr>
        <w:spacing w:after="0" w:line="122"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stability</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environment</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and social context</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nutrition</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literacy</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Fitness</w:t>
      </w:r>
    </w:p>
    <w:p>
      <w:pPr>
        <w:spacing w:after="0" w:line="17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technology suite. </w:t>
      </w:r>
      <w:r>
        <w:rPr>
          <w:rFonts w:ascii="Times New Roman" w:cs="Times New Roman" w:eastAsia="Times New Roman" w:hAnsi="Times New Roman"/>
          <w:sz w:val="18"/>
          <w:szCs w:val="18"/>
          <w:color w:val="auto"/>
        </w:rPr>
        <w:t>Our fully capitated care model is operationally complex; it requires coordination among dozens of different providers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real-time integration of clinical data from disparate sources and predictive analytics to enable effective interventions. We license a suite of third-party clinical technologies that we use to create a comprehensive view of our participants’ health, empowering our IDTs to make optimal care decisions. We leverage what we believe to be industry-leading reporting and predictive analytics solutions to collect and analyze data, stratify our population and uncover actionable participant insights.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healthcare model is one where all constituencies involved, including participants, their families, providers and government payors, have the ability to “Win.”</w:t>
      </w:r>
    </w:p>
    <w:p>
      <w:pPr>
        <w:spacing w:after="0" w:line="1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participants “Win” by enjoying a better participant experience, improved health outcomes and remaining in their homes and communities for longer. We leverage our differentiated care delivery model to improve the health of our participants and help them avoid unnecessary hospitalizations and nursing home care. We enable our participants to remain in their homes as long as possible and age independently. As a result, as of June 30, 2025, approximately 93% of our participants lived in their preferred setting: their home or community. We believe our care model also delivers better clinical outcomes: our participants have fewer hospital admissions and lower hospital readmission rates. Our care model is not “one size fits all,” it is customized to the unique needs of each participant, which benefits participant health and increases participant satisfaction with our program.</w:t>
      </w:r>
    </w:p>
    <w:p>
      <w:pPr>
        <w:spacing w:after="0" w:line="15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Families “Win” as we reduce their caregiving burden and provide “peace of mind”. </w:t>
      </w:r>
      <w:r>
        <w:rPr>
          <w:rFonts w:ascii="Times New Roman" w:cs="Times New Roman" w:eastAsia="Times New Roman" w:hAnsi="Times New Roman"/>
          <w:sz w:val="18"/>
          <w:szCs w:val="18"/>
          <w:color w:val="auto"/>
        </w:rPr>
        <w:t>We significantly reduce the caregiving burden on the families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Our model handles all transportation to and from medical appointments and center visits, helps participants with ADLs, and creates social outlets for participants to reduce isolation. Most importantly, we believe we offer “peace of mind” to our participants’ families who know their loved one’s complex needs are cared for. “Friends and family” of participants remain one of our largest referral sources for recruiting new participants.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Our providers “Win” as they are able to focus on improving the lives of their participants. </w:t>
      </w:r>
      <w:r>
        <w:rPr>
          <w:rFonts w:ascii="Times New Roman" w:cs="Times New Roman" w:eastAsia="Times New Roman" w:hAnsi="Times New Roman"/>
          <w:sz w:val="18"/>
          <w:szCs w:val="18"/>
          <w:color w:val="auto"/>
        </w:rPr>
        <w:t>We enable our providers to focus on taking care of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providing them with meaningful clinical and administrative support. We remove the pressure of trying to optimize visit volume by rewarding quality, not quantity, of care. We estimate that our providers (1) have a smaller number of participants to care for and spend more time with each participant than providers in similar care organizations, and (2) benefit from the support of a multidisciplinary team.</w:t>
      </w:r>
    </w:p>
    <w:p>
      <w:pPr>
        <w:spacing w:after="0" w:line="13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Government payors “Win” through fiscal certainty and lower costs. </w:t>
      </w:r>
      <w:r>
        <w:rPr>
          <w:rFonts w:ascii="Times New Roman" w:cs="Times New Roman" w:eastAsia="Times New Roman" w:hAnsi="Times New Roman"/>
          <w:sz w:val="18"/>
          <w:szCs w:val="18"/>
          <w:color w:val="auto"/>
        </w:rPr>
        <w:t>We believe we provide fiscal certainty through our capitated payment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reduce the cost of both medical and long-term support and services for high-cost, dual-eligible seniors. For states, costs under the PACE program were estimated to be 12% less than the cost of caring for a comparable population through other Medicaid services based on an analysis of most recently available data by the National PACE Association in January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participant enrollment and capacity within our centers</w:t>
      </w:r>
    </w:p>
    <w:p>
      <w:pPr>
        <w:spacing w:after="0" w:line="181" w:lineRule="exact"/>
        <w:rPr>
          <w:sz w:val="20"/>
          <w:szCs w:val="20"/>
          <w:color w:val="auto"/>
        </w:rPr>
      </w:pPr>
    </w:p>
    <w:p>
      <w:pPr>
        <w:jc w:val="both"/>
        <w:ind w:left="6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ended June 30, 2025, our participant census was approximately 7,740 across our 20 centers in six states. During fiscal year 2025, we focused on increasing enrollments and utilization of capacity at our existing centers, in part by furthering engagement in communities in which our centers operate.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de novo centers</w:t>
      </w:r>
    </w:p>
    <w:p>
      <w:pPr>
        <w:spacing w:after="0" w:line="195"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2025, we ramped up our newer de novo centers in Florida (Tampa and Orlando).</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de novo centers generate compelling long-term unit economics and the potential for robust internal rates of return.</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operated our platform across different geographies and we expect to prioritize a list of target markets that we believe are optimal environments to launch the InnovAge Platform.</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de novo developments includes building centers to our experience-based specifications, with flexibility for future center expansion factored into the blueprints where possible.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Execute tuck-in acquisitions, strategic transactions and partnerships</w:t>
      </w:r>
    </w:p>
    <w:p>
      <w:pPr>
        <w:spacing w:after="0" w:line="181" w:lineRule="exact"/>
        <w:rPr>
          <w:sz w:val="20"/>
          <w:szCs w:val="20"/>
          <w:color w:val="auto"/>
        </w:rPr>
      </w:pPr>
    </w:p>
    <w:p>
      <w:pPr>
        <w:jc w:val="both"/>
        <w:ind w:left="640" w:hanging="316"/>
        <w:spacing w:after="0" w:line="25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seven fiscal years, we have acquired and integrated four PACE organizations for a total of eight operational centers (excluding the PACE center in Bakersfield, California, which is not yet operational). These acquisitions represent expansion of our InnovAge Platform into one new state and five new markets. In addition, in fiscal year 2025, we acquired certain pharmacy assets from Tabula Rasa HealthCare Group (“TRHG”) with the goal of supporting our growth and improving pharmacy cost-management. By bringing acquired organizations under the InnovAge Platform, we hope to further realize revenue growth and improve operational efficiency and care delivery post-integration.</w:t>
      </w:r>
    </w:p>
    <w:p>
      <w:pPr>
        <w:spacing w:after="0" w:line="158" w:lineRule="exact"/>
        <w:rPr>
          <w:rFonts w:ascii="Times New Roman" w:cs="Times New Roman" w:eastAsia="Times New Roman" w:hAnsi="Times New Roman"/>
          <w:sz w:val="18"/>
          <w:szCs w:val="18"/>
          <w:color w:val="auto"/>
        </w:rPr>
      </w:pPr>
    </w:p>
    <w:p>
      <w:pPr>
        <w:jc w:val="both"/>
        <w:ind w:left="640" w:hanging="316"/>
        <w:spacing w:after="0" w:line="274"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believe there is a robust landscape of potential tuck-in acquisitions to supplement our organic growth. In fiscal year 2024, we completed an acquisition of two PACE programs in California from ConcertoCare, which included one operational center in the Crenshaw neighborhood of Los Angeles and a second program that is a planned de novo in Bakersfield. When integrating acquired programs, we work closely with key constituencies, including local governments, health systems and senior housing providers, to enable continuity of high-quality care for participants.</w:t>
      </w:r>
    </w:p>
    <w:p>
      <w:pPr>
        <w:spacing w:after="0" w:line="127" w:lineRule="exact"/>
        <w:rPr>
          <w:rFonts w:ascii="Times New Roman" w:cs="Times New Roman" w:eastAsia="Times New Roman" w:hAnsi="Times New Roman"/>
          <w:sz w:val="17"/>
          <w:szCs w:val="17"/>
          <w:color w:val="auto"/>
        </w:rPr>
      </w:pPr>
    </w:p>
    <w:p>
      <w:pPr>
        <w:jc w:val="both"/>
        <w:ind w:left="640" w:hanging="316"/>
        <w:spacing w:after="0" w:line="25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have pursued and intend to pursue additional relationships with key stakeholders, existing organizations and other care providers in order to form partnerships in target geographies. In fiscal year 2024, we opened the Orlando PACE center as a joint venture with Orlando Health, a healthcare system broadly recognized for its care programs, services and extensive community outreach and support with the goal of magnifying the impact and extend the reach of PACE services for eligible seniors in the Orlando market. In fiscal year 2025, enrollments at our Orlando center increased, in part because of this partnership. In August 2025, we entered into a joint venture with Tampa General Hospital to support our Tampa PACE center. We expect to continue to explore additional strategic partnerships in the communities in which we operate.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Reinvest in the InnovAge Platform to optimize performance</w:t>
      </w:r>
    </w:p>
    <w:p>
      <w:pPr>
        <w:spacing w:after="0" w:line="181" w:lineRule="exact"/>
        <w:rPr>
          <w:sz w:val="20"/>
          <w:szCs w:val="20"/>
          <w:color w:val="auto"/>
        </w:rPr>
      </w:pPr>
    </w:p>
    <w:p>
      <w:pPr>
        <w:jc w:val="both"/>
        <w:ind w:left="640" w:hanging="316"/>
        <w:spacing w:after="0" w:line="259"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ongoing investment in the InnovAge Platform drives greater efficiency across our business, creating a virtuous cycle that allows us to continue providing necessary care to our participants. Our platform is the largest among PACE providers based on participants served and one of the most geographically diverse.</w:t>
      </w:r>
    </w:p>
    <w:p>
      <w:pPr>
        <w:spacing w:after="0" w:line="13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continually invest in technology improvements and seek to unlock new insights through enhanced data analytics capabilities that will advance our care model.</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investing in building capabilities to increase our sophistication as a payor to drive clinical value, improve outcomes, and manage cost trends.</w:t>
      </w:r>
    </w:p>
    <w:p>
      <w:pPr>
        <w:spacing w:after="0" w:line="188" w:lineRule="exact"/>
        <w:rPr>
          <w:rFonts w:ascii="Times New Roman" w:cs="Times New Roman" w:eastAsia="Times New Roman" w:hAnsi="Times New Roman"/>
          <w:sz w:val="17"/>
          <w:szCs w:val="17"/>
          <w:color w:val="auto"/>
        </w:rPr>
      </w:pPr>
    </w:p>
    <w:p>
      <w:pPr>
        <w:ind w:left="640" w:right="2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investments will ultimately result in better health outcomes and lower medical costs for participants. In the long-term, we intend to reduce medical costs in order to generate savings for reinvestment to support continuous improvement of the InnovAge Platform.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operations are subject to extensive federal, state and local governmental laws and regulations. These laws and regulations require us to meet various standards relating to, among other things, arrangement and provision of covered healthcare services to our participants, operation and management of PACE centers, dispensing of pharmaceuticals, personnel qualifications, maintenance of proper records, and quality assurance programs. If any of our operations are found to violate applicable laws or regulations, we could suffer severe consequences that would have a material adverse effect on our business, results of operations, financial condition, cash flows, reputation and stock price, including:</w:t>
      </w:r>
    </w:p>
    <w:p>
      <w:pPr>
        <w:spacing w:after="0" w:line="146"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termination or exclusion of our participation in government payor programs;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licenses required to operate healthcare facilities or administer prescription drugs in the states in which we operate;</w:t>
      </w:r>
    </w:p>
    <w:p>
      <w:pPr>
        <w:spacing w:after="0" w:line="19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or civil liability, fines, damages or monetary penalties for violations of healthcare fraud and abuse laws, including the federal Anti-Kickback Statute, Civil Monetary Penalties Law, the False Claims Act (“FCA”) and/or state analogs to these federal enforcement authorities, or other regulatory requirements;</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by governmental agencies and/or state law claims for monetary damages by patients or employees relating to breach of, impermissible use or disclosure of, or other incidents relating to protected health information (“PHI”) and other types of personal data or personally identifiable information (collectively, “PII” and, together with PHI, “PHI/PII”) that we collect, use, and disclose, in violation of federal or state privacy laws, including, for example and without limitation, the Health Insurance Portability and Accountability Act of 1996, as amended by HITECH Act (“HIPAA”), or state data privacy and security laws;</w:t>
      </w:r>
    </w:p>
    <w:p>
      <w:pPr>
        <w:spacing w:after="0" w:line="14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changes to our practices or procedures that significantly increase operating expenses or decrease our revenue;</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and compliance with corporate integrity agreements that could subject us to ongoing audits and reporting requirements as well as increased scrutiny of our business practices which could lead to potential fines, among other things;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various relationships and/or contracts related to our business, including joint venture arrangements, contracts with government payors, and real estate leases or contracts with clinical providers;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reinterpretation of rules and laws by a regulatory agency board, or court, such as state corporate practice of medicine laws, which could affect the structure and management of our business;</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payor reimbursement, including negative adjustments to government payment models including, but not limited to, Medicare Parts C and D and Medicaid; and</w:t>
      </w:r>
    </w:p>
    <w:p>
      <w:pPr>
        <w:spacing w:after="0" w:line="123" w:lineRule="exact"/>
        <w:rPr>
          <w:rFonts w:ascii="Times New Roman" w:cs="Times New Roman" w:eastAsia="Times New Roman" w:hAnsi="Times New Roman"/>
          <w:sz w:val="18"/>
          <w:szCs w:val="18"/>
          <w:color w:val="auto"/>
        </w:rPr>
      </w:pPr>
    </w:p>
    <w:p>
      <w:pPr>
        <w:ind w:left="640" w:right="20" w:hanging="316"/>
        <w:spacing w:after="0" w:line="304"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to our reputation, which could negatively impact our business relationships, the terms of government payor contracts, our ability to attract and retain participants, physicians, and other clinicians, our ability to obtain financing and our access to new business opportunities, among other things.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that our industry will continue to be subject to substantial regulation, the scope and effect of which are difficult to predict. Our activities have been and could continue to be subject to investigations, audits and inquiries by various government and regulatory agencies with whom we contract at any time in the future. See Item 1A. Risk Factors, “Risks Related to Regulation.”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Regulation of PACE Providers</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subject to a complex array of federal and state laws, regulations, and guidance, including legal requirements directly applicable to PACE providers as well as Medicare and Medicaid laws and regulations. These laws and guidance relate to our organizational structure, governance, fiscal soundness, marketing activities, participant enrollment and disenrollment, charges to participants, provision of healthcare and other services to participants, care planning activities, service delivery settings and maintenance of centers, participant rights, employment and contractual arrangements with healthcare providers and other staff, quality assessment and performance improvement activities, participant grievances and appeals, medical records documentation, compliance program activities, and other aspects of our operations and financing. As a PACE provider that provides qualified prescription drug coverage, we are also subject to Medicare laws, regulations, and requirements applicable to Medicare Part D plan sponsors.</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regulations and contractual requirements applicable to PACE providers are complex and subject to change, making it necessary for us to invest significant resources in complying with these requirements. Scrutiny through federal and state government audits, oversight and enforcement and the highly technical regulatory scheme in which we operate require us to allocate significant resources to our compliance efforts. In addition, new centers that we may acquire in the future may have less developed compliance and quality infrastructures, which may require us to allocate additional resources to making any required enhancements.</w:t>
      </w:r>
    </w:p>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CMS and state regulatory authorities regularly audit our performance to determine our compliance with CMS’s regulations and our contracts with CMS and state authorities, and to assess the quality of the services we provide to our participants. Such audits have in the past, and may in the future, result in the identification of deficiencies in connection with our compliance with regulatory requirements, participant quality of care, care plan development and implementation, grievance and appeal processes, clinicians acting outside of their scope of practice, and other issues. See Item 1A. Risk Factors, “Risks Related to Regulation” .</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Whether identified through such audits or other avenues, our failure to comply with the federal and state laws applicable to our business could result in significant or material retroactive adjustments to and/or withholding of capitation payments, fines, criminal liability, civil monetary penalties, requirements to make significant changes to our operations, corrective action plans, CMS imposed sanctions (including suspension or exclusion from participation in government programs), loss of contracts, or cessation of our services.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Laws</w:t>
      </w:r>
    </w:p>
    <w:p>
      <w:pPr>
        <w:spacing w:after="0" w:line="1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our healthcare professionals, and our centers are subject to various federal, state and local licensure and certification requirements in connection with our provision of healthcare and other services. Specifically, in some of the states in which we operate, we are required to maintain licensure or certification as an adult day health center, home health or home care provider, diagnostic and treatment center, pharmacy provider, clinical laboratory and/or other type of facility, and our affiliated physicians and other clinicians also must be licensed or certified, as applicable, in the states in which they are providing services. In addition, certain of the states where we currently operate regulate the operations and financial condition of risk bearing providers and impose capital requirements, licensing or certification, governance controls, and other obligations. While the states in which we operate do not currently impose these regulations on entities solely bearing risk under the PACE program, these states may seek to license or otherwise regulate our operations and financial solvency in the future; further, states in which we expand in the future may impose similar requirements on our operations. In addition to state requirements, we, our centers, and our healthcare professionals are in some cases subject to federal licensing and certification requirements, such as certification or waiver under the Clinical Laboratory Improvement Amendments of 1988 for performing laboratory services and Drug Enforcement Administration registrations for prescribing, storing, and dispensing controlled substances.</w:t>
      </w:r>
    </w:p>
    <w:p>
      <w:pPr>
        <w:spacing w:after="0" w:line="15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Failure to comply with federal, state and local licensing and certification laws, regulations and standards could result in a variety of consequences, including cessation of our services, loss of our contracts, prior payments by payors being subject to recoupment, requirements to make significant changes to our operations, or civil or criminal penalties. While we endeavor to comply with federal, state and local licensing and certification laws and regulations and standards as we interpret them, the laws and regulations in these areas are complex, changing and often subject to varying interpretations.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Any failure to satisfy applicable laws and regulations could have a material adverse impact on our business, results of operations, financial condition, cash flows and reputation.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18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The laws and regulations relating to our operations vary from state to state, and some states in which we operate prohibit general business corporations, such as us, from practicing medicine, directly employing physicians, controlling physicians’ or other clinicians’ medical decisions, or engaging in some practices such as splitting professional fees with physicians or other clinicians. In certain states, we contract with physicians to provide healthcare services that are required to be provided by licensed physicians to comply with such requirements. While we believe that we are in substantial compliance with state laws prohibiting the corporate practice of medicine, regulatory agencies and other parties may assert that we could be engaged in the corporate practice of medicine. Further, many such state laws are often vague or have otherwise only been infrequently interpreted by courts or regulatory agencies and are subject to change. The consequences associated with violating corporate practice of medicine laws vary by state and may result in physicians or other clinicians being subject to disciplinary action, as well as forfeiture of revenues from government payors for services rendered. However, if allegations are successfully asserted before the appropriate judicial or administrative forums, we could be subject to adverse judicial or administrative penalties, certain of our contracts could be determined to be unenforceable, and we may be required to restructure our organization or our contractual arrangements. Any allegations or findings that we have violated these laws could have a material adverse impact on our reputation, business, results of operations and financial condition.</w:t>
      </w:r>
    </w:p>
    <w:p>
      <w:pPr>
        <w:spacing w:after="0" w:line="15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Item 1A. Risk Factors, “Risks Related to Our Business—Laws regulating the corporate practice of medicine could restrict the manner in which we are permitted to conduct our business, and the failure to comply with such laws could subject us to penalties or require a restructuring of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Anti-Kickback Statute</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Court decisions have held that the statute may be violated even if only one purpose of remuneration is to induce referrals. In addition, a defendant need not have actual knowledge of, or the specific intent to violate, the federal Anti-Kickback Statute in order to have the requisite intent to support an Anti-Kickback Statute violation.</w:t>
      </w:r>
    </w:p>
    <w:p>
      <w:pPr>
        <w:spacing w:after="0" w:line="15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Federal criminal penalties for the violation of the federal Anti-Kickback Statute include imprisonment, fines and exclusion of the provider from future participation in federal healthcare programs, including Medicare and Medicaid. Violations of the federal Anti-Kickback Statute are punishable by imprisonment for up to ten years, fines of up to $100,000 per kickback or both. Larger fines can be imposed upon corporations under the provisions of the U.S. Sentencing Guidelines and the Alternate Fines Statute. Individuals and entities convicted of a criminal violation of the federal Anti-Kickback Statute are subject to mandatory exclusion from participation in Medicare, Medicaid, and other federal healthcare programs for a minimum of five years. Civil penalties for violation of the Anti-Kickback Statute include up to $124,732 (adjusted for inflation) in monetary penalties per violation, fines, or penalties of up to three times the total payments between the parties to the arrangement and potential exclusion from participation in Medicare and Medicaid. In addition, the federal Anti-Kickback Statute provides that any claims for items or services resulting from a violation of the federal Anti-Kickback Statute are considered false or fraudulent for purposes of the FCA, which is further discussed below. Any findings that we have violated these laws could have a material adverse impact on our business, results of operations, financial condition, cash flows, reputation and stock price.</w:t>
      </w:r>
    </w:p>
    <w:p>
      <w:pPr>
        <w:spacing w:after="0" w:line="15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federal Anti-Kickback Statute includes statutory exceptions and regulatory safe harbors that protect certain arrangements. These exceptions and safe harbors are voluntary. To receive safe harbor protection, business transactions and arrangements must meet all the requirements of a safe harbor. However, transactions and arrangements that do not satisfy all elements of a relevant safe harbor do not necessarily render the arrangement per se illegal. When an arrangement does not satisfy a safe harbor, the arrangement must be evaluated upon all facts and circumstances, on a case-by-case basis considering among other things, the parties’ intent, and the arrangement’s potential for abuse. Arrangements that do not satisfy a safe harbor may be subject to greater scrutiny by enforcement agencies.</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Additionally, some states have enacted statutes and regulations similar to the federal Anti-Kickback Statute. Unlike the federal Anti-Kickback Statute, however, certain state laws may be applicable regardless of the payor source for the patient.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Moreover, these state laws may contain exceptions and safe harbors that are different from and/or more limited than those of federal law and that may vary from state to state.</w:t>
      </w:r>
    </w:p>
    <w:p>
      <w:pPr>
        <w:spacing w:after="0" w:line="12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have entered, and may continue to enter, into arrangements that may not fit squarely within enumerated safe harbors and could potentially implicate the Anti-Kickback Statute if the requisite intent were present, such as:</w:t>
      </w:r>
    </w:p>
    <w:p>
      <w:pPr>
        <w:spacing w:after="0" w:line="120" w:lineRule="exact"/>
        <w:rPr>
          <w:sz w:val="20"/>
          <w:szCs w:val="20"/>
          <w:color w:val="auto"/>
        </w:rPr>
      </w:pPr>
    </w:p>
    <w:p>
      <w:pPr>
        <w:jc w:val="both"/>
        <w:ind w:left="640" w:hanging="316"/>
        <w:spacing w:after="0" w:line="25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Joint Ventures. </w:t>
      </w:r>
      <w:r>
        <w:rPr>
          <w:rFonts w:ascii="Times New Roman" w:cs="Times New Roman" w:eastAsia="Times New Roman" w:hAnsi="Times New Roman"/>
          <w:sz w:val="18"/>
          <w:szCs w:val="18"/>
          <w:color w:val="auto"/>
        </w:rPr>
        <w:t>As of June 30, 2025, we operated two of our centers, our Sacramento, California center, and Orlando, Florida center, under joint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ventures, each with a not-for-profit healthcare provider. Additionally, in August 2025, we entered into a joint venture with Tampa General Hospital, a not-for-profit healthcare provider in Tampa, Florida. We may enter other joint ventures with providers and payors in the future. The Office of Inspector General (the “OIG”) of the Department of Health and Human Services (“HHS”) has warned healthcare entities in the past that certain joint venture relationships have a potential for abuse. We have endeavored to structure our joint ventures to satisfy as many elements of the applicable safe harbor for investments in small entities as we believe are commercially reasonable. For example, we believe that these investments are offered and made by us on a fair market value basis and provide returns to the investors in proportion to their actual investment in the venture.</w:t>
      </w:r>
    </w:p>
    <w:p>
      <w:pPr>
        <w:spacing w:after="0" w:line="154" w:lineRule="exact"/>
        <w:rPr>
          <w:rFonts w:ascii="Times New Roman" w:cs="Times New Roman" w:eastAsia="Times New Roman" w:hAnsi="Times New Roman"/>
          <w:sz w:val="18"/>
          <w:szCs w:val="18"/>
          <w:color w:val="auto"/>
        </w:rPr>
      </w:pPr>
    </w:p>
    <w:p>
      <w:pPr>
        <w:jc w:val="both"/>
        <w:ind w:left="640" w:hanging="316"/>
        <w:spacing w:after="0" w:line="26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Discounts. </w:t>
      </w:r>
      <w:r>
        <w:rPr>
          <w:rFonts w:ascii="Times New Roman" w:cs="Times New Roman" w:eastAsia="Times New Roman" w:hAnsi="Times New Roman"/>
          <w:sz w:val="18"/>
          <w:szCs w:val="18"/>
          <w:color w:val="auto"/>
        </w:rPr>
        <w:t>Our centers sometimes acquire certain items and services at a discount that may be reimbursed by a federal healthcare program.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endeavor to structure our vendor contracts that include discount or rebate provisions to comply with the federal Anti-Kickback Statute safe harbor for discounts.</w:t>
      </w:r>
    </w:p>
    <w:p>
      <w:pPr>
        <w:spacing w:after="0" w:line="130" w:lineRule="exact"/>
        <w:rPr>
          <w:rFonts w:ascii="Times New Roman" w:cs="Times New Roman" w:eastAsia="Times New Roman" w:hAnsi="Times New Roman"/>
          <w:sz w:val="18"/>
          <w:szCs w:val="18"/>
          <w:color w:val="auto"/>
        </w:rPr>
      </w:pPr>
    </w:p>
    <w:p>
      <w:pPr>
        <w:ind w:left="640" w:hanging="316"/>
        <w:spacing w:after="0" w:line="27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Sales Force and Participant Recruitment. </w:t>
      </w:r>
      <w:r>
        <w:rPr>
          <w:rFonts w:ascii="Times New Roman" w:cs="Times New Roman" w:eastAsia="Times New Roman" w:hAnsi="Times New Roman"/>
          <w:sz w:val="18"/>
          <w:szCs w:val="18"/>
          <w:color w:val="auto"/>
        </w:rPr>
        <w:t>We employ our own sales force and attempt to meet the Anti-Kickback safe harbor for bona fide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w:t>
      </w:r>
    </w:p>
    <w:p>
      <w:pPr>
        <w:spacing w:after="0" w:line="1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Many of our arrangements are structured to provide for compensation that is fair market value for services rendered and in a manner that does not reflect the volume or value of referrals generated between the parties. In structuring our relationships with providers, including our physician partners, and other healthcare entities, we endeavor to comply with the regulatory requirements of such safe harbors and exceptions.</w:t>
      </w:r>
    </w:p>
    <w:p>
      <w:pPr>
        <w:spacing w:after="0" w:line="151"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On January 19, 2021, the OIG issued regulations under the Anti-Kickback Statute that added new safe harbors and modified existing safe harbors that protect certain payment practices and business arrangements from sanctions under the Anti-Kickback Statute in order to remove potential barriers to more effective coordination and management of patient care and delivery of value-based care. Among other changes, these regulations contained safe harbors for value-based arrangements centering around value-based enterprises, which are enterprises, such as ours, composed of participants collaborating to achieve one or more value-based purposes, including coordinating, and managing the care of a target patient population and coordinating and managing the care of a target population. These new and modified value-based care safe harbors may allow our business to pursue new value-based arrangements with safe harbor protections under the Anti-Kickback Statute. However, compliance with these new Anti-Kickback Statute safe harbors is complex and, to the extent that one of our value-based arrangements does not squarely fit within the relevant safe harbors, it could be subject to greater scrutiny by enforcement agencies.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Self-Referral Prohibition</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federal Ethics in Patient Referral Act (“Stark Law”) generally prohibits a physician who has (or whose immediate family member has) a financial relationship with certain entities from making referrals to such entities for “designated health services” if payment for the services may be made under Medicare or Medicaid. “Designated health services” include clinical laboratory services, inpatient and outpatient hospital services, physical and occupational therapy services, outpatient speech-language pathology services, certain radiology services, radiation therapy services and supplies, durable medical equipment and supplies, parenteral and enteral nutrients equipment and supplies, prosthetics, orthotics and prosthetic devices and supplies, home health services, and outpatient prescription drugs. To the extent we fall within the types of entities to which the Stark Law applies, then we need to ensure that any financial relationships that we have with a referring provider would satisfy a statutory or regulatory exception to the general Stark Law prohibition.</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Providers are prohibited from billing Medicare and Medicaid for services related to a prohibited referral and a provider that has billed for prohibited services is obligated to notify and refund the amounts collected from the Medicare program or to make a self-disclosure to CMS under its Self-Referral Disclosure Protocol. Penalties for violation of the Stark Law include denial of payment, recoupment, refunds of amounts paid in violation of the law, exclusion from the Medicare or Medicaid programs, and substantial civil monetary penalties ($30,868 per prohibited item or service and $205,799 if there is a circumvention scheme; penalty amounts reflect current 2024 levels and are adjusted for inflation from time to time).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Claims filed in violation of the Stark Law may be deemed false claims under the FCA. In addition to the Stark Law, various states in which we operate have adopted similar self-referral prohibition statutes.</w:t>
      </w:r>
    </w:p>
    <w:p>
      <w:pPr>
        <w:spacing w:after="0" w:line="1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parallel with OIG’s regulations on value-based care discussed above, on January 19, 2021, CMS issued a sweeping set of regulations that introduce significant new value-based exceptions to the Stark Law, including new exceptions for certain remuneration exchanged between or among eligible participants in value-based arrangements. These exceptions and their various requirements apply based on the level of financial risk assumed by the arrangement’s participants. These regulations purport to ease the compliance burden for healthcare providers across the industry while maintaining strong safeguards to protect patients and programs from fraud and abuse. To the extent that we rely on the new value-based exceptions to the Stark Law for our value-based arrangements, we intend to comply with such safeguards. However, if we were to be found as out of compliance with such exceptions, we could be subject to penalties, as discussed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False Claims Act</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Among other things, the FCA authorizes the imposition of up to three times the government’s damages and significant per claim civil penalties on any “person” (including an individual, organization or company) who, among other acts:</w:t>
      </w:r>
    </w:p>
    <w:p>
      <w:pPr>
        <w:spacing w:after="0" w:line="124"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presents or causes to be presented to the federal government a false or fraudulent claim for payment or approval;</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makes, uses or causes to be made or used a false record or statement material to a false or fraudulent claim;</w:t>
      </w:r>
    </w:p>
    <w:p>
      <w:pPr>
        <w:spacing w:after="0" w:line="190"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knowingly makes, uses or causes to be made or used a false record, report or statement material to an obligation to pay the government, or knowingly conceals or knowingly and improperly avoids or decreases an obligation to pay or transmit money or property to the federal government; or</w:t>
      </w:r>
    </w:p>
    <w:p>
      <w:pPr>
        <w:spacing w:after="0" w:line="101"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conspires to commit the above acts.</w:t>
      </w:r>
    </w:p>
    <w:p>
      <w:pPr>
        <w:spacing w:after="0" w:line="17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federal government has used the FCA to prosecute a wide variety of alleged false claims and fraud allegedly perpetrated against Medicare and state healthcare programs, including but not limited to coding errors,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encounter data or other information used to determine capitated payments. The Affordable Care Act (“ACA”) provides that claims for payment that are tainted by a violation of the federal Anti-Kickback Statute (which could include, for example, illegal incentives or remuneration in exchange for enrollment or referrals) are false for purposes of the FCA. In addition, amendments to the FCA and Social Security Act impose severe penalties for the knowing and improper retention of overpayments from government payors. This could be relevant to our business the extent we receive payments on account of RAF determinations that are based on improper or erroneous records or reports. Failure to return overpayments could subject us to liability under the FCA, exclusion from government healthcare programs and penalties under the federal Civil Monetary Penalty Statute.</w:t>
      </w:r>
    </w:p>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penalties for a violation of the FCA may include per claim penalties, plus up to three times the amount of damages caused by each false claim, which can be as much as the amounts received directly or indirectly from the government for each such false claim. As of January 15, 2025, the minimum False Claims Act penalty increased from $13,946 to $14,308 per claim. The maximum penalty has increased from $27,894 to $28,619 per claim.</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to civil enforcement under the FCA, the federal government can use several criminal statutes to prosecute persons who are alleged to have submitted false or fraudulent claims for payment to the federal government. Private parties may initiate qui tam whistleblower lawsuits against any person or entity under the FCA in the name of the federal government, as well as under the false claims’ laws of several states, and may share in the proceeds of a successful suit. Generally, federal and state governments have made investigating and prosecuting healthcare fraud and abuse a priority. Any allegations or findings that we have violated the FCA could have a material adverse impact on our reputation, business, results of operations and financial condition.</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FCA, the various states in which we operate have adopted their own analogs of the FCA. States are becoming increasingly active in using their false claims laws to police the same activities listed above, particularly with regard to capitated government-sponsored healthcare programs, such as Medicaid managed care and PACE. Under Section 6031 of the Deficit Reduction Act of 2005, as amended, if a state enacts a false claims act that is at least as stringent as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federal statute and that also meets certain other requirements, the state will be eligible to receive a greater share of any monetary recovery obtained pursuant to certain actions brought under the state’s false claims act. As a result, more states are expected to enact laws that are similar to the federal FCA in the future along with a corresponding increase in state false claims enforcement efforts.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additional information regarding allegations against us under Federal and State FCA statutes, see Item 1A. Risk Factors, “Risks Related to Our Business—We are subject to legal proceedings, enforcement actions and litigation, malpractice and privacy disputes, which are costly to defend and could materially harm our business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Civil Monetary Penalties Statute</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124" w:lineRule="exact"/>
        <w:rPr>
          <w:sz w:val="20"/>
          <w:szCs w:val="20"/>
          <w:color w:val="auto"/>
        </w:rPr>
      </w:pPr>
    </w:p>
    <w:p>
      <w:pPr>
        <w:jc w:val="both"/>
        <w:ind w:left="640" w:hanging="316"/>
        <w:spacing w:after="0" w:line="25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or causing to be presented, claims, reports or records relating to payment by Medicare, Medicaid or other government payors that the individual or entity knows or should know are for an item or service that was not provided as reported, is false or fraudulent or was presented for a physician’s service by a person who knows or should know that the individual providing the service is not a licensed physician, obtained licensure through misrepresentation or represented certification in a medical specialty without in fact possessing such certification;</w:t>
      </w:r>
    </w:p>
    <w:p>
      <w:pPr>
        <w:spacing w:after="0" w:line="14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remuneration to a federal healthcare program beneficiary that the individual or entity knows or should know is likely to influence the beneficiary to order or receive healthcare items or services from a particular provider, unless an exception applies;</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contracts with or making payments to an entity or individual excluded from participation in the federal healthcare programs or included on CMS’s preclusion list;</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violating the federal Anti-Kickback Statute;</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using or causing to be made or used a false record or statement material to a false or fraudulent claim for payment for items and services furnished under a federal healthcare program;</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using or causing to be made any false statement, omission or misrepresentation of a material fact in any application, bid or contract to participate or enroll as a provider of services or a supplier under a federal healthcare program; and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report and return an overpayment owed to the federal government.</w:t>
      </w:r>
    </w:p>
    <w:p>
      <w:pPr>
        <w:spacing w:after="0" w:line="17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could be exposed to a wide range of allegations to which the federal Civil Monetary Penalty Statute would apply. We perform monthly checks on our employees and certain affiliates and vendors using government databases to confirm that these individuals have not been excluded from federal programs or otherwise ineligible for payment. We have also implemented processes to avoid payments to contracted or noncontracted providers listed on CMS’s preclusion list and payments for drugs prescribed by individuals on the preclusion list. Should an individual or entity be excluded, on the preclusion list, or otherwise ineligible for payment and we fail to detect it, a federal agency could require us to refund amounts attributable to all claims or services performed or sufficiently linked to such individual or entity. Due to this area of risk and the possibility of other allegations being brought against us, we cannot foreclose the possibility that we could face allegations of noncompliance with the Civil Monetary Penalty Statute that have the potential for a material adverse impact on our business, results of operations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HIPAA requires covered entities, and the business associates with whom such covered entities contract for services involving the use or disclosure of PHI to provide certain protections to their patients or participants and their health information. Through our various service offerings, the Company acts primarily as a covered entity under HIPAA but may also act as a business associate of other covered entities. The HIPAA privacy and security regulations extensively regulate the use and disclosure of PHI and require covered entities and their business associates, to develop and maintain policies and procedures and implement and maintain administrative, physical, and technical safeguards to protect the security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such information. Additional security requirements apply to electronic PHI. These regulations also provide our participants with substantive rights with respect to their health information.</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HIPAA privacy and security regulations also require covered entities to enter into written agreements with their business associates. Covered entities may be subject to fines and penalties for, among other activities, failing to enter into a business associate agreement where required by law or as a result of a business associate violating HIPAA.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spacing w:after="0" w:line="12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Covered entities must notify affected individuals of breaches of unsecured PHI without unreasonable delay but no later than 60 days after discovery of the breach. Reporting must also be made to the HHS Office for Civil Rights (“OCR”) and, for breaches of unsecured PHI involving more than 500 residents of a state or jurisdiction, to the media in accordance with HIPAA requirements. All impermissible uses or disclosures of unsecured PHI are presumed to be breaches unless an exception to the definition of breach applies or the covered entity or business associate establishes that there is a low probability the PHI has been compromised. Beginning in December 2022, OCR issued guidance on the use of tracking technologies on websites and mobile applications by covered entities and business associates, indicating that certain information collected by tracking technology vendors from websites and applications may cause a breach under HIPAA. However, in June 2024, a federal court limited the scope of this guidance by ruling that collecting IP addresses from visits to unauthenticated public health-related webpages does not trigger HIPAA obligations, and HHS is assessing next steps.</w:t>
      </w:r>
    </w:p>
    <w:p>
      <w:pPr>
        <w:spacing w:after="0" w:line="16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Violations of HIPAA by covered entities and business associates, including, but not limited to, failing to implement appropriate administrative, physical and technical safeguards, have resulted in enforcement actions and in some cases triggered settlement payments or civil monetary penalties. Penalties for impermissible use or disclosure of PHI were increased by the HITECH Act by imposing tiered penalties of more than $50,000 (not adjusted for inflation) per violation and up to approximately $1.9 million (not adjusted for inflation) per year for identical violations. In addition, HIPAA provides for criminal penalties of up to $250,000 and ten years in prison, with the most severe penalties associated with obtaining and disclosing PHI with the intent to sell, transfer or use such information for commercial advantage, personal gain or malicious harm.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spacing w:after="0" w:line="1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may also be subject to other laws governing the privacy and security of data, such as the California Consumer Privacy Act of 1918 (“CCPA”) and data breach notification laws. Additionally, many states have also enacted laws that protect the privacy and security of confidential, personal and health information, which may be even more stringent than HIPAA and may add additional compliance costs and legal risks to our operations. Some state privacy and security laws overlap with federal law, some of which are preempted, in part by federal laws, whereas others are not. States have also passed privacy and security laws and regulations that apply across sectors and go beyond federal law, such as data security laws, secure destruction, Social Security number privacy, online privacy biometric information privacy, and data breach notification laws. Some of these state laws impose fines and penalties on violators and afford private rights of action to individuals who believe their personal information has been misused. Various state laws and regulations also require us to notify affected individuals in the event of a data breach involving personal information without regard to the probability of the information being compromised.</w:t>
      </w:r>
    </w:p>
    <w:p>
      <w:pPr>
        <w:spacing w:after="0" w:line="1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Looking ahead, it is possible that Congress could pursue a federal privacy bill to harmonize privacy regimes across states. While states have urged Congress not to weaken existing state privacy protections by adopting a less stringent national standard, many healthcare stakeholders have supported federal preemption of state data privacy legislation.</w:t>
      </w:r>
    </w:p>
    <w:p>
      <w:pPr>
        <w:spacing w:after="0" w:line="15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Various other federal and state laws restrict the use and protect the privacy and security of individually identifiable information, as well as employee personal information, including certain state laws modeled to some extent on the European Union’s General Data Protection Regulation. Federal and state consumer protection laws, including laws that do not on their face specifically address data privacy or security, have been applied to data privacy and security matters by a range of government agencies and courts.</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late 2024, the OCR proposed an update to the HIPAA Security Rule aimed at strengthening the health sector’s cybersecurity infrastructure in response to a significant increase in cyber attacks in recent years. The proposed updated would impose additional requirements on covered entities and business associates to enhance the protection of electronic PHI.</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Efforts</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U.S. federal and state governments continue to enact and consider many broad-based legislative and regulatory proposals that have had a material impact on or could materially impact various aspects of the healthcare system and our business, operating results and/or cash flows. In addition, state and federal budgetary shortfalls and constraints pose potential risks for our revenue streams. We cannot predict how government payors or healthcare consumers might react to federal and state healthcare legislation and regulation, whether already enacted or enacted in the future, nor can we predict what form such legislation or regulations will take. Some examples of legislative and regulatory changes impacting our business include:</w:t>
      </w:r>
    </w:p>
    <w:p>
      <w:pPr>
        <w:spacing w:after="0" w:line="146" w:lineRule="exact"/>
        <w:rPr>
          <w:sz w:val="20"/>
          <w:szCs w:val="20"/>
          <w:color w:val="auto"/>
        </w:rPr>
      </w:pPr>
    </w:p>
    <w:p>
      <w:pPr>
        <w:jc w:val="both"/>
        <w:ind w:left="640" w:hanging="316"/>
        <w:spacing w:after="0" w:line="25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2010, broad healthcare reform legislation was enacted in the United States through the ACA. There have since been numerous political and legal efforts to repeal, replace or modify the ACA, some of which have been successful, in part, in modifying the law. Although some provisions of the ACA have been and may be modified, the reforms, particularly those relating to Medicare and Medicaid programs, could continue to have an impact on our business. These and other provisions of the ACA remain subject to ongoing uncertainty due to developing regulations as well as continuing political and legal challenges at both the federal and state levels.</w:t>
      </w:r>
    </w:p>
    <w:p>
      <w:pPr>
        <w:spacing w:after="0" w:line="158"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these types of changes are implemented in the future, we cannot predict whether the amount of fixed federal funding to the states will be based on current payment amounts, or if it will be based on lower payment amounts, which would negatively impact those states that expanded their Medicaid programs in response to the ACA.</w:t>
      </w:r>
    </w:p>
    <w:p>
      <w:pPr>
        <w:spacing w:after="0" w:line="14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enacted in 2011 requires CMS to sequester or reduce all Medicare payments, including payments to PACE organizations, by two percent per year beginning on April 1, 2013. This sequestration has been extended through fiscal year 2032 for Medicare benefit payments.</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the Inflation Reduction Act of 2022 (“IRA”) introduced significant changes to Medicare prescription drug pricing, including requirements for Medicare drug price negotiations, inflationary rebates, and a reduction in the out-of-pocket spending cap for Medicare Part D beneficiaries from $7,050 to $2,000 beginning in 2025. While these provisions are intended to lower drug cost for beneficiaries, they may affect prescription drug costs and reimbursement for PACE organizations. Implementation of the IRA is subject to ongoing litigation challenging the constitutionality of the IRA’s Medicare drug price negotiation program, and the full effects on our business and the healthcare industry remain uncertain.</w:t>
      </w:r>
    </w:p>
    <w:p>
      <w:pPr>
        <w:spacing w:after="0" w:line="158"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federal legislation has extended many of the Medicare telehealth flexibilities that were implemented during the COVID-19 pandemic through September 30, 2025. The OBBBA, signed into law on July 4, 2025, also includes a provision for permanent pre-deductible coverage of telehealth services under high-deductible health plans linked to health savings accounts, which could result in permanent Medicare telehealth flexibilities, potentially impacting PACE care delivery models.</w:t>
      </w:r>
    </w:p>
    <w:p>
      <w:pPr>
        <w:spacing w:after="0" w:line="140" w:lineRule="exact"/>
        <w:rPr>
          <w:rFonts w:ascii="Times New Roman" w:cs="Times New Roman" w:eastAsia="Times New Roman" w:hAnsi="Times New Roman"/>
          <w:sz w:val="18"/>
          <w:szCs w:val="18"/>
          <w:color w:val="auto"/>
        </w:rPr>
      </w:pPr>
    </w:p>
    <w:p>
      <w:pPr>
        <w:jc w:val="both"/>
        <w:ind w:left="640" w:hanging="316"/>
        <w:spacing w:after="0" w:line="269"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“Medicare Program; Contract Year 2024 Policy and Technical Changes to the Medicare Advantage Program, Medicare Prescription Drug Benefit Program, Medicare Cost Plan Program, and Programs of All-Inclusive Care for the Elderly” final rule (“2024 PACE Final Rule”) set out a number of changes for PACE organizations, including (i) clarifying that CMS has enforcement discretion to impose civil monetary penalties or an intermediate sanction in the event CMS has made a determination that could lead to the termination of a PACE program; and (ii) reinstating the requirement that PACE organizations enter into written contracts with each outside organization, agency, or individual that furnishes administrative or care-related services not furnished directly by the PACE organization, including 25 medical specialties enumerated by the PACE Final Rule.</w:t>
      </w:r>
    </w:p>
    <w:p>
      <w:pPr>
        <w:spacing w:after="0" w:line="129" w:lineRule="exact"/>
        <w:rPr>
          <w:rFonts w:ascii="Times New Roman" w:cs="Times New Roman" w:eastAsia="Times New Roman" w:hAnsi="Times New Roman"/>
          <w:sz w:val="17"/>
          <w:szCs w:val="17"/>
          <w:color w:val="auto"/>
        </w:rPr>
      </w:pPr>
    </w:p>
    <w:p>
      <w:pPr>
        <w:jc w:val="both"/>
        <w:ind w:left="640" w:hanging="316"/>
        <w:spacing w:after="0" w:line="25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provisions of the 2024 PACE Final Rule were issued alongside the new PACE final rule for 2025 (the “2025 PACE Final Rule”). The 2025 PACE Final Rule includes various changes that include but are not limited to: (i) implementation of past performance guidelines used to evaluate new PACE organization applications; (ii) personnel medical clearance guidelines; (iii) updates to service delivery timeframes by which participants must receive services; (iv) guidelines on IDT care coordination across all service settings with timeframes applied to external provider recommendations; (v) new content and documentation guidelines for participant plans of care; (vi) expansion of participant rights in care settings; and (vii) revisions to existing grievance process to align with standard determination request guidance.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40" w:hanging="316"/>
        <w:spacing w:after="0" w:line="259"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 released an updated PACE Medicaid Capitation Rate Settling Guide, effective January 1, 2025, which clarifies and expands requirements for state development and documentation of PACE Medicaid capitation rates. Under the new guidance, states must provide more detailed supporting data and methodologies when submitting proposed rates to CMS for approval.</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76"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OBBBA mandates significant reductions in federal Medicaid spending, with the Congressional Budget Office estimating a decrease of approximately $1 trillion over the next ten years. OBBBA also introduces new work requirements for Medicaid recipients aged 19 to 64, necessitating at least 80 hours per month of work, education, or volunteer activities, unless they qualify for certain exemptions. The OBBBA also</w:t>
      </w:r>
    </w:p>
    <w:p>
      <w:pPr>
        <w:spacing w:after="0" w:line="1" w:lineRule="exact"/>
        <w:rPr>
          <w:rFonts w:ascii="Times New Roman" w:cs="Times New Roman" w:eastAsia="Times New Roman" w:hAnsi="Times New Roman"/>
          <w:sz w:val="18"/>
          <w:szCs w:val="18"/>
          <w:color w:val="auto"/>
        </w:rPr>
      </w:pPr>
    </w:p>
    <w:p>
      <w:pPr>
        <w:jc w:val="both"/>
        <w:ind w:left="64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narrows Medicaid eligibility for qualified immigrants. States will be required to conduct eligibility verifications of Medicaid enrollees in the expansion population every six months (unless otherwise exempt), increasing from the previous annual requirement. These changes may lead to decreased Medicaid enrollment among existing and prospective PACE participants, potentially reducing our funding and decreasing margins. OBBBA also introduces cost-sharing measures, requiring Medicaid beneficiaries with incomes between 100% and 138% of the federal poverty level to pay up to $35 per service for certain healthcare services. As a result, eligible participants could be deterred from enrolling in or continuing enrollment with PACE programs, possibly impacting our ability to retain or increase our participant base. In addition, the new requirements will necessitate adjustments in our administrative processes to ensure compliance with more frequent eligibility verifications and other reporting standards mandated by federal and state regulatory agencies</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CMS and state Medicaid agencies also routinely adjust the RAF which is central to payment under PACE and Managed Medicaid programs in which we participate. The monetary “coefficient” values associated with diseases that we manage in our population are subject to change by CMS and state agencies. Such changes could have a material adverse effect on our financial condition. See Item 1A. Risk Factors, “Risks Related to Our Business — Our records and submissions to government payors may contain inaccurate or unsupportable information regarding risk adjustment scores of participants, which could cause us to overstate or understate our revenue and subject us to payment obligations or penalties.”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operations are subject to various state hazardous waste and non-hazardous medical waste disposal laws. These laws do not classify as hazardous most of the waste produced from medical services. Occupational Safety and Health Administration regulations require employers to provide workers who are occupationally subject to blood or other potentially infectious materials with prescribed protections. These regulatory requirements apply to all healthcare facilities, including our participant centers, and require employers to make a determination as to which employees may be exposed to blood or other potentially infectious materials and to have in effect a written exposure control plan. In addition, employers are required to provide or employ hepatitis B vaccinations, personal protective equipment and other safety devices, infection control training, post-exposure evaluation and follow-up, waste disposal techniques and procedures and work practice controls. Employers are also required to comply with various record-keeping requirements.</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January 2025, we completed the acquisition of certain pharmacy assets from TRHC. Our pharmacy business subjects us to additional extensive federal, state, and local regulation governing various aspects of the business, including the distribution and dispensing of drugs; licensure of facilities and professionals; packaging, storing, distributing, shipping, and tracking of pharmaceuticals; repackaging of drug products; labeling consumer disclosures;</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interactions with prescribing professionals; supply chain security; as well as additional requirements of various governmental authorities, including state boards of pharmacy and the U.S. Consumer Product Safety Commission. Federal and state law also governs the purchase, handling, and dispensing of controlled substances by physicians and other clinicians. If we are unable to maintain our registrations this could limit or affect our ability to purchase, handle, or dispense controlled substances and other violations of these laws could subject us to criminal or other sanctions. In addition, certain laws may apply to activities of our affiliated physicians and clinicians. For example, the Prescription Drug Marketing Act governs the provision of drug samples to physicians and other clinicians, and physicians and other clinicians are required to report relationships they have with the manufacturers of drugs, medical devices and biologics through the Open Payments Program database.</w:t>
      </w:r>
    </w:p>
    <w:p>
      <w:pPr>
        <w:spacing w:after="0" w:line="1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Clinical laboratories may be subject to oversight by CMS and state regulators, including the Eliminating Kickbacks in Recovery Act of 2018. If our laboratories or laboratories that we partner with are not in compliance with the applicable CMS or state laws or regulations, they could be subject to enforcement action, which could negatively affect our business.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in the past and continue to intend to grow our business through acquisitions in the states in which we currently operate or in new states that we seek to enter. Several states, including California, New Mexico and Colorado have adopted laws focused on competition, quality, access, and cost that either authorize state agencies to review and approve certain healthcare transactions or require notice prior to certain healthcare transactions, such as in California (requiring notice to the office of Health Care Affordability with certain transactions referred to their attorney general for further review) or New Mexico (requiring approval for certain transactions involving acquisitions and other changes in control of hospitals, including formation of a partnership or joint venture that results in an indirect change). Many other states, including Pennsylvania, where several bills have been proposed are currently voting on or considering similar legislation. These notices and approvals typically require a substantial amount of information, including supporting documentation. While certain of these proposed laws and restrictions primarily target physician and dental practice management, they reflect a broader trend of increased regulatory scrutiny of healthcare transactions, which could negatively affect our ability to grow our business.</w:t>
      </w:r>
    </w:p>
    <w:p>
      <w:pPr>
        <w:spacing w:after="0" w:line="1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allegations or findings that we or our providers have violated any of these laws or regulations could have a material adverse impact on our reputation, business, results of operations and financial condition. Certain states in which we do business or may desire to do business in the future have certificate of need programs regulating the establishment or expansion of healthcare facilities, including our participant centers. These regulations can be complex and time-consuming to ensure compliance with. Any failure to comply with such regulatory requirements could adversely impact our business, results of operations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9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U.S. healthcare industry is highly competitive. We compete directly with national, regional and local providers of healthcare for participants and clinical providers. We also compete with payors and other alternate managed care programs for participants. Of these providers,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principal competitors for dual-eligible seniors vary considerably in type and identity by market. Our growth strategy and our business could be adversely affected if we are not able to compete efficiently, including penetrating existing markets or new markets, recruit qualified physicians or if we experience significant participant attrition to our competitors. See Item 1A. Risk Factors —“Risks Related to Our Business—The healthcare industry is highly competitive and, if we are not able to compete effectively, our business could be harmed.”</w:t>
      </w:r>
    </w:p>
    <w:p>
      <w:pPr>
        <w:spacing w:after="0" w:line="1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the principal competitive factors for serving adults dually-eligible for Medicare and Medicaid and who meet nursing home eligibility criteria include: participant experience, quality of care, health outcomes, total cost of care, brand identity and trust in that brand.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business experiences some variability depending upon the time of year. Medical costs will vary seasonally depending on a number of factors, but most significantly the weather. Certain illnesses, such as the influenza virus and COVID-19, are far more prevalent during colder months of the year, which results in an increase in medical expenses during these time periods. We therefore see higher levels of per-participant medical costs in our second and third fiscal quarters. Medical costs also depend upon the number of business days in a period, with shorter periods generally having lower medical costs, all else being equal. There is also increased variability of participant enrollment during the open enrollment period, which occurs during our third fiscal quarter.</w:t>
      </w:r>
    </w:p>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the retrospective capitation payments we receive for each participant are determined by a participant’s RAF score, which is calculated twice per year and is based on the evolving acuity and chronic conditions of a participant. We estimate and accrue for the expected true-up payments of our participants. Though no assurances can be made in the future, we have historically used our best estimate for accruing for this payment. We received net positive true-up payments during the fiscal years ended June 30, 2025 and 2024. Historically, these true-up payments typically occur between May and August, but the timing of these payments is determined by CMS, and we have neither visibility nor control over the timing of such payments.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2025, we had approximately 2,440 employees, including over 1,600 clinical professionals (excluding contract labor).</w:t>
      </w:r>
    </w:p>
    <w:p>
      <w:pPr>
        <w:spacing w:after="0" w:line="17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people are our product at InnovAge, and their commitment to our participants propels our mission of enabling seniors to age at home, with dignity, for as long as is safely possible. We believe that our employees are drawn to this mission and our values, which is why our voluntary retention rate was 69% in fiscal year 2025. Additionally, in our most recent employee engagement survey conducted in January 2025, 82% of our employees indicated that they are proud to work at InnovAge</w:t>
      </w:r>
      <w:r>
        <w:rPr>
          <w:rFonts w:ascii="Times New Roman" w:cs="Times New Roman" w:eastAsia="Times New Roman" w:hAnsi="Times New Roman"/>
          <w:sz w:val="18"/>
          <w:szCs w:val="18"/>
          <w:b w:val="1"/>
          <w:bCs w:val="1"/>
          <w:color w:val="auto"/>
        </w:rPr>
        <w:t>.</w:t>
      </w:r>
    </w:p>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Attracting and retaining top talent is critical to the success of InnovAge's mission and one of the highest priorities to leadership. To keep leadership informed of the health of our employee base, we report weekly on key hiring and retention metrics. Since the launch of our annual employee engagement surveys in fiscal year 2022, we continue to review and implement action plans with staff groups based on the findings and opportunities discovered.</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continue to evaluate talent needs at the senior management level, aiming to hire ahead of the curve as the business evolves and to assess and respond to any gaps in our capabilities.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Less than 1% of our workforce is represented by a union, all of which are located in Pennsylvania.</w:t>
      </w:r>
    </w:p>
    <w:p>
      <w:pPr>
        <w:spacing w:after="0" w:line="19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At InnovAge, we strive to be a reflection of the communities that we serve. We are steadfastly dedicated to fostering an atmosphere that champions inclusivity throughout all sectors of InnovAge. Our commitment remains in building a culture where individual distinctions are not just acknowledged but deeply valued. As of June 30, 2025, our employed workforce comprised of 76% individuals who identified as women and 58% who identified as minorities.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aim to provide our employees opportunities to grow and advance in their careers at InnovAge with learning and development programs. Each year we conduct soft skills training for managers and supervisors, the content of which is informed by gap assessment surveys. A quarterly training series for front-line leaders enables them to develop their management skills. Our clinical leaders also conduct separate physician leadership trainings quarterly, with a new topic for each installment (e.g., email / phone etiquette).</w:t>
      </w:r>
    </w:p>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also conduct a periodic training needs assessment surveys to hear directly from employees and managers where they think they could use more support and learning content in the coming year. These assessment surveys allow the Company to develop trainings tailored to the most prevalent needs identified by our employees.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79"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Jumpstart Our Business Startups Act of 2012 (the “JOBS Act”). We will remain an emerging growth company until the earlier of (1) June 30, 2026, (2) the last day of the fiscal year in which we have total annual gross revenue of at least $1.235 billion, (3) the date on which we are deemed to be a large accelerated filer or (4) the date on which we have issued more than $1.0 billion in non-convertible debt securities during the prior three-year period. Additionally, we qualify as a “smaller reporting company,” and even after we no longer qualify as an “emerging growth company,” we may still qualify as a “smaller reporting company” based on the aggregate worldwide market value of common equity securities held by non-affiliates assessed on an annual basis and measured as of the last business day of our most recently completed second fiscal quarter.</w:t>
      </w:r>
    </w:p>
    <w:p>
      <w:pPr>
        <w:spacing w:after="0" w:line="14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an emerging growth company and a smaller reporting company, we may take advantage of reduced reporting requirements that are otherwise applicable to public companies. These provisions include, but are not limited to:</w:t>
      </w:r>
    </w:p>
    <w:p>
      <w:pPr>
        <w:spacing w:after="0" w:line="124" w:lineRule="exact"/>
        <w:rPr>
          <w:sz w:val="20"/>
          <w:szCs w:val="20"/>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123" w:lineRule="exact"/>
        <w:rPr>
          <w:rFonts w:ascii="Times New Roman" w:cs="Times New Roman" w:eastAsia="Times New Roman" w:hAnsi="Times New Roman"/>
          <w:sz w:val="18"/>
          <w:szCs w:val="18"/>
          <w:color w:val="auto"/>
        </w:rPr>
      </w:pPr>
    </w:p>
    <w:p>
      <w:pPr>
        <w:ind w:left="640" w:right="20" w:hanging="316"/>
        <w:spacing w:after="0" w:line="304"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to present only two years of audited financial statements, plus unaudited condensed consolidated financial statements for any interim period and related discussion in the section titled “Management’s Discussion and Analysis of Financial Condition and Results of Operations”;</w:t>
      </w:r>
    </w:p>
    <w:p>
      <w:pPr>
        <w:spacing w:after="0" w:line="114"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result, the information that we provide to our stockholders may be different than you might receive from other public reporting companies in which you hold equity interests.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internet website is www.innovage.com. We include our website address on this Annual Report for reference only. The information contained on our website is not incorporated by reference into this Annual Report or any other report or document we file with, or furnish to, the SEC.</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those reports are available free of charge through our website at www.investor.innovage.com as soon as reasonably practicable after such material is electronically filed with, or furnished to, the SEC. Our SEC filings are also available to the public at the SEC’s website at www.sec.gov.</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Our business, results of operations, and financial condition are subject to numerous risks and uncertainties. You should carefully consider the following risk factors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prospects could be materially and adversely affected. You should read these risk factors in conjunction with “Management’s Discussion and Analysis of Financial Condition and Results of Operations” in Item 7 and our consolidated financial statements and related notes in Item 8 of this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are a number of risks related to our business, regulation, our indebtedness and our common stock that you should consider. Some of the principal risks related to our business include the following:</w:t>
      </w:r>
    </w:p>
    <w:p>
      <w:pPr>
        <w:spacing w:after="0" w:line="122" w:lineRule="exact"/>
        <w:rPr>
          <w:sz w:val="20"/>
          <w:szCs w:val="20"/>
          <w:color w:val="auto"/>
        </w:rPr>
      </w:pPr>
    </w:p>
    <w:p>
      <w:pPr>
        <w:jc w:val="both"/>
        <w:ind w:left="640" w:hanging="316"/>
        <w:spacing w:after="0" w:line="275" w:lineRule="auto"/>
        <w:tabs>
          <w:tab w:leader="none" w:pos="635"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Our growth strategy may not prove viable. </w:t>
      </w:r>
      <w:r>
        <w:rPr>
          <w:rFonts w:ascii="Times New Roman" w:cs="Times New Roman" w:eastAsia="Times New Roman" w:hAnsi="Times New Roman"/>
          <w:sz w:val="17"/>
          <w:szCs w:val="17"/>
          <w:color w:val="auto"/>
        </w:rPr>
        <w:t>Our ability to grow depends upon a number of factors, including recruiting and retaining participants,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finding suitable geographies for new centers, the outcome of our organizational and enterprise efficiency initiatives, entering into government payor arrangements in new jurisdictions, results of audits, investigations and ongoing or new remediation efforts, ensuring compliance with regulatory and contractual requirements, identifying appropriate locations for new and existing centers, and hiring members of our IDTs and other employees.</w:t>
      </w:r>
    </w:p>
    <w:p>
      <w:pPr>
        <w:spacing w:after="0" w:line="124" w:lineRule="exact"/>
        <w:rPr>
          <w:rFonts w:ascii="Times New Roman" w:cs="Times New Roman" w:eastAsia="Times New Roman" w:hAnsi="Times New Roman"/>
          <w:sz w:val="17"/>
          <w:szCs w:val="17"/>
          <w:b w:val="1"/>
          <w:bCs w:val="1"/>
          <w:color w:val="auto"/>
        </w:rPr>
      </w:pPr>
    </w:p>
    <w:p>
      <w:pPr>
        <w:jc w:val="both"/>
        <w:ind w:left="640" w:hanging="316"/>
        <w:spacing w:after="0" w:line="256" w:lineRule="auto"/>
        <w:tabs>
          <w:tab w:leader="none" w:pos="63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Our growth strategy depends upon our ability to identify and complete acquisitions, joint ventures and other strategic partnerships.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strategy involves identifying, pursuing and successfully completing acquisitions, joint ventures and strategic partnerships, which involve numerous risks, including failure to consummate negotiated transactions, difficulties in successfully integrating the operations and personnel, navigating the necessary regulatory approval requirements and difficulties in entering new markets.</w:t>
      </w:r>
    </w:p>
    <w:p>
      <w:pPr>
        <w:spacing w:after="0" w:line="150" w:lineRule="exact"/>
        <w:rPr>
          <w:rFonts w:ascii="Times New Roman" w:cs="Times New Roman" w:eastAsia="Times New Roman" w:hAnsi="Times New Roman"/>
          <w:sz w:val="18"/>
          <w:szCs w:val="18"/>
          <w:b w:val="1"/>
          <w:bCs w:val="1"/>
          <w:color w:val="auto"/>
        </w:rPr>
      </w:pPr>
    </w:p>
    <w:p>
      <w:pPr>
        <w:jc w:val="both"/>
        <w:ind w:left="640" w:hanging="316"/>
        <w:spacing w:after="0" w:line="26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we are unable to attract new participants and retain existing participants, our revenue growth will be adversely affected. </w:t>
      </w:r>
      <w:r>
        <w:rPr>
          <w:rFonts w:ascii="Times New Roman" w:cs="Times New Roman" w:eastAsia="Times New Roman" w:hAnsi="Times New Roman"/>
          <w:sz w:val="18"/>
          <w:szCs w:val="18"/>
          <w:color w:val="auto"/>
        </w:rPr>
        <w:t>To increase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we plan to expand the number of centers and participants in our network, requiring recruitment and retention. Our inability to recruit new eligible participants and retain existing participants has adversely affected, and could in the future, adversely affect our growth strategy.</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overall business results have been and we expect will continue to be impacted by ongoing macroeconomic and industry-related challenges. </w:t>
      </w:r>
      <w:r>
        <w:rPr>
          <w:rFonts w:ascii="Times New Roman" w:cs="Times New Roman" w:eastAsia="Times New Roman" w:hAnsi="Times New Roman"/>
          <w:sz w:val="18"/>
          <w:szCs w:val="18"/>
          <w:color w:val="auto"/>
        </w:rPr>
        <w:t>Macroeconomic and industry challenges, including labor shortages, labor competition, high inflation, tariffs and trade disputes,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impacted and we expect will continue to impact our business operations.</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53" w:lineRule="auto"/>
        <w:tabs>
          <w:tab w:leader="none" w:pos="63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have faced, and continue to face inspections, reviews, audits and investigations under federal and state government programs and contracts</w:t>
      </w:r>
      <w:r>
        <w:rPr>
          <w:rFonts w:ascii="Times New Roman" w:cs="Times New Roman" w:eastAsia="Times New Roman" w:hAnsi="Times New Roman"/>
          <w:sz w:val="18"/>
          <w:szCs w:val="18"/>
          <w:color w:val="auto"/>
        </w:rPr>
        <w:t>. As a result of PACE contracts with various federal and state government programs, we are regularly subject to, and will continue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various routine and non-routine governmental inspections, reviews, audits, requests for information and investigations to verify our compliance with applicable laws, assess the quality of our services and evaluate the accuracy of our submitted risk adjustment data. We are unable to guarantee the outcomes of such audits.</w:t>
      </w:r>
    </w:p>
    <w:p>
      <w:pPr>
        <w:spacing w:after="0" w:line="154" w:lineRule="exact"/>
        <w:rPr>
          <w:rFonts w:ascii="Times New Roman" w:cs="Times New Roman" w:eastAsia="Times New Roman" w:hAnsi="Times New Roman"/>
          <w:sz w:val="18"/>
          <w:szCs w:val="18"/>
          <w:b w:val="1"/>
          <w:bCs w:val="1"/>
          <w:color w:val="auto"/>
        </w:rPr>
      </w:pPr>
    </w:p>
    <w:p>
      <w:pPr>
        <w:jc w:val="both"/>
        <w:ind w:left="640" w:hanging="316"/>
        <w:spacing w:after="0" w:line="275"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We are subject to legal proceedings, enforcement actions and litigation, malpractice and privacy disputes, which are costly and could materially harm our business. </w:t>
      </w:r>
      <w:r>
        <w:rPr>
          <w:rFonts w:ascii="Times New Roman" w:cs="Times New Roman" w:eastAsia="Times New Roman" w:hAnsi="Times New Roman"/>
          <w:sz w:val="17"/>
          <w:szCs w:val="17"/>
          <w:color w:val="auto"/>
        </w:rPr>
        <w:t>We are party to lawsuits and legal proceedings from various parties. These matters are often expensive and disruptive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our business operations. Among others, we are currently subject to civil investigative demands and stockholder lawsuits. These matters could result in significant cash settlements, and the time necessary to litigate could harm our business, financial condition, and results of operations.</w:t>
      </w:r>
    </w:p>
    <w:p>
      <w:pPr>
        <w:spacing w:after="0" w:line="124" w:lineRule="exact"/>
        <w:rPr>
          <w:rFonts w:ascii="Times New Roman" w:cs="Times New Roman" w:eastAsia="Times New Roman" w:hAnsi="Times New Roman"/>
          <w:sz w:val="17"/>
          <w:szCs w:val="17"/>
          <w:color w:val="auto"/>
        </w:rPr>
      </w:pPr>
    </w:p>
    <w:p>
      <w:pPr>
        <w:jc w:val="both"/>
        <w:ind w:left="640" w:hanging="316"/>
        <w:spacing w:after="0" w:line="25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Under PACE contracts, we assume all of the risk that the cost of providing services will exceed our compensation</w:t>
      </w:r>
      <w:r>
        <w:rPr>
          <w:rFonts w:ascii="Times New Roman" w:cs="Times New Roman" w:eastAsia="Times New Roman" w:hAnsi="Times New Roman"/>
          <w:sz w:val="18"/>
          <w:szCs w:val="18"/>
          <w:color w:val="auto"/>
        </w:rPr>
        <w:t>. Most of our revenue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derived from capitation agreements with government payors in which we receive fixed PMPM fees. To the extent that our participants require more care than anticipated and/or the cost of care increases, aggregate fixed capitation payments may be insufficient to cover the costs and could have a material adverse effect on our business.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640" w:hanging="316"/>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have experienced and expect to continue experiencing increased costs and expenditures in the future. </w:t>
      </w:r>
      <w:r>
        <w:rPr>
          <w:rFonts w:ascii="Times New Roman" w:cs="Times New Roman" w:eastAsia="Times New Roman" w:hAnsi="Times New Roman"/>
          <w:sz w:val="18"/>
          <w:szCs w:val="18"/>
          <w:color w:val="auto"/>
        </w:rPr>
        <w:t>In fiscal year 2025, we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 initiatives intended to lower our costs and expect to continue making investments in growing our business, including through the implementation of Company-wide transformation initiatives. If we are not able to execute or realize the benefits of our transformation initiatives, our profitability could decline.</w:t>
      </w:r>
    </w:p>
    <w:p>
      <w:pPr>
        <w:spacing w:after="0" w:line="137"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revenues and operations are dependent upon a limited number of government payors, particularly Medicare and Medicaid. </w:t>
      </w:r>
      <w:r>
        <w:rPr>
          <w:rFonts w:ascii="Times New Roman" w:cs="Times New Roman" w:eastAsia="Times New Roman" w:hAnsi="Times New Roman"/>
          <w:sz w:val="18"/>
          <w:szCs w:val="18"/>
          <w:color w:val="auto"/>
        </w:rPr>
        <w:t>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aggregating the revenue associated with Medicare and Medicaid by state, a majority of our revenue was derived from a limited number of government payors. We expect a majority of our revenues will continue to be derived from a limited number of key payors, who are able to terminate their contracts with us upon the occurrence of certain events, adversely affecting our operating results and limiting our expansion.</w:t>
      </w:r>
    </w:p>
    <w:p>
      <w:pPr>
        <w:spacing w:after="0" w:line="137"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Reductions in PACE reimbursement rates or changes in the rules governing PACE programs could have a material adverse effect on our financial condition and results of operations. </w:t>
      </w:r>
      <w:r>
        <w:rPr>
          <w:rFonts w:ascii="Times New Roman" w:cs="Times New Roman" w:eastAsia="Times New Roman" w:hAnsi="Times New Roman"/>
          <w:sz w:val="18"/>
          <w:szCs w:val="18"/>
          <w:color w:val="auto"/>
        </w:rPr>
        <w:t>We receive nearly all of our revenue through the PACE program, which accounted for 99.8%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for each of the years ended June 30, 2025 and 2024. As a result, our operations are dependent on government funding levels for PACE programs. Any changes that limit or reduce general PACE rates could have a material adverse effect on our business.</w:t>
      </w:r>
    </w:p>
    <w:p>
      <w:pPr>
        <w:spacing w:after="0" w:line="150" w:lineRule="exact"/>
        <w:rPr>
          <w:rFonts w:ascii="Times New Roman" w:cs="Times New Roman" w:eastAsia="Times New Roman" w:hAnsi="Times New Roman"/>
          <w:sz w:val="18"/>
          <w:szCs w:val="18"/>
          <w:color w:val="auto"/>
        </w:rPr>
      </w:pPr>
    </w:p>
    <w:p>
      <w:pPr>
        <w:jc w:val="both"/>
        <w:ind w:left="640" w:hanging="316"/>
        <w:spacing w:after="0" w:line="253"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records and submissions to government payors may contain inaccurate or unsupportable information regarding risk adjustment scores of participants, which could subject us to repayment obligations or penalties. </w:t>
      </w:r>
      <w:r>
        <w:rPr>
          <w:rFonts w:ascii="Times New Roman" w:cs="Times New Roman" w:eastAsia="Times New Roman" w:hAnsi="Times New Roman"/>
          <w:sz w:val="18"/>
          <w:szCs w:val="18"/>
          <w:color w:val="auto"/>
        </w:rPr>
        <w:t>CMS may audit PACE organizations’ risk adjustment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submissions. Erroneous data submissions could result in inaccurate revenue and risk adjustment payments. Correction or retroactive adjustments in later periods could require us to refund a portion of the revenue that we received, which could have a material adverse effect on our business, results of operations, financial condition and cash flows.</w:t>
      </w:r>
    </w:p>
    <w:p>
      <w:pPr>
        <w:spacing w:after="0" w:line="141"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Allegations of failure and failure to adhere to all of the complex government laws and regulations applicable to our business, have had, and could in the future have, a material adverse effect on our business, results of operations, financial condition, cash flows, reputation and stock price. </w:t>
      </w:r>
      <w:r>
        <w:rPr>
          <w:rFonts w:ascii="Times New Roman" w:cs="Times New Roman" w:eastAsia="Times New Roman" w:hAnsi="Times New Roman"/>
          <w:sz w:val="18"/>
          <w:szCs w:val="18"/>
          <w:color w:val="auto"/>
        </w:rPr>
        <w:t>Our operations are subject to extensive federal, state and local government laws and regulations. Allegations of violation, or actual violations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legal requirements implicated by our business may have material adverse consequences on our business.</w:t>
      </w:r>
    </w:p>
    <w:p>
      <w:pPr>
        <w:spacing w:after="0" w:line="137" w:lineRule="exact"/>
        <w:rPr>
          <w:rFonts w:ascii="Times New Roman" w:cs="Times New Roman" w:eastAsia="Times New Roman" w:hAnsi="Times New Roman"/>
          <w:sz w:val="18"/>
          <w:szCs w:val="18"/>
          <w:color w:val="auto"/>
        </w:rPr>
      </w:pPr>
    </w:p>
    <w:p>
      <w:pPr>
        <w:jc w:val="both"/>
        <w:ind w:left="640" w:hanging="316"/>
        <w:spacing w:after="0" w:line="253"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Ignite Aggregator LP (an investment vehicle owned by certain funds advised by Apax Partners LLP) and funds affiliated with Welsh, Carson, Anderson &amp; Stowe (together, our “Principal Shareholders”) control us. </w:t>
      </w:r>
      <w:r>
        <w:rPr>
          <w:rFonts w:ascii="Times New Roman" w:cs="Times New Roman" w:eastAsia="Times New Roman" w:hAnsi="Times New Roman"/>
          <w:sz w:val="18"/>
          <w:szCs w:val="18"/>
          <w:color w:val="auto"/>
        </w:rPr>
        <w:t>Our Principal Shareholders beneficially own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83% of our common stock, which means that together they control the vote of all matters submitted to a vote of our shareholders, including the election of members of the Board of Directors of the Company (the “Board”) and all other corporate decisions. For such period of time as our Principal Shareholders beneficially own a majority of the voting power, they will have significant influence.</w:t>
      </w:r>
    </w:p>
    <w:p>
      <w:pPr>
        <w:spacing w:after="0" w:line="154"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operating results fluctuate, which makes our future operating results difficult to predict and could cause such results to fall below any guidance, targets or goals we provide. </w:t>
      </w:r>
      <w:r>
        <w:rPr>
          <w:rFonts w:ascii="Times New Roman" w:cs="Times New Roman" w:eastAsia="Times New Roman" w:hAnsi="Times New Roman"/>
          <w:sz w:val="18"/>
          <w:szCs w:val="18"/>
          <w:color w:val="auto"/>
        </w:rPr>
        <w:t>If the guidance we provide falls short or we are unable to meet the expectations of analysts or investors,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price of our common stock could decline substantially.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may not prove viable and we may fail to realize expected results therefrom fully or at all.</w:t>
      </w:r>
    </w:p>
    <w:p>
      <w:pPr>
        <w:spacing w:after="0" w:line="19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ability to grow depends upon a number of factors, including recruiting and retaining participants at new and existing centers, finding suitable geographies that have aging populations and viable rate structures, the outcome of our organizational and enterprise efficiency initiatives, entering into government payor arrangements in new jurisdictions, results of audits, investigations and ongoing or new remediation efforts, ensuring compliance with regulatory and contractual requirements, identifying appropriate locations for new and existing centers, completing build-outs of new centers within proposed timelines and budgets and hiring members of our IDTs and other employees.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growth strategy involves a number of risks and uncertainties, including that: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40" w:hanging="316"/>
        <w:spacing w:after="0" w:line="25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enter into contracts with government payors and/or other healthcare providers on terms favorable to us or at all. In addition, we compete for government payor relationships with other potential players, some of whom may have greater resources than we do. This competition has intensified due to the availability to seniors of other programs similar to PACE and the ongoing consolidation in the healthcare industry, which may increase our costs to pursue such opportunities;</w:t>
      </w:r>
    </w:p>
    <w:p>
      <w:pPr>
        <w:spacing w:after="0" w:line="14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our organizational and enterprise efficiency initiatives may be more expensive than anticipated and we may fail to realize the anticipated benefits thereof within the expected timeline, or at all;</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recruit or retain a sufficient number of new or existing participants to execute our growth strategy or offset costs relating to marketing, opening de novo centers or executing acquisitions;</w:t>
      </w:r>
    </w:p>
    <w:p>
      <w:pPr>
        <w:spacing w:after="0" w:line="13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sufficient numbers of physicians and other clinical staff, particularly in the current labor market characterized by heightened demand for healthcare personnel due to an aging population, and upward pressure on wages coupled with labor shortages for qualified healthcare professionals;</w:t>
      </w:r>
    </w:p>
    <w:p>
      <w:pPr>
        <w:spacing w:after="0" w:line="13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expanding our business into new states, we may be required to comply with laws and regulations that may differ from states in which we currently operate;</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faced, and may continue to face, larger than expected costs and legal, community or other obstacles in the construction and opening of de novo centers, such as the suspension or revocation of state-required attestations;</w:t>
      </w:r>
    </w:p>
    <w:p>
      <w:pPr>
        <w:spacing w:after="0" w:line="136"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identifying appropriate acquisition targets, be precluded from acquiring targets as a result of audits or sanctions or due to other legal restrictions (e.g. federal or state antitrust laws), may fail to satisfy closing conditions or make investments in acquisitions that we are unable to effectively integrate, involve associated risks or liabilities that we are unable to uncover in advance, or that require greater resources than anticipated and that could include deficient quality of service; and</w:t>
      </w:r>
    </w:p>
    <w:p>
      <w:pPr>
        <w:spacing w:after="0" w:line="140"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sanctions as a result of audits and other regulatory processes and proceedings that could include temporary or permanent suspension of enrollments, debarment or exclusion from participation in federal healthcare programs, and the revocation of a center’s license and suspension or revocation of required attestations to open de novo centers, which may in turn result in participant attrition and preclude us from opening de novo centers and conducting tuck-in acquisitions. As previously disclosed, the California Department of Health Care Services (“DHCS”), suspended the state-required attestations for a planned de novo center in Downey and for the de novo center we acquired in Bakersfield, California in 2023. There is no guarantee that such attestations will be reinstated or that similar situations will not occur in the future.</w:t>
      </w:r>
    </w:p>
    <w:p>
      <w:pPr>
        <w:spacing w:after="0" w:line="1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One element of our growth strategy is to build de novo centers. When we open de novo centers, particularly in a new geography, such as our de novo centers in the State of Florida, there is no guarantee about the timing or our ability to enroll enough participants, hire and train enough skilled and non-skilled staff, develop necessary community relationships, and otherwise ramp up these centers to maturity. If we are unable to increase utilization of capacity at our centers through enrollment, ramp up de novo centers, build new de novo centers, manage our external provider costs, expand into new geographies, or find, evaluate and execute on new business opportunities, we may be unable to grow and our business and results of operations will be materially adversely affected.</w:t>
      </w:r>
    </w:p>
    <w:p>
      <w:pPr>
        <w:spacing w:after="0" w:line="15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as we grow our business and open or acquire new centers, we expect to continue to increase our headcount and to hire or contract with more physicians, nurses and other specialized medical personnel. We will need to continue to hire, train and manage additional qualified information technology, operations and marketing staff, and improve and maintain our technology and information systems to properly manage our growth. If our new hires perform poorly, if we are unsuccessful in hiring, training, managing and integrating these new employees, if we are not successful in retaining our existing employees or if we are unable to provide the care and services that our participants require in compliance with regulatory requirements, our business will be adversely affected.</w:t>
      </w:r>
    </w:p>
    <w:p>
      <w:pPr>
        <w:spacing w:after="0" w:line="145" w:lineRule="exact"/>
        <w:rPr>
          <w:sz w:val="20"/>
          <w:szCs w:val="20"/>
          <w:color w:val="auto"/>
        </w:rPr>
      </w:pPr>
    </w:p>
    <w:p>
      <w:pPr>
        <w:jc w:val="both"/>
        <w:ind w:right="20" w:firstLine="318"/>
        <w:spacing w:after="0" w:line="304" w:lineRule="auto"/>
        <w:rPr>
          <w:sz w:val="20"/>
          <w:szCs w:val="20"/>
          <w:color w:val="auto"/>
        </w:rPr>
      </w:pPr>
      <w:r>
        <w:rPr>
          <w:rFonts w:ascii="Times New Roman" w:cs="Times New Roman" w:eastAsia="Times New Roman" w:hAnsi="Times New Roman"/>
          <w:sz w:val="17"/>
          <w:szCs w:val="17"/>
          <w:color w:val="auto"/>
        </w:rPr>
        <w:t>Additional risks include, but are not limited to, our ability to effectively manage growth, process, store, protect and use personal data in compliance with governmental regulations and contractual obligations and manage our obligations as a provider of healthcare services under Medicare, Medicaid and PACE.</w:t>
      </w:r>
    </w:p>
    <w:p>
      <w:pPr>
        <w:spacing w:after="0" w:line="1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capitalize on growth opportunities, which will negatively impact our business, revenues, results of operations and financial condition.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is partially dependent upon our ability to identify and successfully complete acquisitions, joint ventures and other strategic partnerships.</w:t>
      </w:r>
    </w:p>
    <w:p>
      <w:pPr>
        <w:spacing w:after="0" w:line="1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An element of our growth strategy is to identify, pursue and successfully complete and integrate tuck-in acquisitions, joint ventures and other strategic partnerships to expand our operations and support our growth. For example, in December 2023, we acquired all of the issued and outstanding membership interests of two California-based PACE programs, ConcertoCare PACE of Bakersfield, LLC and ConcertoHealth PACE of Los Angeles, LLC (collectively, “Concerto”); in May 2024, we entered into a joint venture with Orlando Health with respect to the InnovAge Florida PACE - Orlando (“InnovAge Orlando”) center in Florida; and in August 2025, we entered into a joint venture with Tampa General Hospital with respect to InnovAge Florida PACE - Tampa center in Florida. We intend to continue pursuing relationships with key stakeholders, existing organizations and other care providers in order to form partnerships in target geographies.</w:t>
      </w:r>
    </w:p>
    <w:p>
      <w:pPr>
        <w:spacing w:after="0" w:line="14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However, acquisitions, joint ventures and other strategic partnerships, involve numerous risks, including failure to consummate negotiated transactions, difficulties in successfully integrating the operations and personnel, navigating the necessary regulatory approval requirements, including securing regulatory safe harbors necessary for healthcare related join ventures under the Anti-Kickback Statute, distraction of management while overseeing the transactions, and disruption of, our existing operations, difficulties in entering new markets in which we have no or limited direct prior experience, difficulties in managing novel challenges in markets we have no or limited direct prior experience, and difficulties in achieving the synergies we anticipated.</w:t>
      </w:r>
    </w:p>
    <w:p>
      <w:pPr>
        <w:spacing w:after="0" w:line="14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we incur costs associated with potential acquisitions that we pursue or fail to close, including as a result of litigation related to a failed transaction. We also may need to expend resources to ensure target and acquired centers are operating in compliance with regulatory and contractual requirements, as well as any corrective action plans. Any failure to select suitable opportunities at fair prices, conduct appropriate due diligence, acquire, and successfully integrate the acquired center, including particularly when acquired centers operate in new geographic markets, could materially and adversely impact our growth strategies, financial condition and results of operations.</w:t>
      </w:r>
    </w:p>
    <w:p>
      <w:pPr>
        <w:spacing w:after="0" w:line="14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Further, laws governing the review and approval of healthcare transactions could limit our ability to successfully complete acquisitions. Several states, including California, New Mexico, and Colorado have adopted laws focused on competition, quality, access, and cost that either authorize state agencies to review and approve certain healthcare transactions, or require notice prior to certain healthcare transactions, such as in California (requiring notice to the office of Health Care Affordability with certain transactions referred to their attorney general for further review) or New Mexico (requiring approval for certain transactions involving acquisitions and other changes in control of hospitals, including formation of a partnership or joint venture that results in an indirect change). Many other states, including Pennsylvania where several bills have been proposed, are currently voting on or considering similar legislation. These notices and approvals typically require a substantial amount of information, including supporting documentation. While certain of these proposed bills and restrictions are targeted at physician and dental practice management, they reflect a broader trend of increased regulatory scrutiny of healthcare transactions, which could negatively affect our ability to grow our business. These transactions may also cause us to significantly increase our interest expense, leverage and debt service requirements if we incur additional debt to pay for an acquisition or investment, issue common stock that would dilute our current shareholders’ percentage ownership or incur asset write-offs and restructuring costs and other related expenses that could have a material adverse impact on our operating results. Acquisitions, joint ventures and strategic investments also involve numerous other risks, including potential exposure to assumed liabilities, as well as undetected internal control, regulatory or other issues, or unanticipated additional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participants and retain existing participants, our revenue growth will be adversely affected.</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 increase our revenue, our business strategy includes expanding the number of centers and participants in our network. In order to support such growth, we must recruit and retain a sufficient number of new participants.</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focused on frail, dual-eligible senior population and face competition from other healthcare providers and payors in the recruitment of potential participants. Therefore, we must demonstrate that our services provide a viable solution for potential participants. If we are unable to convince the frail, dual-eligible senior population of the benefits of the InnovAge Platform or if potential or existing participants prefer the healthcare provider model of one of our competitors, we may not be able to effectively implement our growth strategy, which depends on our ability to attract new participants.</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Additionally, participant enrollment for PACE is ongoing each month and requires states to verify eligibility, a process which can result in delays in enrollment. We have experienced, and continue to experience, an increase in gaps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eligibility for both new enrollments and Medicaid redetermination applications due to processing delays and other enrollment and redetermination procedures that vary by State and county. While participants continue to receive care and remain enrolled with us during the redetermination process, the effect of such delays temporarily halts Medicaid revenue related to any closed application and simultaneously increases our risk of revenue recovery. The OBBBA, signed into law on July 4, 2025, generally requires redetermination to occur at least every 6 months instead of annually. As a result, enrollment delays may increase, due to insufficient staffing to handle the higher volume of work, and, if the additional redetermination requirement applies to our participants, the risk of revenue recovery may increase for those of our participants subject to such additional redetermination. In the State of California, processing delays resulted in lower estimated per member, per month (“PMPM”) amounts during fiscal year 2025, which triggered a negative adjustment for prior PMPM estimates and also reduced the reimbursements we received from the State. Even though our results of operations have not suffered a material adverse effect from these delays, there is no guarantee that further delays may not adversely impact our results.</w:t>
      </w:r>
    </w:p>
    <w:p>
      <w:pPr>
        <w:spacing w:after="0" w:line="1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shortage of clinicians combined with an aging population creates increased demand on the limited number of existing residential facilities. As a result, the access of our participants to such facilities is uncertain, as such facilities may prioritize private payors or may be unable to accept participants at pre-determined rates. If we are unable to access residential facilities, we could be unable to retain existing participants who require such facilities.</w:t>
      </w:r>
    </w:p>
    <w:p>
      <w:pPr>
        <w:spacing w:after="0" w:line="1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overall business results have been, and we expect will continue to be, impacted by ongoing macroeconomic and industry-related challenges, including labor shortages, labor competition, inflation, tariffs and trade disputes.</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Macroeconomic and industry challenges, including uncertainty surrounding trade tensions and supply chain disruptions, labor shortages, labor competition and high inflation, have impacted and we expect will continue to impact our business operations and our overall business results. The healthcare sector continues to experience workforce shortages, particularly in geriatrics, primary care and direct care roles, as well as a complex set of challenges in hiring additional professionals due to higher demand for healthcare services and systemic challenges related to workforce training and the pipeline of qualified professionals. We compete with other healthcare providers, primarily hospitals and other centers, and home health care providers in attracting physicians, nurses and medical staff to support our centers, and recruiting and retaining qualified management and support personnel responsible for the daily operations of each of our centers.</w:t>
      </w:r>
    </w:p>
    <w:p>
      <w:pPr>
        <w:spacing w:after="0" w:line="14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Furthermore, high inflation has increased the cost of living, and consequently, wage pressure for healthcare professionals, which has contributed to an increasingly competitive labor market. Increased wage pressure for healthcare professionals is also impacted by certain laws and regulations, such as the adoption of California Senate Bill No. 525 (“SB 525”), which raised minimum wage for many California healthcare workers and impacted many of our contractors and other third-party providers. As a result of competition generated by SB 525 and other California market conditions, we received rate increases from third party vendors, including those providing home health services and care partner services, increasing our cost of care in California. We also increased our wages for impacted healthcare workers and other comparable market positions in the California market. Because the vast majority of our revenue consists of prospective monthly capitated, or fixed, payments per participant, our ability to pass along increased costs is limited. In particular, if labor costs rise at an annual rate greater than our net annual consumer price index basket update from Medicare, our results of operations and cash flows will likely be adversely affected.</w:t>
      </w:r>
    </w:p>
    <w:p>
      <w:pPr>
        <w:spacing w:after="0" w:line="1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labor market conditions disrupt our ability to recruit healthcare professionals, we may not be able to execute our growth plan and grow capacity in our existing centers or open de novo centers or we may have to do so at costs higher than originally budgeted, which, in turn, could increase our capital needs during a time of high interest rates and when conditions in the credit and capital markets are volatile. Cost of care and related cost per participant increased for fiscal year 2025 compared to 2024, partially as a result of higher wage rates. In addition, labor relations matters could have a material adverse effect on our business. Certain nurses in our Pennsylvania centers (less than 1% of our total workforce) are represented by unions. If additional employees seek to unionize in the future, employees may threaten and/or engage in work stoppages and strikes and our labor costs may materially increase.</w:t>
      </w:r>
    </w:p>
    <w:p>
      <w:pPr>
        <w:spacing w:after="0" w:line="15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rely on both domestic and international suppliers for medical equipment and supplies, including pharmaceuticals used in our business. U.S. tariff announcements, retaliatory measures by other countries, and significant uncertainty surrounding trade tensions may result in higher prices for medical and other supplies and lead to supply chain disruptions and additional costs. Factors arising from supply chain challenges such as raw material shortages, longer lead times, and increased transportation expenses may affect our ability to grow our business effectively and may pose risks to our ability to acquire essential medical supplies in a timely and efficient manner. The degree to which tariffs affect the global supply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chain and our business will depend on their timing, duration and magnitude, which may be changed at any time and with little or no prior notice.</w:t>
      </w:r>
    </w:p>
    <w:p>
      <w:pPr>
        <w:spacing w:after="0" w:line="17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the healthcare industry is subject to shifting political priorities and initiatives. As our stakeholders have evolving, varied, and sometimes conflicting expectations regarding political positions, we may experience adverse reactions from some of our stakeholders for positions we take on, and advocacy for, Medicare and Medicaid in the future.</w:t>
      </w:r>
    </w:p>
    <w:p>
      <w:pPr>
        <w:spacing w:after="0" w:line="13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periods of high unemployment, governmental entities often experience budget deficits as a result of increased costs and lower than expected tax collections. These budget deficits at federal, state and local government entities have decreased, and may continue to decrease, spending for health and human service programs, including Medicare, Medicaid, PACE and similar programs, which represent nearly all of the payor sources for our centers and which may have a material effect on our results of operations and financial condition. To date, we believe that macroeconomic and industry conditions, including labor shortages and inflation, have not had a material effect on our operating results. However, there can be no assurance that continued challenges will not have an adverse impact on our operating results and financial condition.</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faced and continue to face inspections, reviews, audits and investigations under federal and state government programs and contracts. These audits have required and may in the future require corrective actions and have resulted in adverse findings that have negatively affected and continue to affect our business, including our results of operations, liquidity, financial condition and reputation.</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a result of our PACE contracts with CMS and state government agencies, state licenses, and participation in Medicaid, we are regularly subject to, and will continue to be subject to, various routine and non-routine governmental inspections, reviews, audits, requests for information and investigations to verify our compliance with requirements of these programs and applicable laws and regulations, assess the quality of the services we are providing to our participants, and evaluate the accuracy of the risk adjustment data we have submitted to the government.</w:t>
      </w:r>
    </w:p>
    <w:p>
      <w:pPr>
        <w:spacing w:after="0" w:line="141"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Starting in 2021, we underwent federal and state audits in our centers in California, Colorado and New Mexico. Based on deficiencies detected in the audits, CMS and regulatory authorities in the states of California and Colorado suspended new enrollments at our Sacramento center and our centers in Colorado. We were released from the enrollment sanctions in 2023. As previously disclosed, in October 2023, CMS and the DHCS conducted a joint routine audit of our Sacramento center and DHCS is currently conducting a medical review of our San Bernardino center, which commenced in March 2024. In response to both of these matters, DHCS suspended its state-required attestations for our planned de novo centers in California. There is no guarantee that such attestations will be reinstated or that similar situations will not occur in the future. Audits have and will continue to increase our regulatory compliance costs and have required and may require further change to our business practices, which could negatively impact our participant and revenue growth. Managing audits, even if we achieve favorable outcomes, is costly, time-consuming and diverts management’s attention from our business.</w:t>
      </w:r>
    </w:p>
    <w:p>
      <w:pPr>
        <w:spacing w:after="0" w:line="1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centers will continue to be subject to federal and state audits, and there is no guarantee that future audits will not find deficiencies similar to, or different from, the ones found in connection with prior audits.</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general, inspections, reviews, audits, requests for information or investigations with adverse findings, and in particular the audits described above, have resulted in and may further result in:</w:t>
      </w:r>
    </w:p>
    <w:p>
      <w:pPr>
        <w:spacing w:after="0" w:line="124" w:lineRule="exact"/>
        <w:rPr>
          <w:sz w:val="20"/>
          <w:szCs w:val="20"/>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enrollment sanctions in the affected center(s), as was the case with our Sacramento, California center and our centers in the State of Colorado in 2021;</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refunding amounts we have been paid by the government;</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federal agencies imposing corrective action plans, fines, penalties, training, policies and procedures, monitoring, and other requirements;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suspension of payments;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or exclusion from participation in federal healthcare programs;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self-disclosure of violations to applicable regulatory authorities;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revocation of a center’s license or suspension of state attestations to open de novo centers, such as the case with our Downey and Bakersfield, California centers; and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certain rights under, or termination of, our contracts with government payors.</w:t>
      </w:r>
    </w:p>
    <w:p>
      <w:pPr>
        <w:spacing w:after="0" w:line="17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Any of the results noted above have had and could have material adverse effects on our business and operating results. Furthermore, the legal, document production and other costs associated with complying with these inspections, reviews, audits, requests for information or investigations are significant. If we are unable to effectively remediate the deficiencies raised by any audits, implement corrective action plans, or otherwise satisfy the regulators’ concerns, we could be subject to new sanctions, and our business, financial results and operations could be adversely impacted.</w:t>
      </w:r>
    </w:p>
    <w:p>
      <w:pPr>
        <w:spacing w:after="0" w:line="1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enforcement actions and litigation, malpractice and privacy disputes, which are costly to defend and could materially harm our business and results of operations.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party to lawsuits and legal proceedings from participants, employees, or other third parties for various actions. These matters are often expensive and disruptive to our business operations. We face and may in the future face allegations, lawsuits, including class actions, and regulatory inquiries, requests for information, audits and investigations regarding care and services provided to participants, the FCA, data privacy, security, labor and employment, securities laws, consumer protection or intellectual property. We also have faced and may in the future face allegations or litigation related to our potential and completed acquisitions, securities issuances or business practices, including contract claims and public disclosures about our business. We are currently party to a stockholder lawsuit asserting derivative claims for breach of fiduciary duty generally relating to alleged failures by the defendants to take remedial actions to address the matters that resulted in sanctions by CMS at certain of our centers and alleged misstatements in our public filings relating to those matters. Additionally, we are currently a party to an arbitration proceeding initiated by our former pharmacy services vendor asserting claims for breach of contract and breach of confidentiality, non-renewal and termination of its services agreements. We are currently unable to predict the outcome of these matters. See Part I, Item 3 “Legal Proceedings” for more information.</w:t>
      </w:r>
    </w:p>
    <w:p>
      <w:pPr>
        <w:spacing w:after="0" w:line="15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Litigation and regulatory proceedings are protracted and expensive, and the results are difficult to predict. Certain of these matters include claims for substantial or indeterminate amounts of damages and may include claims for injunctive relief. Additionally, our litigation costs are and will continue to be significant. Adverse outcomes with respect to the legal proceedings described above or other litigation may result in significant settlement costs or judgments, penalties, fines and sanctions. For example, in June 2025, the Company and the other defendants entered into a settlement agreement to resolve the securities class action lawsuit with plaintiffs who alleged violations of the Securities Act and the Exchange Act in exchange for a payment by the Company of $27.0 million, of which— after adjusting for the settlement amounts to be paid directly by the Company's insurers—the Company’s share was $10.1 million. Managing legal proceedings, regulatory inquiries, litigation and audits, even if we achieve favorable outcomes, is costly, time-consuming and diverts management’s attention from our business.</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results of regulatory proceedings, investigations, inquiries, litigation, claims, and audits cannot be predicted with certainty, and determining reserves for pending litigation and other legal, regulatory and audit matters require significant judgment and assumptions. There can be no assurance that our expectations will prove correct, and even if these matters are resolved in our favor or without significant cash settlements, these matters, and the time and resources necessary to litigate or resolve them, cause harm to our reputation, business, financial condition, results of operations and the market price of our common stock.</w:t>
      </w:r>
    </w:p>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also subject to lawsuits under the FCA and comparable state laws for submitting allegedly fraudulent, inadequately supported or otherwise inappropriate bills for services to the Medicare and Medicaid programs. These 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healthcare fraud and abuse.</w:t>
      </w:r>
    </w:p>
    <w:p>
      <w:pPr>
        <w:spacing w:after="0" w:line="14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As previously disclosed, in July 2021, the Company received a civil investigative demand from the Attorney General for the State of Colorado under the Colorado Medicaid False Claims Act. We continue to fully cooperate with the Attorney General. In February 2022, the Company received a civil investigative demand from the Department of Justice (“DOJ”) under the Federal False Claims Act on similar subject matter. In October 2024, the Company received a civil investigative demand from the DOJ under the Federal False Claims Act on similar subject matter as the 2022 investigation. The Company is fully cooperating with the DOJ. We are currently unable to predict the outcome of these investigations. See Part I, Item 3 “Legal Proceedings” for more information.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our business exposes us to potential medical malpractice, professional negligence or other related actions or claims that are inherent in the provision of healthcare services. These claims, whether or not they have merit, could cause us to incur substantial costs, and could place a significant strain on our financial resources, divert the attention of management from our core business, harm our reputation and adversely affect our ability to attract and retain participants, any of which could have a material adverse effect on our business, financial condition and results of operations.</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Although we maintain third-party professional liability insurance coverage, certain claims against us may exceed the coverage limits of our insurance policies, such as the securities class action lawsuit discussed above.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regardless of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our PACE contracts, we assume all of the risk that the cost of providing services will exceed our compensation.</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Approximately 99.8% of our revenue for each of the years ended June 30, 2025 and 2024, was derived from capitation agreements with government payors in which we receive fixed PMPM fees. While there are variations specific to each agreement, we generally contract with government payors to receive a fixed PMPM fee to provide or manage all healthcare services a participant may require while assuming financial responsibility for the totality of our participants’ healthcare expenses. This type of contract is often referred to as an “at-risk” or a “capitation” contract.</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the extent that our participants require more care than is anticipated and/or the cost of care increases, aggregate fixed capitation payments may be insufficient to cover the costs associated with treatment. If medical costs and expenses exceed the underlying capitation payments received, we will not be able to correspondingly increase our capitated payments and thus we could suffer losses with respect to such agreements.</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Changes in our anticipated ratio of medical expense to revenue can significantly impact our financial results. Accordingly, the failure to adequately predict and control medical costs and expenses, execute or realize the benefits of our clinical value initiatives and operational value initiatives, and to make reasonable estimates and maintain adequate accruals for incurred but not reported claims, could have a material adverse effect on our business, results of operations, financial condition and cash flows. Additionally, the Medicare and Medicaid expenses of our participants may be outside of our control in the event that participants take certain actions, such as emergency room visits or preventable hospital admissions, that increase such expenses.</w:t>
      </w:r>
    </w:p>
    <w:p>
      <w:pPr>
        <w:spacing w:after="0" w:line="1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Historically, our medical costs and expenses as a percentage of revenue have fluctuated. Factors that may cause medical expenses to exceed estimates include:</w:t>
      </w:r>
    </w:p>
    <w:p>
      <w:pPr>
        <w:spacing w:after="0" w:line="124"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status of participants requiring higher levels of care, such as nursing home care, or higher incidents of hospitalization;</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utilization of new or existing healthcare services;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frequent catastrophic medical cases (e.g. transplants);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healthcare services and supplies, whether as a result of inflation, wage increases, purchases of vaccines and personal protective equipment as a result of a pandemic or epidemic, other health emergencies, or otherwise;</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new high-cost medications to treat conditions that are common in our population, such as new treatments for Alzheimer’s Dementia;</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mandated benefits or other changes in healthcare laws, regulations and practices at both the federal and state levels;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attributable to specialist physicians, hospitals, and ancillary providers;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demographics of our participants and medical trends;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or claims disputes with providers, hospitals or other service providers;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catastrophes, health emergencies, including epidemics or pandemics or acts of terrorism;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government payor payments.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and expect to continue experiencing, increased costs and expenditures in the future.</w:t>
      </w:r>
    </w:p>
    <w:p>
      <w:pPr>
        <w:spacing w:after="0" w:line="18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In fiscal year 2025, while we continued several initiatives intended to lower certain of our costs, we also made, and expect to continue making, significant investments in growing and transforming our business, including through the implementation of Company-wide transformation initiatives (focused on managing cost trends, operational excellence and high quality care for participants) increasing our participant base, building capabilities to increase our sophistication as a payor to drive clinical value, expanding our operations through acquisitions, hiring additional employees for growing or new centers, and introducing or improving technology. As a result of these increased expenditures, we may not succeed in increasing our revenue sufficiently to improve our profit margins. We finance our operations principally from revenue from our participant services and the incurrence of indebtedness. We may not continue to generate positive cash flow from operations or have access to sufficient capital, and our variable results may make it difficult for you to rely on our historical results as indicative of future performance. We have encountered, and will continue to encounter, risks and difficulties frequently experienced by growing companies in rapidly changing and highly regulated industries, including increasing expenses as we continue to grow our business.</w:t>
      </w:r>
    </w:p>
    <w:p>
      <w:pPr>
        <w:spacing w:after="0" w:line="13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operating expenses have increased, and we expect them to continue to increase, over the next several years as we continue to hire additional personnel, expand our operations and infrastructure, reimagine key operational areas through technology, and continue to provide services to an increasing number of participants in furtherance of our clinical and operational initiatives. If we are not able to execute or realize the benefits of our clinical and operational value initiatives, our operating loss could continue to decline and we may not gain anticipated integration and efficiencies. In addition to the expected costs to grow our business, we also expect to continue to incur compliance costs, as a result of audits and maintaining high quality of care across our centers, as well as additional legal, accounting and other expenses as we continue to operate as a public company. These investments may be more costly than we expect, and if we do not achieve the benefits anticipated from these investments, or if the realization of these benefits is delayed, our profitability could continue to decline. If our growth rate were to decline significantly or become negative, it could adversely affect our financial condition and results of operations. If we are not able to maintain positive cash flow in the long term, we may require additional financing, which may not be available on favorable terms or at all and/or which would be dilutive to our shareholders. If we are unable to successfully address these risks and challenges as we encounter them, our business, results of operations and financial condition would be adversely affected. Accordingly, we may not be able to be profitable or improve our income in the future, which could negatively impact the value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operations are dependent upon a limited number of government payors, particularly Medicare and Medicaid.</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operations are dependent on a limited number of government payors, particularly Medicare and Medicaid, with whom we directly contract to provide services to participants. We generally manage our contracts on a state-by-state basis, entering into a separate contract in each state. When aggregating the revenue associated with Medicare and Medicaid by state, Colorado, California and Virginia accounted for a total of approximately 86.4% and 84.3% of our capitation revenue for the years ended June 30, 2025 and 2024, respectively.</w:t>
      </w:r>
    </w:p>
    <w:p>
      <w:pPr>
        <w:spacing w:after="0" w:line="14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Based on our current business structure and market conditions, we expect that the majority of our revenues will continue to be derived from a limited number of key government payors. As a result, we depend on federal funding, the financial condition of the states in which we operate, and each state’s commitment to its PACE program. Government-funded healthcare programs in the states in which we operate face a number of risks, including higher than expected healthcare costs and lack of predictability of tax basis and budget needs. As the states respond to market dynamics and financial pressures, and as government payors make strategic budgetary decisions in respect of the programs in which they participate, certain government payors, including CMS and state Medicaid agencies, may seek to renegotiate or terminate their agreements with us. Any reduction in the budgetary appropriations for our services, whether due to fiscal constraints from a recession or economic downturn, emergency situations such as pandemics, changes in policy or otherwise, could result in a reduction in our capitated fee payments, changes to the scope of services, or even the loss of contracts, any of which could negatively impact our revenues, business and prospects.</w:t>
      </w:r>
    </w:p>
    <w:p>
      <w:pPr>
        <w:spacing w:after="0" w:line="1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Trump Administration has called for a reduction in expenditures across the government, including at HHS, the FDA, the National Institutes of Health, CMS and related agencies. Implementation of efficiency directives, such as those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issued by the Department of Government Efficiency (DOGE), and actions presently directed by executive order could decrease federal spending related to healthcare and create policy changes that could harm our business. These actions may, for example, include directives to reduce agency workforce and rescinding a Biden Administration executive order tasking the Center for Medicare and Medicaid Innovation (CMMI) to consider new payment and healthcare models to limit drug spending.</w:t>
      </w:r>
    </w:p>
    <w:p>
      <w:pPr>
        <w:spacing w:after="0" w:line="141"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Further, the OBBBA, makes several changes that impact Medicare, Medicaid and PACE providers. OBBBA mandates significant reductions in federal Medicaid spending, with the Congressional Budget Office estimating a decrease of $1 trillion over the next decade. The OBBBA also introduces new work requirements for Medicaid recipients aged 19 to 64, necessitating at least 80 hours per month of work, education, or volunteer activities, unless they qualify for certain exemptions. The OBBBA also narrows Medicaid eligibility for qualified immigrants. States will be required to conduct eligibility verifications of Medicaid enrollees in the expansion population every six months (unless otherwise exempt), increasing from the previous annual requirement. These changes may lead to decreased Medicaid enrollment among existing and prospective PACE participants, potentially reducing our funding and decreasing margins. OBBBA also introduces cost-sharing measures, requiring Medicaid beneficiaries with incomes between 100% and 138% of the federal poverty level to pay up to $35 per service for certain healthcare services. As a result, eligible participants could be deterred from enrolling in or continuing enrollment with PACE programs, possibly impacting our ability to retain or increase our participant base. With the federal funding cuts, and states being prohibited from increasing provider taxes to finance their share of Medicaid spending, states may also face budgetary pressures. These budgetary pressures may potentially lead to reductions in certain optional Medicaid benefits, reductions in the workforce for the government entities that oversee and administer Medicaid and PACE, causing delays, and downward pressure on rates, including our capitated fee payments. State-level decisions on benefit coverage could adversely affect or limit the comprehensiveness and quality of care we provide. Finally, the new requirements will necessitate adjustments in our administrative processes to ensure compliance with more frequent eligibility verifications and other reporting standards mandated by federal and state regulatory agencies. Failure to adapt promptly could result in regulatory penalties, sanctions, or loss of funding. Until we know the full scope of the impact of the OBBBA and other policy changes made by the Trump Administration, whether those policy changes are challenged and subsequently upheld by the court system and how those changes impact our business and the business of our competitors over the long term, we will not know the extent of any direct or indirect impact on us.</w:t>
      </w:r>
    </w:p>
    <w:p>
      <w:pPr>
        <w:spacing w:after="0" w:line="1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government payors may generally adjust certain terms of our agreements with them from time to time and may terminate their contracts with us upon the occurrence of certain events. Such events include inspections, reviews, audits, requests for information or investigations with adverse findings, as well as situations in which state or federal funds are not appropriated at sufficient levels to fund our contracts or PACE programs in general. Government payors, such as CMS and state Medicaid agencies, may also exercise their regulatory authority to terminate, suspend or cancel our contracts, in whole or in part, for cause in the event of our noncompliance with applicable statutory, regulatory, or contractual requirements, or if we are debarred or suspended from providing services by state or federal government authorities. CMS, as the federal agency responsible for oversight of Medicare and PACE programs, may also impose regulatory sanctions for noncompliance with federal requirements, including but not limited to the suspension of participant enrollment, civil monetary penalties, or contractual termination. The imposition of such sanctions has in the past affected and could in the future adversely affect our operating results and our ability to pursue our growth strategies. The sudden loss of any of our government contracts, entry into a government contract with unfavorable economic terms or the renegotiation or adjustment of any of such contracts to include unfavorable terms could adversely affect our operating results. In the ordinary course of business, we engage in active discussions and renegotiations with government payors in respect of the services we provide and the terms of our agreements.</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also Item 1A. Risk Factors, “Risks Related to Our Business-We conduct a significant percentage of our operations in the State of Colorado and, as a result, we are particularly susceptible to any reduction in budget appropriations for our services or any other adverse developments in that state.”</w:t>
      </w:r>
    </w:p>
    <w:p>
      <w:pPr>
        <w:spacing w:after="0" w:line="1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Reductions in PACE reimbursement rates or changes in the rules governing PACE programs could have a material adverse effect on our financial condition and results of operations.</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receive nearly all of our revenue through the PACE program, which accounted for 99.8% of our revenue for each of the years ended June 30, 2025 and 2024. As a result, our operations are dependent on government funding levels for PACE programs. Any changes that limit or reduce general PACE funding, such as reductions in or limitations of reimbursement amounts or rates under programs, reductions in funding of programs, expansion of benefits, services or treatments under programs without adequate funding, could have a material adverse effect on our business, results of operations, financial condition and cash flows.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 PACE programs and their respective reimbursement rates, payment structures and rules are subject to frequent change. These include statutory and regulatory changes, rate adjustments (including retroactive adjustments), administrative or executive orders and government funding restrictions, all of which may materially adversely affect the PACE rates at which we are compensated for our services. Budget pressures can lead federal and state governments to reduce or place limits on reimbursement rates and payment structures under PACE. For example, the budget constraints caused by recent federal funding cuts and impact of the OBBBA may lead federal and state governments to reduce or limit reimbursement amounts or rates under the PACE program. Implementation of these and other types of measures has in the past and could in the future result in reductions in our revenue and operating margins, the extent of which would depend on the specific measures implemented. Legislation enacted in 2011 requires CMS to sequester or reduce all Medicare payments, including payments to PACE organizations, by two percent per year beginning on April 1, 2013, and this sequestration has been extended through fiscal year 2032 for Medicare benefit payments. We cannot predict what other deficit reduction, other payment reduction or budget enforcement initiatives may be proposed by Congress, which could impact our business, including whether Congress will attempt to increase, restructure or suspend sequestration.</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Each year, CMS establishes the Medicare PACE benchmark payment rates by county for the following calendar year. Because nearly all of our revenue is through the PACE program, any negative changes to the PACE benchmark payment rates could have a material adverse effect on our business, results of operations, financial condition and cash flows. In addition, our PACE revenues may become volatile in the future, which could have a material adverse impact on our business, results of operations, financial condition and cash flows.</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Reductions in reimbursement rates could have a material, adverse effect on our financial condition and results of operations or even result in rates that are insufficient to cover our operating expenses. For example, our external provider costs are driven by rates set by Medicare and Medicaid, which are outside of our control and may be negotiated in a manner unfavorable to us. Additionally, any delay or default by state governments in funding our capitated payments could materially and adversely affect our business, financial condition and results of operations.</w:t>
      </w:r>
    </w:p>
    <w:p>
      <w:pPr>
        <w:spacing w:after="0" w:line="1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Recent legislative, judicial and executive efforts to enact further healthcare reform legislation have caused the future state of reforms under the ACA and many core aspects of the current U.S. healthcare system to be unclear. While specific changes and their timing are not yet apparent, enacted reforms and future legislative, regulatory, judicial, or executive changes, particularly any changes to the PACE program, could have a material adverse effect on our business, results of operations, financial condition and cash flows.</w:t>
      </w:r>
    </w:p>
    <w:p>
      <w:pPr>
        <w:spacing w:after="0" w:line="1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records and submissions to government payors may contain inaccurate or unsupportable information regarding risk adjustment scores of participants, which could cause us to overstate or understate our revenue and subject us to repayment obligations or penalties.</w:t>
      </w:r>
    </w:p>
    <w:p>
      <w:pPr>
        <w:spacing w:after="0" w:line="12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 claims and encounter records that we submit to government payors involve data that support the RAF scores attributable to participants. These RAF scores determine the payment we are entitled for the provision of medical care to such participants. The data submitted to CMS is based on diagnosis codes and medical charts that our employed, contracted and noncontracted providers identify, record and prepare. Any issues with recording and documenting identified medical conditions could adversely impact Medicare RAF scores and our resulting revenue for future periods. CMS periodically audits PACE organizations’ risk adjustment submissions. The submission of inaccurate, incomplete or erroneous data could result in inaccurate revenue and risk adjustment payments, which may be subject to correction or retroactive adjustment in later periods. This corrected or adjusted information may be reflected in financial statements for periods subsequent to the period in which the revenue was recorded. We could be required to refund a portion of the revenue that we received, which could have a material adverse effect on our business, results of operations, financial condition and cash flows. Historically, these true-up payments typically occur between May and August, but the timing of these payments is determined by CMS, and we have neither visibility nor control over the timing of such payments. From time to time, we may experience reconciliation issues as government payors modify or adopt new systems.</w:t>
      </w:r>
    </w:p>
    <w:p>
      <w:pPr>
        <w:spacing w:after="0" w:line="1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CMS seeks repayment from us for payment adjustments as a result of its audits, we could also be subject to liability for penalties for inaccurate or unsupportable RAF scores provided by us or our providers. In addition, we could be liable for penalties to the federal government under the FCA, which may include per claim penalties, plus up to three times the amount of damages caused by each false claim, which can be as much as the amounts received directly or indirectly from the government for each such false claim. As of January 15, 2025, the minimum FCA penalty increased from $13,946 to $14,308 per claim. The maximum penalty has increased from $27,894 to $28,619 per claim. There is a high potential for substantial penalties in connection with any alleged FCA violations.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Elements of the risk adjustment mechanism continue to be challenged, reevaluated and revised by the U.S. DOJ, the OIG and CMS. On February 1, 2023, CMS published the Medicare Advantage RADV Program Final Rule, effective April 3, 2023, which allows CMS to extrapolate Risk Adjustment Data Validation (“RADV”) audit findings beginning with payment year 2018. On May 21, 2025, CMS announced a significant expansion of its RADV auditing: all eligible MA plans will now be audited annually, rather than a limited subset, and CMS intends to complete its backlog of RADV audits for payment years 2018 to 2024 by early 2026. Each audit will also review a larger sample of records, increasing the administrative burden and potential for recoupment. If CMS recovers overpayments from MA plans, those plans may seek to recover payments from us that the plans believe are attributable to risk adjustment data. These developments generally increase the risk of payment recoupment and compliance exposure for organizations participating in Medicare Advantage arrangements, like us.</w:t>
      </w:r>
    </w:p>
    <w:p>
      <w:pPr>
        <w:spacing w:after="0" w:line="15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There can be no assurance that a PACE organization, including us, will not be randomly selected or targeted for review by CMS or that the outcome of such a review will not result in a material adjustment in our revenue and profitability, even if the information we submitted to CMS is accurate and supportable. Substantial changes in the risk adjustment mechanism, including changes that result from enforcement or audit actions, could materially affect our capitated reimbursement. For example, CMS released an updated PACE Medicaid Capitation Rate Setting Guide, effective January 1, 2025, which clarifies and expands requirements for state development and documentation of PACE Medicaid capitation rates. Under this new guidance, states must provide more detailed supporting data and methodologies when submitting proposed rates to CMS for approval.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and federal efforts to reduce healthcare spending could adversely affect our financial condition and results of operations.</w:t>
      </w:r>
    </w:p>
    <w:p>
      <w:pPr>
        <w:spacing w:after="0" w:line="19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Most of our participants are dually eligible, meaning they are qualified for coverage under both Medicare and Medicaid when enrolled in our PACE program, and nearly all our revenue is derived from government payors. Medicaid is a joint federal and state funded program for healthcare services for low income as well as certain higher-income individuals who qualify for nursing home level of care. Under broad federal criteria, states establish rules for eligibility, services and payment. PACE programs are administered at the state level and are financed by both state and federal funds. Medicaid spending has increased rapidly in recent years, becoming a significant component of state budgets. This increase, combined with slower state revenue growth, has led both the federal government and many states to institute measures aimed at controlling the growth of Medicaid spending, and in some instances reducing aggregate Medicaid spending. Due to budget decisions and constraints, which can be unpredictable and influenced by shifting political and economic priorities or the result of macroeconomic conditions, including a potential recession, we may experience negative Medicaid capitated rate payment pressure from certain states where we operate, such as Colorado, where we conduct a significant percentage of our operations.</w:t>
      </w:r>
    </w:p>
    <w:p>
      <w:pPr>
        <w:spacing w:after="0" w:line="1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as part of past attempts to repeal, replace or modify the ACA and as a means to reduce the federal budget deficit, 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those changes or others are implemented, we cannot predict whether the amount of fixed federal funding to the states will be based on current payment amounts or on lower payment amounts, which would negatively impact those states that expanded their Medicaid programs in response to the ACA. We expect state and federal efforts to reduce healthcare spending to continue for the foreseeable future.</w:t>
      </w:r>
    </w:p>
    <w:p>
      <w:pPr>
        <w:spacing w:after="0" w:line="1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future success depends largely upon the services of our executive officers, senior management team and other key employees. We rely on our leadership team in the areas of operations, provision of medical services, information technology and security, marketing and general and administrative functions. Our employment agreements with our executive officers and other key personnel do not require them to continue to work for us for any specified period and, therefore, they could terminate their employment with us at any time. The loss of one or more of our executive officers, the members of our senior management team, or other key employees, could disrupt or otherwise harm our business.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certain of our suppliers do not meet our needs, if we are not reimbursed or adequately reimbursed for medical products we purchase or if we are unable to effectively access new technology or medical products, our ability to effectively provide the services we offer could be negatively impacted.</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significant suppliers that may be the sole or primary source of products critical to the services we provide, or to which we have committed obligations to make purchases, sometimes at particular prices. If any of these suppliers do not meet our needs for the products they supply, including as a result of price increases, a product recall, product shortage or other supply chain issues (including as a result of trade tensions), or a dispute, and we are not able to find adequate alternative sources, our business, results of operations, financial condition and cash flows could be materially adversely impacted. In addition, the technology related to the products critical to the services we provide is subject to new developments which may result in the availability of superior products. If we are not able to access superior products or new medical products, including biopharmaceuticals or medical devices, on a cost-effective basis or if suppliers are not able to fulfill our requirements for such products, we could face attrition with respect to our participants or healthcare providers and other personnel and other negative consequences which could have a material adverse effect on our business, results of operations, financial condition and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recently completed the acquisition of certain pharmacy assets and we have no previous experience managing our own pharmacy services.</w:t>
      </w:r>
    </w:p>
    <w:p>
      <w:pPr>
        <w:spacing w:after="0" w:line="1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January 2025, we completed the acquisition of certain pharmacy assets from TRHC and entered into a services agreement with TRHC to provide management services to our pharmacy business with an initial term of five years. We have no previous experience in the pharmacy business and may encounter significant problems as a result of our failure to foresee the challenges of providing pharmacy services. If our assumptions regarding risks and uncertainties that we used to plan our pharmacy business are incorrect or change as we gain more experience operating the business or due to changes in the industry, or if we do not address these challenges successfully, our operating and financial results could suffer materially. Further, we may not be able to realize the cost benefits we expect from operating our own pharmacy subsidiary due to changes in reimbursement or for other reasons. Our pharmacy business also subjects us to additional extensive federal, state, and local regulation governing various aspects of the business, including the distribution and dispensing of drugs; licensure of facilities and professionals; packaging, storing, distributing, shipping, and tracking of pharmaceuticals; repackaging of drug products; labeling consumer disclosures; interactions with prescribing professionals; supply chain security; as well as additional requirements of various governmental authorities, including state boards of pharmacy and the U.S. Consumer Product Safety Commission. The failure to adhere to any of these laws and regulations may expose us to severe civil and criminal penalties.</w:t>
      </w:r>
    </w:p>
    <w:p>
      <w:pPr>
        <w:spacing w:after="0" w:line="14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operations effectively, we may be unable to execute our business plan, maintain effective levels of service and participant satisfaction or adequately address competitive challenges.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experienced, and may continue to experience, organizational change and growth, which has placed, and may continue to place, significant demands on our management and our operational and financial resources. Additionally, our organizational structure continues to become more complex as we grow and expand our operational, financial and management controls, as well as our reporting systems and procedures as a public company. We may require significant capital expenditures and the allocation of valuable management resources to grow and evolve our operational and financial operations. We must ensure our personnel have the necessary licenses and competencies and continue to effectively train and manage our employees. We will be unable to manage our business effectively if we are unable to alleviate the strain on resources caused by growth in a timely and efficient manner. In fiscal year 2025, our participant base grew by 10.3% compared to the prior fiscal year, and we intend to continue focusing on growing our participant base as part of our growth strategy. If we fail to effectively manage our potential growth or fail to ensure that the level of care and services provided by our employees complies with regulatory and contractual requirements and levels of patient service and satisfaction, our brand and reputation, could suffer, adversely affecting our ability to attract and retain participants and employees and could also lead to corrective actions or sanctions.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healthcare industry is highly competitive and, if we are not able to compete effectively, our business could be harmed.</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compete directly with national, regional and local providers of healthcare for participants and clinical providers, including new or growing participants and providers. We also compete directly with payors, such as with Medicare Advantage Special Needs Plans, and other alternate managed care programs for participants. Some of our competitors may have greater brand recognition and be more established in their respective communities than we are, and may have greater financial and other resources than we have. Further, our current or potential competitors may be acquired by third parties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with greater available resources. Competing providers may also offer different programs or services than we do, which, combined with the foregoing factors, may result in our competitors being more attractive to our current participants, potential participants and referral sources. For example, additional offerings by MA, particularly for dual eligible seniors, and other competitors during 2025 resulted in higher than expected disenrollments during fiscal year 2025. Furthermore, to the extent that competitive forces cause our budgeted routine capital expenditures to increase in the future beyond the amounts we set to keep them competitive, our financial condition may be negatively affected. In addition, our contracts with government payors are not exclusive for PACE programs in California, and competitors in California could seek to establish contracts with the state Medicaid agency and CMS to serve PACE eligible participants in our service areas. For example, the service area for our Sacramento, California center overlaps with an existing PACE program in the region. Additionally, as we continue expanding into new geographies, we may encounter competitors with stronger local community relationships or brand recognition, which could give those competitors an advantage in attracting new participants. Individual physicians, physician groups and companies in other healthcare industry segments, some of which have greater financial, marketing and staffing resources, may become competitors in providing healthcare services, and this competition may have a material adverse effect on our business operations and financial position.</w:t>
      </w:r>
    </w:p>
    <w:p>
      <w:pPr>
        <w:spacing w:after="0" w:line="14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presence is currently limited to six states, with a significant percentage of our operations in the State of Colorado. As a result, we are particularly susceptible to regulatory issues and reduction in budget appropriations for our services or any other adverse developments in that state.</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currently operate in California, Colorado, Florida, New Mexico, Pennsylvania and Virginia. For the year ended June 30, 2025, almost half of our consolidated revenue was driven by our businesses in Colorado, with 43% of our consolidated revenue derived from contracts specifically with government agencies in the State of Colorado</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Accordingly, any regulatory issues and developments in the six states, and particular in Colorado such as a reduction in Colorado’s budgetary appropriations for our services, whether as a result of fiscal constraints due to recession, emergency situations, such as pandemics,</w:t>
      </w:r>
    </w:p>
    <w:p>
      <w:pPr>
        <w:spacing w:after="0" w:line="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changes in policy or otherwise, have resulted and could in the future result, in a reduction in our capitated fee payments and possibly the loss of contracts, and materially adversely impact our results. Further, our concentrated operations limit our ability to mitigate many of the risks described in these risk factors by a diversification of geographic focus.</w:t>
      </w:r>
    </w:p>
    <w:p>
      <w:pPr>
        <w:spacing w:after="0" w:line="13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order to continue expanding our operations to other regions of the United States, we devote significant resources to identifying and exploring perceived opportunities. Thereafter, we have to, among other things, recruit and retain qualified personnel, develop and grow new centers and establish new relationships or contracts with physicians and other healthcare and services providers. In addition, we are required to comply with laws and regulations of states that may differ from the ones in which we currently operate, and could face competitors with greater knowledge of such local markets. We anticipate that further geographic expansion will require us to make a substantial investment of management time, capital and/or other resources. There can be no assurance that we will be able to continue to expand our operations in new geographic markets.</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including disruptions in our disaster recovery systems, have in the past and could in the future compromise sensitive information related to our business or our participants, or prevent us from accessing critical information and expose us to liability, and could adversely affect our business and our reputation.</w:t>
      </w:r>
    </w:p>
    <w:p>
      <w:pPr>
        <w:spacing w:after="0" w:line="13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information technology systems facilitate our ability to conduct our business. In the ordinary course of our business, we create, receive, maintain, transmit, collect, store, use, disclose, share and process (collectively, “Process”) sensitive data, including PHI/PII relating to our employees, participants and others. We also contract with third-party service providers to Process sensitive information, including PHI/PII, confidential information and other proprietary business information. We manage and maintain PHI/PII and other sensitive data and information using both on premise and cloud-based systems. Third-party service providers that serve our participants Process PHI/PII data either in their own on-site systems, at managed or co-located data centers, or in the cloud.</w:t>
      </w:r>
    </w:p>
    <w:p>
      <w:pPr>
        <w:spacing w:after="0" w:line="14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our Electronic Medical Records (“EMR”) system and Epic to securely Process PHI/PII and other sensitive data and information. Security breaches or disruptions of this infrastructure, whether ours or of our third-party service providers, including physical or electronic break-ins, computer viruses, ransomware or other cybersecurity incidents, attacks by hackers and similar breaches, weather-related disruptions, and employee or contractor error, negligence or malfeasance, have occurred in the past, and have in the past and could in the future, create system disruptions, shutdowns or unauthorized access, acquisition, use, disclosure or modifications of such data or information, and could cause PHI/PII to be accessed, acquired, used, disclosed or modified without authorization, to be made publicly available, or to be further accessed, acquired, used or disclosed.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use third-party service providers for important aspects of the Processing of employee and participant PHI/PII and other confidential and sensitive data and information, and therefore rely on third parties to manage functions that have material cybersecurity risks. Because of the sensitivity of the PHI/PII and other sensitive data and information that we and our service providers Process, the security of our technology platform and other aspects of our services, including those provided or facilitated by our third-party service providers, are important to our operations and business strategy. We have implemented certain administrative, physical and technological safeguards through our Cybersecurity Program to address these risks; however, such policies and procedures may not address certain HIPAA requirements or address situations that could lead to increased privacy or security risks. However, some PACE organizations that we have acquired in the past or may acquire in the future may not have implemented such agreements with their third-party service providers, which may expose us to legal claims or proceedings, liability, and penalties. We may be required to expend significant capital and other resources to protect against security breaches, to safeguard the privacy, security, and confidentiality of PHI/PII and other sensitive data and information, to investigate, contain, remediate, and mitigate actual or potential security breaches, and/or to report security breaches to participants, employees, regulators, media, credit bureaus, and other third parties in accordance with applicable law and to offer complimentary credit monitoring, identity theft protection, and similar services to participants and/or employees where required by law or otherwise appropriate. Cyber-attacks are becoming more sophisticated including with the use of artificial intelligence, and frequent, and we or our third-party service providers may be unable to anticipate these techniques or to implement adequate protective measures against them or to prevent future attacks. The prevalence of smart/handheld devices and the remote work environment has increased these risks. We exercise limited control over our third-party service providers and, in the case of some third-party service providers, may not have evaluated the adequacy of their security measures, which increases our vulnerability to problems with services they provide.</w:t>
      </w:r>
    </w:p>
    <w:p>
      <w:pPr>
        <w:spacing w:after="0" w:line="15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 security breach, security incident, or privacy violation that leads to unauthorized use, disclosure, access, acquisition, loss or modification of, or that prevents access to or otherwise impacts the confidentiality, security, or integrity of, participant or employee information, including PHI/PII that we or our third-party service providers process, could harm our reputation and business, compel us to comply with breach notification laws, cause us to incur significant costs for investigation, containment, remediation, mitigation, fines, penalties, settlements, notification to individuals, regulators, media, credit bureaus, and other third parties, complimentary credit monitoring, identity theft protection, training and similar services to participants and/or employees where required by law or otherwise appropriate, for measures intended to repair or replace systems or technology and to prevent future occurrences. We may also be subject to potential increases in insurance premiums, resulting in increased costs or loss of revenue.</w:t>
      </w:r>
    </w:p>
    <w:p>
      <w:pPr>
        <w:spacing w:after="0" w:line="1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Even in the case of cybersecurity incidents on our third-party service-providers, we remain responsible under HIPAA for our participants’ PHI/PII and any failure on our part to comply with HIPAA in connection with such data could be subject to civil penalties, resolution agreements, monitoring or similar agreements or other enforcement action.</w:t>
      </w:r>
    </w:p>
    <w:p>
      <w:pPr>
        <w:spacing w:after="0" w:line="15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If we or our third-party service providers are unable to prevent or mitigate security breaches, security incidents or privacy violations,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participants, loss of reputation, adverse impacts on participant and investor confidence, financial loss, governmental investigations or other actions, regulatory or contractual penalties, and other claims and liability. In addition, security breaches and incidents and other compromise or inappropriate access to, or acquisition or processing of, PHI/PII or other sensitive data or information can be difficult to detect, and any delay in identifying such breaches or incidents or in providing timely notification of such incidents may lead to increased harm and increased penalties.</w:t>
      </w:r>
    </w:p>
    <w:p>
      <w:pPr>
        <w:spacing w:after="0" w:line="1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accurately estimate incurred but not reported medical expenses could adversely affect our results of operations.</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External provider costs include estimates of future medical claims that have been incurred by the participant but for which the provider has not yet billed. These claim estimates are made utilizing actuarial methods and are continually evaluated and adjusted by management, based upon our historical claims experience and other factors, including an independent assessment by a nationally recognized actuarial firm. Positive or negative adjustments, if necessary, are made when the assumptions used to determine our claims liability change and when actual claim costs are ultimately determined.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uncertainties associated with the factors used in these estimates and changes in the patterns and rates of medical utilization, materially different amounts could be reported in our financial statements for a particular period under different conditions or using different, but still reasonable, assumptions. It is possible that our estimates of this type of claim may be excessive or inadequate in the future and we may be obligated to repay certain amounts to CMS. In such event, our results of operations would be adversely impacted. Further, the inability to estimate these claims accurately may also affect our ability to take timely corrective actions, further exacerbating the extent of any adverse effect on our results of operations.</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our operational and financial results vary depending upon the time of year in which they are measured. For example, medical costs vary seasonally depending primarily on the weather because certain illnesses, such as the influenza, COVID-19 and respiratory syncytia viruses, are far more prevalent during colder months of the year. Historically, we have seen higher levels of per-participant medical costs in the second and third quarters of our fiscal year.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lease half of our centers and may experience risks relating to lease termination, lease expense escalators, lease extensions and special charges.</w:t>
      </w:r>
    </w:p>
    <w:p>
      <w:pPr>
        <w:spacing w:after="0" w:line="19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currently lease 10 of our 20 centers. Our leases typically have terms of nine years, and generally provide for renewal or extension options for an average total potential term of approximately 23 years. However, there can be no assurance that these rights will be exercised in the future or that we will be able to satisfy the conditions precedent to exercising any such renewal or extension. Each of our lease agreements provides that the lessor may terminate the lease, subject to applicable cure provisions, for a number of reasons, including the defaults in any payment of rent, taxes or other payment obligations or the breach of any other covenant or agreement in the lease. If a lease agreement is terminated or if we are unable to renew or extend any of our leases, we may lose the center subject to that lease agreement. If we are not able to renew or extend our leases at or prior to the end of the existing lease terms, or if the terms of such options are unfavorable or unacceptable to us, our business, financial condition and results of operation could be adversely affected.</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as well as weather and other factors, have affected, and could in the future adversely affect our business.</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future pandemic, epidemic or outbreak of an infectious disease may adversely affect our business if one or all of the geographies we serve is affected by such outbreak, particularly at the onset of any such outbreak before response protocols have been developed. Specifically, if our participants fall ill due to an outbreak, such as during the COVID-19 pandemic, we may experience a high level of unexpected deaths, increased costs, difficulties adhering to the complex government laws and regulations that apply to our business (including difficulties enrolling participants), and other effects, including a loss of revenue, negative publicity, litigation and inquiries from government regulators.</w:t>
      </w:r>
    </w:p>
    <w:p>
      <w:pPr>
        <w:spacing w:after="0" w:line="15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our results of operations have been, and may in the future be, negatively impacted by adverse conditions affecting our centers, including severe weather events such as tornadoes, hurricanes and widespread winter storms, floods, fires, earthquakes, power losses, violence or threats of violence or other factors beyond our control that cause disruption in provision of participant services, displacement of our participants, employees and care teams, or force certain of our centers to close temporarily. Our insurance coverage may not compensate us for losses that may occur in the event of an earthquake or other significant natural disaster. In certain geographic areas, we have a large concentration of centers that may be simultaneously affected by health emergencies, adverse weather conditions or other events. Our future operating results may be adversely affected by these and other factors that disrupt the operation of our centers.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Allegations that we have failed to adhere to all of the complex government laws and regulations that apply to our business have had, and could in the future have, a material adverse effect on our business, results of operations, financial condition, cash flows, reputation and stock price.</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operations are subject to extensive federal, state and local government laws and regulations, such as:</w:t>
      </w:r>
    </w:p>
    <w:p>
      <w:pPr>
        <w:spacing w:after="0" w:line="177" w:lineRule="exact"/>
        <w:rPr>
          <w:sz w:val="20"/>
          <w:szCs w:val="20"/>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Medicare, federal and state Medicaid, and federal and state PACE statutes and regulations, which are continuously changing and evolving;</w:t>
      </w:r>
    </w:p>
    <w:p>
      <w:pPr>
        <w:spacing w:after="0" w:line="123"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anti-kickback and self-referral laws, which prohibit, among other things, the knowing and willful offer, payment, solicitation or receipt of any bribe, kickback or remuneration, whether in cash or in kind, for referring an individual, in return for ordering, leasing, purchasing or recommending or arranging for or to induce the referral of an individual or the ordering, purchasing or leasing of items or services covered, in whole or in part, by federal healthcare programs, such as Medicare and Medicaid, or by any payor;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960" w:hanging="318"/>
        <w:spacing w:after="0" w:line="252"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laws, including the FCA and associated regulations, which impose civil penalties through governmental, whistleblower or qui tam actions, on individuals or entities for, among other things, knowingly submitting false or fraudulent claims for payment to the government or knowingly making, or causing to be made, a false statement in order to have a claim paid. When an entity is determined to have violated the FCA, the government may impose civil fines and penalties ranging from $14,308 to $28,619 for each false claim, plus treble damages, and exclude the entity from participation in Medicare, Medicaid and other federal healthcare programs;</w:t>
      </w:r>
    </w:p>
    <w:p>
      <w:pPr>
        <w:spacing w:after="0" w:line="145"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which impose criminal penalties on individuals who make or present a false, fictitious, or fraudulent claim to the government that the individual knew was false, fictitious, or fraudulent, and was made with the specific intent to violate the law or with a consciousness of wrongdoing;</w:t>
      </w:r>
    </w:p>
    <w:p>
      <w:pPr>
        <w:spacing w:after="0" w:line="138"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false claims laws, which generally follow the FCA and apply to claims submitted to state healthcare programs, and state health insurance fraud laws that impose penalties for the submission of false or fraudulent claims by providers to commercial insurers or other payors of healthcare services;</w:t>
      </w:r>
    </w:p>
    <w:p>
      <w:pPr>
        <w:spacing w:after="0" w:line="151" w:lineRule="exact"/>
        <w:rPr>
          <w:rFonts w:ascii="Times New Roman" w:cs="Times New Roman" w:eastAsia="Times New Roman" w:hAnsi="Times New Roman"/>
          <w:sz w:val="18"/>
          <w:szCs w:val="18"/>
          <w:color w:val="auto"/>
        </w:rPr>
      </w:pPr>
    </w:p>
    <w:p>
      <w:pPr>
        <w:jc w:val="both"/>
        <w:ind w:left="960" w:hanging="318"/>
        <w:spacing w:after="0" w:line="252"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Statute and associated regulations, which impose civil fines for, among other things, the offering or transfer of remuneration to a Medicare or state healthcare program beneficiary if the person knows or should know such remuneration is likely to influence the beneficiary’s selection of a particular provider or supplier of services reimbursable by Medicare or a state healthcare program, unless an exception applies, and which authorize assessments and program exclusion for various forms of fraud and abuse involving the Medicare and Medicaid programs;</w:t>
      </w:r>
    </w:p>
    <w:p>
      <w:pPr>
        <w:spacing w:after="0" w:line="145" w:lineRule="exact"/>
        <w:rPr>
          <w:rFonts w:ascii="Times New Roman" w:cs="Times New Roman" w:eastAsia="Times New Roman" w:hAnsi="Times New Roman"/>
          <w:sz w:val="18"/>
          <w:szCs w:val="18"/>
          <w:color w:val="auto"/>
        </w:rPr>
      </w:pPr>
    </w:p>
    <w:p>
      <w:pPr>
        <w:jc w:val="both"/>
        <w:ind w:left="960" w:hanging="318"/>
        <w:spacing w:after="0" w:line="304" w:lineRule="auto"/>
        <w:tabs>
          <w:tab w:leader="none" w:pos="9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healthcare fraud statute and its implementing regulations, which created federal criminal laws that prohibit, among other things, executing or attempting to execute a scheme to defraud any healthcare benefit program or making false statements relating to healthcare matters;</w:t>
      </w:r>
    </w:p>
    <w:p>
      <w:pPr>
        <w:spacing w:after="0" w:line="101" w:lineRule="exact"/>
        <w:rPr>
          <w:rFonts w:ascii="Times New Roman" w:cs="Times New Roman" w:eastAsia="Times New Roman" w:hAnsi="Times New Roman"/>
          <w:sz w:val="17"/>
          <w:szCs w:val="17"/>
          <w:color w:val="auto"/>
        </w:rPr>
      </w:pPr>
    </w:p>
    <w:p>
      <w:pPr>
        <w:jc w:val="both"/>
        <w:ind w:left="960" w:hanging="318"/>
        <w:spacing w:after="0" w:line="259"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regarding the collection, use disclosure and protection of personal identifiable information, or PII, and protected health information, or PHI (e.g., HIPAA and the CCPA), and the storage, handling, shipment, disposal and/or dispensing of pharmaceuticals and blood products and other biological materials, and many other applicable state and federal laws and requirements;</w:t>
      </w:r>
    </w:p>
    <w:p>
      <w:pPr>
        <w:spacing w:after="0" w:line="15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statutes and regulations that govern workplace health and safety;</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policies that require healthcare providers to maintain licensure, certification or accreditation to provide services to patients or to enroll and participate in the Medicaid programs, to report certain changes in their operations to the agencies that administer these programs and, in some cases, to re-enroll in these programs when changes in direct or indirect ownership occur;</w:t>
      </w:r>
    </w:p>
    <w:p>
      <w:pPr>
        <w:spacing w:after="0" w:line="138"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scope of practice and other laws pertaining to the provision of services by qualified healthcare providers, including those pertaining to the provision of services by nurse practitioners and physician assistants in certain settings and requirements for physician supervision of those services;</w:t>
      </w:r>
    </w:p>
    <w:p>
      <w:pPr>
        <w:spacing w:after="0" w:line="15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restricting the corporate practice of medicine; and</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or state consumer protection laws that regulate various trade practices (e.g. consumer communications or consumer-facing activities).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to the above, PACE contracts also impose complex and extensive requirements upon our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manuals, policies, and other guidance may affect our operations.</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various laws, regulations, and agency guidance that apply or relate to our operations are often subject to varying interpretations, and additional laws and regulations potentially affecting healthcare organizations continue to be promulgated and issued. A violation or departure from any of the legal requirements applicable to our business may result in, among other things, government audits, decreased payment rates, significant fines and penalties, the potential loss of licensure or certification, recoupment efforts or retractions of reimbursement previously paid, voluntary repayments, exclusion from governmental healthcare programs, written warnings, corrective action plans, monitoring, reputational harm, suspension of new enrollment or the restriction of current enrollment, the withholding of payments under the PACE program agreement, and termination of the PACE program agreement. These legal requirements may be civil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administrative in nature. We are subject to federal and state regulations that require PACE organizations to maintain fiscally sound operations, as defined by CMS and applicable state agencies. We submit regular financial reports to governmental authorities and are subject to routine financial reviews and audits by both CMS and state agencies. For example, federal and state governments evaluate our assets and liabilities, cash flows, and net operating surpluses against specific regulatory requirements. From time to time, federal and state authorities may identify aspects of the finances of our PACE organizations that do not comply with federal or state requirements and may require us to submit clarifications and/or take action to adjust the capitalization or other financial status of such entities. As state agencies promulgate additional regulations applicable to PACE and issue sub-regulatory guidance, we will have to allocate sufficient resources to ensure compliance with both federal and state regulations.</w:t>
      </w:r>
    </w:p>
    <w:p>
      <w:pPr>
        <w:spacing w:after="0" w:line="14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endeavor to comply with all legal requirements, including structuring our relationships with physicians, providers, and other third parties to comply with state and federal anti-kickback laws and other applicable healthcare laws. However, the laws and regulations in these areas are complex, changing and often subject to varying interpretations, and any failure to satisfy applicable laws and regulations could have a material adverse impact on our business, results of operations, financial condition, cash flows and reputation. We may face penalties, including penalties under the FCA, if we fail to report and return government overpayments within 60 days of when the overpayment is identified and quantified. See Item 1A. Risk Factors, “Risks Related to Our Business-- We are subject to legal proceedings, enforcement actions and litigation, malpractice and privacy disputes, which are costly to defend and could materially harm our business and results of operations.” Additionally, the federal government has used the FCA to prosecute a wide variety of alleged false claims and fraud allegedly perpetrated against Medicare, Medicaid, and other federally funded healthcare programs. Moreover, following amendments to the federal Anti-Kickback Statute under the ACA, claims that are implicated by Anti-Kickback Statute violations are also subject to liability under the FCA, including qui tam or whistleblower suits. In recent years, the number of suits brought in the medical industry by private individuals has increased dramatically. Given the high volume of claims processed by our various operating units, the potential is high for substantial penalties in connection with any alleged FCA violations.</w:t>
      </w:r>
    </w:p>
    <w:p>
      <w:pPr>
        <w:spacing w:after="0" w:line="13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provisions of the FCA, the federal government can use several criminal statutes to prosecute persons who are alleged to have submitted false or fraudulent claims for payment to the federal government.</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any of our operations are found to violate these or other government laws or regulations, we could suffer severe consequences that would have a material adverse effect on our business, results of operations, financial condition, cash flows, reputation and stock price, including:</w:t>
      </w:r>
    </w:p>
    <w:p>
      <w:pPr>
        <w:spacing w:after="0" w:line="124" w:lineRule="exact"/>
        <w:rPr>
          <w:sz w:val="20"/>
          <w:szCs w:val="20"/>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termination or exclusion of our participation in government payment programs;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of amounts received in violation of law or applicable payment program requirements dating back to the applicable statute of limitation periods;</w:t>
      </w:r>
    </w:p>
    <w:p>
      <w:pPr>
        <w:spacing w:after="0" w:line="136"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or civil liability, fines, damages or monetary penalties for violations of healthcare fraud and abuse laws, including the Anti-Kickback Statute, Civil Monetary Penalties Statute and FCA, or other failures to meet regulatory requirements;</w:t>
      </w:r>
    </w:p>
    <w:p>
      <w:pPr>
        <w:spacing w:after="0" w:line="12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by governmental agencies and/or state law claims for monetary damages for patients or employees relating to breach or impermissible use or disclosure of, or other incident relating to PHI and other types of personal data or PII that we collect, use, and disclose, in violation of federal or state privacy laws, including, for example and without limitation, HIPAA or state data privacy and security laws;</w:t>
      </w:r>
    </w:p>
    <w:p>
      <w:pPr>
        <w:spacing w:after="0" w:line="138"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changes to our practices or procedures that could significantly increase operating expenses;</w:t>
      </w:r>
    </w:p>
    <w:p>
      <w:pPr>
        <w:spacing w:after="0" w:line="190"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and compliance with corporate integrity agreements, monitoring agreements or corrective action plans that could subject us to ongoing audits and reporting requirements as well as increased scrutiny of our billing and business practices;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various relationships and/or contracts related to our business, including joint venture arrangements, real estate leases and consulting agreements; and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which could negatively impact our business relationships, affect our ability to attract and retain participants and healthcare professionals, affect our ability to obtain financing and decrease access to new business opportunities, among other things.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from time to time, and may in the future continue to be, a party to various lawsuits, demands, claims, governmental investigations, audits (including investigations or other actions resulting from our obligation to self-report suspected violations of law), and other legal matters. Responding to subpoenas, requests for information, investigations and other lawsuits, claims, and legal proceedings as well as defending ourselves in such matters has required management’s attention and caused us to incur significant legal expense. It is possible that criminal proceedings may be initiated against us and/or individuals in our business in connection with investigations by the federal government. The results of such lawsuits cannot be predicted. Qui tam actions are filed under seal and impose a mandatory duty on the U.S. DOJ to investigate such allegations, and because qui tam suits are filed under seal, we could be subject to suits of which we are not aware or have been ordered by the presiding court not to discuss or disclose.</w:t>
      </w:r>
    </w:p>
    <w:p>
      <w:pPr>
        <w:spacing w:after="0" w:line="14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our healthcare professionals, and the centers in which we operate, are subject to various federal, state and local licensing, certification and other laws and regulations, relating to, among other things, the quality of medical care, equipment, privacy of health information, physician relationships, telehealth, personnel and operating policies and procedures. Failure to comply with these licensing and certification laws, regulations and standards could result in cessation of our services, recoupment of prior payments by government payors, corrective action plans, the suspension of participant enrollment or requirements to make significant changes to our operations and can give rise to civil or, in certain cases, criminal penalties. While we endeavor to comply with federal, state and local licensing and certification laws and regulations and standards as we interpret them, the laws and regulations in these areas are complex, changing and often subject to varying interpretations. Any failure to satisfy applicable laws and regulations could have a material adverse impact on our business, results of operations, financial condition, cash flows, and reputation.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adapt to changes in the healthcare industry, including changes to laws and regulations regarding or affecting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our business could be harmed.</w:t>
      </w:r>
    </w:p>
    <w:p>
      <w:pPr>
        <w:spacing w:after="0" w:line="17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Federal, state, and local legislative bodies frequently pass legislation and administrative agencies promulgate regulations relating to healthcare reform or that affect the healthcare industry. As has been the trend in recent years, we expect a continued increase in government oversight and regulation of the healthcare industry. We cannot assure our shareholders as to the ultimate content, timing or effect of any new healthcare legislation or regulations, nor is it possible at this time to estimate the impact of potential new legislation or regulations on our business.</w:t>
      </w:r>
    </w:p>
    <w:p>
      <w:pPr>
        <w:spacing w:after="0" w:line="14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Since nearly all of our revenue is derived from government payors, we are continually subject to regulatory changes. Federal and state legislators routinely introduce and consider proposed legislation that would impact Medicare, Medicaid, and PACE funding and operations, and state and federal agencies also consider and implement regulations and guidance that impact our business. For example, the OBBBA includes provisions that would significantly reduce federal Medicaid spending over the next decade through new work requirements for Medicaid recipients aged 19 to 64, increase the frequency of eligibility verifications of Medicaid enrollees, introduce cost-sharing measures for Medicaid beneficiaries, and reduce funding for long-term care and home- and community-based services. See “Risk Factors—If we are unable to attract new participants and retain existing participants, our revenue growth will be adversely affected” and “Risk Factors—Our revenues and operations are dependent upon a limited number of government payors, particularly Medicare and Medicaid.” Additionally, changes in the leadership of federal agencies under the Trump Administration may also lead to new policies and changes in such agencies’ regulations and operations. Similarly, changes in private payor reimbursement policies could lead to adverse changes in Medicare, Medicaid and other governmental healthcare programs, which could have a material adverse effect on our business, financial condition and result of operations. We cannot predict with certainty the impact that any particular federal and state healthcare legislation or regulation will have on us, but such changes could impose new and/or more stringent regulatory requirements on our activities or result in reduced payment rates, any of which could adversely affect our business, financial condition, and results of operations.</w:t>
      </w:r>
    </w:p>
    <w:p>
      <w:pPr>
        <w:spacing w:after="0" w:line="1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There can be no assurance that regulators will agree that we have structured our agreements and operations in material compliance with applicable healthcare laws and regulations or that we will be able to successfully address changes in the current legislative and regulatory environment. Moreover,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Laws regulating the corporate practice of medicine could restrict the manner in which we are permitted to conduct our business, and the failure to comply with such laws could subject us to penalties or require a restructuring of our business.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Some of the states in which we currently operate, as well as states in which we may operate in the future, have laws that prohibit business entities, such as us, from practicing medicine, employing physicians or other clinicians to practice medicine, exercising control over medical decisions by physicians or other clinicians or engaging in certain arrangements, such as fee-splitting, with physicians or other clinicians (such activities generally referred to as the “corporate practice of medicine”). In some states, these prohibitions are expressly stated in a statute or regulation, while in other states the prohibition is a matter of judicial or regulatory interpretation. For example, in Pennsylvania, the statutes that pertain to the employment of healthcare practitioners by healthcare centers do not explicitly include a PACE organization in the list of healthcare centers by which a healthcare practitioner may be employed. While we endeavor to comply with state corporate practice of medicine laws and regulations as we interpret them, the laws and regulations in these areas are complex, changing, and often subject to varying interpretations. The interpretation and enforcement of these laws vary significantly from state to state.</w:t>
      </w:r>
    </w:p>
    <w:p>
      <w:pPr>
        <w:spacing w:after="0" w:line="15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Penalties for violations of the corporate practice of medicine vary by state and may result in physicians being subject to disciplinary action, as well as forfeiture of revenues from payors for services rendered. For business entities, such as us, violations may also bring both civil and, in more extreme cases, criminal liability for engaging in medical practice without a license, as well as obligations to restructure the implicated arrangements.</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use, disclosure, and other processing of PHI/PII is subject to HIPAA, CCPA as amended by the CPRA and other federal and state privacy and security regulations, and our failure to comply with those laws and regulations or to adequately secure the information we hold could result in significant liability or reputational harm and, in turn, a material adverse effect on our participant base and revenue.</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Numerous state and federal laws and regulations, govern the collection, dissemination, use, disclosure, destruction, retention, privacy, confidentiality, security, availability, integrity and other processing of PHI/PII. These laws and regulations include HIPAA. HIPAA establishes a set of national privacy and security standards for the protection of PHI by health plans, healthcare clearinghouses, and certain healthcare providers, referred to as covered entities, which includes the Company, and the business associates with whom such covered entities contract for services. A business associate is any person or entity (other than members of a covered entity’s workforce) that performs a service for or on behalf of a covered entity involving the use or disclosure of PHI.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4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HIPAA imposes mandatory penalties for certain violations. Under a notice of enforcement discretion issued by HHS in 2019 and annually adjusted by the HHS, penalties for violations of HIPAA and its implementing regulations start at $100 (not adjusted for inflation) per violation and are not to exceed approximately $63,000 (not adjusted for inflation) per violation, subject to a cap of approximately $1.9 million (not adjusted for inflation) for violations of the same standard in a single calendar year. However, a single breach incident can result in violations of multiple standards. In addition, HIPAA provides for criminal penalties of up to $250,000 and ten years in prison, with the severest penalties for obtaining and disclosing PHI with the intent to sell, transfer or use such information for commercial advantage, personal gain or malicious harm.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HIPAA further requires that individuals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individuals or more, it must be reported to HHS without unreasonable delay, and in no case later than 60 calendar days after discovery, and HHS will automatically investigate the breach and post the name of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entity on its public breach portal. If a breach involves fewer than 500 people, the covered entity must record it in a log and notify HHS at least annually. Breaches affecting more than 500 residents in the same state or jurisdiction must also be reported to the local media. Looking ahead, it is possible that Congress could pursue a federal privacy bill to harmonize privacy regimes across states.</w:t>
      </w:r>
    </w:p>
    <w:p>
      <w:pPr>
        <w:spacing w:after="0" w:line="138"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In addition to HIPAA, numerous other federal and state laws and regulations protect the confidentiality, privacy, availability, integrity and security of individually identifiable information. State statutes and regulations vary from state to state, and these laws and regulations in many cases are more restrictive than, and may not be preempted by, HIPAA and its implementing rules. These laws and regulations are often uncertain, contradictory, and subject to changing or differing interpretations, and we expect new laws, rules and regulations regarding privacy, data protection, and information security to be proposed and enacted in the future. For example, the CCPA provides certain exceptions for PHI, but is still applicable to certain PII we process in the ordinary course of our business. The effects of the CCPA are wide-ranging and afford consumers certain rights with respect to PII, including a private right of action for data breaches involving certain personal information of California residents. In addition, the California Privacy Rights Act of 2020, or CPRA, expands the CCPA’s requirements, including by adding a new right for individuals to correct their personal information and establishing a new regulatory agency to implement and enforce the law. Other states have enacted similar privacy laws that impose new obligations or limitations in areas affecting our business and we continue to assess the impact of this state legislation on our business as additional information and guidance becomes available. Efforts at the federal level to enact similar laws have been ongoing.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This complex, dynamic legal landscape regarding privacy, data protection, and information security creates significant compliance issues for us and potentially restricts our ability to process data and may expose us to additional expense, adverse publicity, and liability. We cannot guarantee that our data privacy and security measures both internally and with our third parties will be adequate, and we may be subject to cybersecurity, ransomware or other security incidents, especially as the rapid evolution of AI leads to more complex and sophisticated attacks. Further, it is possible that laws, rules and regulations relating to privacy, data protection, or information security may be interpreted and applied in a manner that is inconsistent with our practices or those of our third-party service providers. If we or these third parties are found to have violated such laws, rules or regulations, it could result in regulatory investigations, litigation awards or settlements,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35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also publish statements to our participants that describe how we handle and protect PHI. If federal or state regulatory authorities, such as the FTC,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The FTC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failure to honor promises, such as the statements made in a privacy policy or on a website, may also constitute unfair or deceptive acts or practices in violation of the FTC Act. Additionally, the FTC has the power to enforce promises as it interprets them, and events that we cannot fully control, such as data breaches, may result in FTC enforcement and could result in civil penalties or enforcement actions. Any of the foregoing consequences could seriously harm our business and our financial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Liquidity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indebtedness could adversely affect our business.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2025, we had total outstanding debt of (i) $60.0 million principal amount under the Term Loan Facility (as defined in Note 7, “Long-term Debt” to the consolidated financial statements in this Annual Report), and (ii) $2.2 million principal amount under the convertible term loan (included in “Liabilities held for sale” in the consolidated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statements in this Annual Report). Our indebtedness requires us to use cash flows for purposes of satisfying our debt obligations. If we cannot generate sufficient cash flow to service our debt, we may need to refinance our debt, dispose of assets or issue equity to obtain necessary funds. We do not know whether we will be able to take any of these actions on a timely basis, or on terms satisfactory to us or at all.</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Additionally, our indebtedness exposes us to risks relating to fluctuations in interest rates, which can increase borrowing costs.</w:t>
      </w:r>
    </w:p>
    <w:p>
      <w:pPr>
        <w:spacing w:after="0" w:line="17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the Credit Agreement (as defined in Note 7, “Long-term Debt” to the consolidated financial statements in this Annual Report) contains a number of restrictive covenants that impose significant operating and financial restrictions on us and may limit our ability to engage in acts that may be in our long-term best interests. A breach of the covenants or restrictions under the Credit Agreement could result in an event of default under the agreement and could allow the creditors to accelerate the related debt and terminate all commitments to extend credit thereunder and could further result in the acceleration of any other debt to which a cross-acceleration or cross-default provision applies. In the event the holders of our indebtedness accelerate the repayment pursuant to an event of default, we may not have sufficient assets to repay that indebtedness or be able to borrow sufficient funds to refinance it.</w:t>
      </w:r>
    </w:p>
    <w:p>
      <w:pPr>
        <w:spacing w:after="0" w:line="1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participant services in the future could reduce our ability to compete successfully and harm our results of operations.</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operational flexibility and our ability to incur additional indebtedness, force us to maintain specified liquidity or other ratios or restrict our ability to pay dividends or make acquisitions. If we need additional capital and cannot raise it on acceptable terms, or at all, we may not be able to, among other things:</w:t>
      </w:r>
    </w:p>
    <w:p>
      <w:pPr>
        <w:spacing w:after="0" w:line="146" w:lineRule="exact"/>
        <w:rPr>
          <w:sz w:val="20"/>
          <w:szCs w:val="20"/>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enhance our participant services;</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business either by increasing enrollment or building de novo centers;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have fluctuated and may fluctuate significantly in the future, which makes our future operating results difficult to predict and could cause such results to fall below any guidance, targets or goals we provide.</w:t>
      </w:r>
    </w:p>
    <w:p>
      <w:pPr>
        <w:spacing w:after="0" w:line="13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and may fluctuate significantly, which makes it difficult for us to predict our future operating results. These fluctuations may be driven by a variety of factors, many of which are outside of our control, including, but not limited to:</w:t>
      </w:r>
    </w:p>
    <w:p>
      <w:pPr>
        <w:spacing w:after="0" w:line="124" w:lineRule="exact"/>
        <w:rPr>
          <w:sz w:val="20"/>
          <w:szCs w:val="20"/>
          <w:color w:val="auto"/>
        </w:rPr>
      </w:pPr>
    </w:p>
    <w:p>
      <w:pPr>
        <w:ind w:left="960" w:hanging="318"/>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including our ability to identify and successfully complete acquisitions and expand via de novo centers within existing and new markets;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control expenses and increases to the cost of care, including as a result of the composition of our participant pool, macroeconomic factors such as such as labor shortages, high inflation, and health emergencies;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current and future, routine and non-routine inspections, reviews, audits and investigations under federal and state government programs and contracts, and any resulting sanctions or remediation efforts as a result of such government actions; and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enforcement actions and litigation, malpractice and privacy disputes to which we are currently and may in the future be party to.</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impact of any one of the factors discussed above or any other factors discussed in this “Risk Factors” section, or the cumulative effects of a combination of such factors, could result in significant fluctuations and unpredictability in our quarterly and annual operating results. As a result of such variability and unpredictability, our revenue or operating results could fall short of our expectations or any guidance we provide and we may also fail to meet the expectations of industry or financial analysts or investors for any period. If the guidance we provide falls short or we are unable to meet the expectations of analysts or investors, the trading price of our common stock could decline substantially.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price of our common stock has significantly fluctuated since our IPO. In addition, securities markets worldwide have experienced, and are likely to continue to experience, significant price and volume fluctuations. This market volatility, as well as general economic, market or political conditions, could continue to subject the market price of our shares to wide price fluctuations regardless of our operating performance. Because we do not anticipate paying any regular cash dividends on our common stock for the foreseeable future, any return on investment in our common stock is solely dependent upon the appreciation of the price of our common stock on the open market, which due to historic fluctuation may not occur. The trading price of our shares fluctuates in response to various factors, including:</w:t>
      </w:r>
    </w:p>
    <w:p>
      <w:pPr>
        <w:spacing w:after="0" w:line="159" w:lineRule="exact"/>
        <w:rPr>
          <w:sz w:val="20"/>
          <w:szCs w:val="20"/>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results of audits, sanctions, investigations and litigation;</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or the broader stock market;</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services by us or our competitors;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research or recommendations;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macroeconomic conditions, including inflationary pressures, increased interest rates, trade wars, weather and public health events;</w:t>
      </w:r>
    </w:p>
    <w:p>
      <w:pPr>
        <w:spacing w:after="0" w:line="202"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 of us and our prospects; and</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on our indebtedness.</w:t>
      </w:r>
    </w:p>
    <w:p>
      <w:pPr>
        <w:spacing w:after="0" w:line="17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the market price and demand for our shares to fluctuate substantially. Fluctuations in the price of our shares could limit or prevent investors from readily selling their shares and may otherwise negatively affect the market price and liquidity of our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Shareholders control us, and their interests may conflict with our interests and those of our other shareholders.</w:t>
      </w:r>
    </w:p>
    <w:p>
      <w:pPr>
        <w:spacing w:after="0" w:line="18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Our Principal Shareholders own approximately 83% of our common stock, which means that they control the vote of all matters submitted to a vote of our shareholders, which enables them to control the election of the members of the Board and all other corporate decisions. This concentration of ownership may delay, deter or prevent acts that would be favored by our other shareholders. The interests of the Principal Shareholders may not always coincide with our interests or the interests of our other shareholders. Even when the Principal Shareholders cease to own shares of our common stock representing a majority of the total voting power, for so long as the Principal Shareholders continue to own a significant percentage of our common stock, the Principal Shareholders will still be able to significantly influence the composition of our Board and the approval of actions requiring shareholder approval. Accordingly, for such period of time, the Principal Shareholders will have significant influence with respect to our management, business plans and policies, including the appointment and removal of our officers, decisions on whether to raise future capital and amend our charter and bylaws, which govern the rights attached to our common stock. In particular, for so long as the Principal Shareholders continue to own a significant percentage of our common stock, the Principal Shareholders will be able to cause or prevent a change of control of us or a change in the composition of our Board and could preclude any unsolicited acquisition of us. The concentration of ownership could deprive shareholders of an opportunity to receive a premium for their shares of common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stock as part of a sale of us and ultimately might affect the market price of our common stock. In addition, this concentration of ownership may adversely affect the trading price of our common stock because investors may perceive disadvantages in owning shares in a company with significant shareholders.</w:t>
      </w:r>
    </w:p>
    <w:p>
      <w:pPr>
        <w:spacing w:after="0" w:line="1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Additionally, we are party to a Director Nomination Agreement (defined herein) with the Principal Shareholders that provides the Principal Shareholders the right to designate: (i) all of the nominees for election to our Board for so long as the Principal Shareholders collectively beneficially own at least 40% of the Original Amount (as defined therein);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If TCO Group Holdings, L.P., the investment vehicle through which the Principal Shareholders hold their investment, is dissolved, then each of the Principal Shareholders will be permitted to nominate (i) up to three directors so long as it owns at least 25% of the Original Amount, (ii) up to two directors so long as it owns at least 15% of the Original Amount and (iii) one director so long as it owns at least 5% of the Original Amount. The Principal Shareholders may also assign such right to their affiliates. The Director Nomination Agreement also provides for certain consent rights for each of the Principal Shareholders so long as such shareholder owns at least 5% of the Original Amount, including for any changes to the size of our Board.</w:t>
      </w:r>
    </w:p>
    <w:p>
      <w:pPr>
        <w:spacing w:after="0" w:line="15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Principal Shareholders and their affiliates engage in a broad spectrum of activities, including investments in the healthcare industry generally. In the ordinary course of their business activities, the Principal Shareholders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certificate of incorporation provides that neither the Principal Shareholders, any of their affiliates or any of their respective directors (including any who also serve as our officers or directors) or their affiliates have any duty to refrain from engaging, directly or indirectly, in the same business activities or similar business activities or lines of business in which we operate. The Principal Shareholders also may pursue business and investment opportunities that may be complementary to our business, and, as a result, those opportunities may not be available to us. In addition, the Principal Shareholders may have an interest in pursuing acquisitions, divestitures and other transactions that, in their judgment, could enhance their investment, even though such transactions might involve risks to our other shareholders.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we qualify for, and intend to continue relying on, exemptions from certain corporate governance requirements. Therefore, shareholders do not have the same protections as those afforded to shareholders of companies that are subject to such governance requirements.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Principal Shareholders control a majority of the voting power of our outstanding common stock. As a result, we are a “controlled company” within the meaning of the corporate governance standards of the Nasdaq Global Select Market (“Nasdaq”). Under these rules, a company of which more than 50% of the voting power for the election of directors is held by an individual, group or another company is a “controlled company” and may elect not to comply with certain corporate governance requirements, including:</w:t>
      </w:r>
    </w:p>
    <w:p>
      <w:pPr>
        <w:spacing w:after="0" w:line="141" w:lineRule="exact"/>
        <w:rPr>
          <w:sz w:val="20"/>
          <w:szCs w:val="20"/>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consist of independent directors;</w:t>
      </w:r>
    </w:p>
    <w:p>
      <w:pPr>
        <w:spacing w:after="0" w:line="190" w:lineRule="exact"/>
        <w:rPr>
          <w:rFonts w:ascii="Times New Roman" w:cs="Times New Roman" w:eastAsia="Times New Roman" w:hAnsi="Times New Roman"/>
          <w:sz w:val="18"/>
          <w:szCs w:val="18"/>
          <w:color w:val="auto"/>
        </w:rPr>
      </w:pPr>
    </w:p>
    <w:p>
      <w:pPr>
        <w:ind w:left="960" w:hanging="318"/>
        <w:spacing w:after="0" w:line="304" w:lineRule="auto"/>
        <w:tabs>
          <w:tab w:leader="none" w:pos="9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nominees to our Board are to be selected, or recommended for the Board’s selection, either by independent directors constituting a majority of the Board’s independent directors or by a nominations committee that is composed entirely of independent directors;</w:t>
      </w:r>
    </w:p>
    <w:p>
      <w:pPr>
        <w:spacing w:after="0" w:line="101"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Board and its committees.</w:t>
      </w:r>
    </w:p>
    <w:p>
      <w:pPr>
        <w:spacing w:after="0" w:line="19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currently utilize and intend to continue utilizing certain of these exemptions as long as they are available to us, and in the future, we could utilize additional exemptions. Accordingly, shareholders do not have the same protections afforded to shareholders of companies that are subject to all of the corporate governance requirements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qualify as an “emerging growth company” and a “smaller reporting company” and we have elected to comply with reduced public company reporting requirements, which could make our common stock less attractive to investors.</w:t>
      </w:r>
    </w:p>
    <w:p>
      <w:pPr>
        <w:spacing w:after="0" w:line="121"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a “smaller reporting company” as defined by the Exchange Act. For as long as we continue to qualify as an emerging growth company, we are eligible for certain exemptions from various public company reporting requirements. These exemptions include, but are not limited to, (i) not being required to comply with the auditor attestation requirements of Section 404 of the Sarbanes-Oxley Act,</w:t>
      </w:r>
    </w:p>
    <w:p>
      <w:pPr>
        <w:spacing w:after="0" w:line="1" w:lineRule="exact"/>
        <w:rPr>
          <w:sz w:val="20"/>
          <w:szCs w:val="20"/>
          <w:color w:val="auto"/>
        </w:rPr>
      </w:pPr>
    </w:p>
    <w:p>
      <w:pPr>
        <w:jc w:val="both"/>
        <w:ind w:firstLine="6"/>
        <w:spacing w:after="0" w:line="246" w:lineRule="auto"/>
        <w:tabs>
          <w:tab w:leader="none" w:pos="2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(iii) exemptions from the requirements of holding a nonbinding advisory vote on executive compensation and shareholder approval of any golden parachute payments not previously approved, and (iv) an extended transition period to comply with new or revised accounting standards applicable to public companies. We have chosen to take advantage of the extended transition period to comply with new or revised accounting standards applicable to public companies. Additionally, as long as we qualify as a smaller reporting company, we are required to present only the two most recent fiscal years of audited financial statements in our Annual Reports on Form 10-K.</w:t>
      </w:r>
    </w:p>
    <w:p>
      <w:pPr>
        <w:spacing w:after="0" w:line="15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expect to qualify as an emerging growth company until the end of fiscal year 2026, which is five fiscal years following the first sale of our common stock pursuant to an effective registration statement under the Securities Act of 1933, as amended (the “Securities Act”), which occurred in March 2021. Even after fiscal year 2026 when we no longer qualify as an “emerging growth company,” we may still qualify as a “smaller reporting company” if the market value of our common stock held by non-affiliates is below $250 million (or $700 million if our annual revenue is less than $100 million) as of December 31 in any given year, which would allow us to continue taking advantage of certain of these exemptions.</w:t>
      </w:r>
    </w:p>
    <w:p>
      <w:pPr>
        <w:spacing w:after="0" w:line="1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a result, the information that we provide to holders of our common stock may be different than those shareholders might receive from other public reporting companies in which they hold equity interests. Investors may find our common stock less attractive as a result of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spacing w:after="0" w:line="1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distract our management, which could make it difficult to manage our business, particularly after we no longer qualify as an “emerging growth company” or a “smaller reporting company.”</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Sarbanes-Oxley Act, the listing requirements of Nasdaq and other applicable securities rules and regulations. Compliance with these rules and regulations creates legal and financial compliance costs, makes some activities more difficult, time-consuming and costly and increases demand on our systems and resources, particularly after we no longer qualify as an “emerging growth company” or “smaller reporting company.”</w:t>
      </w:r>
    </w:p>
    <w:p>
      <w:pPr>
        <w:spacing w:after="0" w:line="1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Sarbanes-Oxley Act requires, among other things, that we establish and maintain effective internal controls and procedures for financial reporting. If we fail to achieve and maintain the adequacy of our internal controls, as such standards are modified, supplemented or amended from time to time, we or our auditors may conclude that we do not have effective internal controls over financial reporting in accordance with Section 404 of the Sarbanes-Oxley Act. The existence of any material weaknesses or significant deficiency in internal controls over financial reporting would require management to devote significant time and incur significant expenses to remediate any such issue. The existence of any material weaknesses or significant deficiency could cause us to reissue our financial statements, fail to meet reporting deadlines or undermine shareholders’ confidence in our reported financial statements, any of which could materially and adversely impact our stock price.</w:t>
      </w:r>
    </w:p>
    <w:p>
      <w:pPr>
        <w:spacing w:after="0" w:line="14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such as disclosures related to climate emissions, and their varying interpretations, are creating uncertainty for public companies, increasing legal and financial compliance costs and making some activities more time consuming. The application of these laws may evolve over time as new guidance is provided by regulatory and governing bodies, resulting in continuing uncertainty regarding compliance matters and higher costs necessitated by ongoing revisions to disclosure and governance practices.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Principal Shareholders’ beneficial ownership of a combined 83% of our common stock, our Director Nomination Agreement, certificate of incorporation and bylaws and the Delaware General Corporation Law (the “DGCL”), contain provisions that could make it more difficult for a third party to acquire us without the consent of our Board or the Principal Shareholders, even if doing so might be beneficial to our shareholders. Among other things, these provisions:</w:t>
      </w:r>
    </w:p>
    <w:p>
      <w:pPr>
        <w:spacing w:after="0" w:line="141" w:lineRule="exact"/>
        <w:rPr>
          <w:sz w:val="20"/>
          <w:szCs w:val="20"/>
          <w:color w:val="auto"/>
        </w:rPr>
      </w:pPr>
    </w:p>
    <w:p>
      <w:pPr>
        <w:jc w:val="both"/>
        <w:ind w:left="640" w:hanging="316"/>
        <w:spacing w:after="0" w:line="259"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spacing w:after="0" w:line="15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three-year terms;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shareholder action by written consent from and after the date on which the Principal Shareholders beneficially own, in the aggregate, less than 35% of our common stock then outstanding;</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from and after the date on which the Principal Shareholders beneficially own less than 50% of our common stock then outstanding, any amendment, alteration, rescission or repeal of our bylaws by our shareholders will require the affirmative vote of the holders of at least 66 2∕3% in voting power of all the then-outstanding shares of our stock entitled to vote thereon, voting together as a single class; and</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or for proposing matters that can be acted upon by shareholders at shareholder meetings, provided, however, that at any time when a Principal Shareholder beneficially owns at least 5% of our common stock then outstanding, such advance notice procedure will not apply to such Principal Shareholder.</w:t>
      </w:r>
    </w:p>
    <w:p>
      <w:pPr>
        <w:spacing w:after="0" w:line="13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Our certificate of incorporation contains a provision that provides us with protections similar to Section 203 of the DGCL, and prevents us from engaging in a business combination with a person (excluding the Principal Shareholders and any of their direct or indirect transferees and any group as to which such persons are a party) who acquires at least 15% of our common stock for a period of three years from the date such person acquired such common stock, unless Board or shareholder approval is obtained prior to the acquisition. These provisions could discourage, delay or prevent a transaction involving a change in control of our Company. These provisions could also discourage proxy contests and make it more difficult for minority shareholders to elect directors of their choosing and cause us to take other corporate actions shareholders desire, including actions that other shareholders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 The existence of these provisions could negatively affect the price of our common stock and limit opportunities for shareholders to realize value in a corporate transaction.</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as the exclusive forum for certain litigation that may be initiated by our shareholders and the federal district courts of the United States as the exclusive forum for litigation arising under the Securities Act, which could limit our shareholders’ ability to obtain a favorable judicial forum for disputes with us.</w:t>
      </w:r>
    </w:p>
    <w:p>
      <w:pPr>
        <w:spacing w:after="0" w:line="1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Pursuant to our certificate of incorporation,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shareholders,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However, Section 22 of the Securities Act creates concurrent jurisdiction for federal and state courts over all suits brought to enforce a duty or liability created by the Securities Act or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rules and regulations thereunder; accordingly, we cannot be certain that a court would enforce such provision. Our certificate of incorporation further provides that any person or entity purchasing or otherwise acquiring any interest in shares of our capital stock is deemed to have notice of and consented to the provisions of our certificate of incorporation described above; however, our shareholders will not be deemed to have waived our compliance with the federal securities laws and the rules and regulations thereunder. The forum selection provisions in our certificate of incorporation may have the effect of discouraging lawsuits against us or our directors and officers and may limit our shareholders’ ability to obtain a favorable judicial forum for disputes with us. If the enforceability of our forum selection provision were to be challenged, we may incur additional costs associated with resolving such a challenge. While we currently have no basis to expect any such challenge would be successful, if a court were to find our forum selection provision to be inapplicable or unenforceable, we may incur additional costs associated with having to litigate in other jurisdictions, which could have an adverse effect on our business, financial condition and results of operations and result in a diversion of the time and resources of our employees, management and Board.</w:t>
      </w:r>
    </w:p>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This could cause the market price of our common stock to drop significantly, even if our business is doing well.</w:t>
      </w:r>
    </w:p>
    <w:p>
      <w:pPr>
        <w:spacing w:after="0" w:line="1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party to a registration rights agreement with TCO Group Holdings, L.P., the investment vehicle through which the Principal Shareholders hold their investment, which requires us to effect the registration of the Principal Shareholders’ shares in certain circumstances. The Principal Shareholders are also entitled to participate in certain of our registered offerings, subject to the restrictions in the registration rights agreement. These registration rights would facilitate the resale of such securities into the public market, and any such resale would increase the number of shares of our common stock available for public trading.</w:t>
      </w:r>
    </w:p>
    <w:p>
      <w:pPr>
        <w:spacing w:after="0" w:line="1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we have registered shares of common stock that we may issue under our equity compensation plans. Such shares can be freely sold in the public market upon issuance, subject to vesting, and Rule 144 under the Securities Act.</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number of shares issued in connection with an investment or acquisition could constitute a material portion of our then-outstanding common stock.</w:t>
      </w:r>
    </w:p>
    <w:p>
      <w:pPr>
        <w:spacing w:after="0" w:line="13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Our Board has in the past approved, and may in the future approve, a share repurchase program that would subject us to certain risks, which could be exacerbated because our stock is thinly traded</w:t>
      </w:r>
      <w:r>
        <w:rPr>
          <w:rFonts w:ascii="Times New Roman" w:cs="Times New Roman" w:eastAsia="Times New Roman" w:hAnsi="Times New Roman"/>
          <w:sz w:val="21"/>
          <w:szCs w:val="21"/>
          <w:color w:val="auto"/>
        </w:rPr>
        <w:t>.</w:t>
      </w:r>
    </w:p>
    <w:p>
      <w:pPr>
        <w:spacing w:after="0" w:line="1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Board has in the past, and may in the future approve, a repurchase program to repurchase shares of our common stock. A share repurchase program would not generally obligate us to acquire any common stock, and generally could be discontinued at any time. If we fail to meet any expectations related to share repurchases in conjunction with an approved share repurchase program, we may lose market and investor confidence. In addition, our common stock is thinly traded. Thinly traded stocks pose several risks for investors because they have wider spreads and less displayed size than other stocks that trade in higher volumes. Other risks posed by thinly traded stocks include difficulty selling the stock, challenges attracting market makers to make markets in the stock, and difficulty with financings. Because our common stock is thinly traded, repurchases under future repurchase programs could impact the price of our common stock on a given day or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materially adversely affect the market price of our common stock.</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including senior or subordinated notes, debt securities convertible into equity or shares of preferred stock. In addition, we may seek to expand operations in the future to other markets which we would expect to finance through a combination of additional issuances of equity, corporate indebtedness and/or cash from operations.</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shareholders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1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comply with the continued listing requirements of the Nasdaq, our common stock could be delisted, affecting our common stock’s market price and liquidity and reducing our ability to raise capital.</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common stock is currently listed on Nasdaq. If we fail to satisfy the continued listing standards of Nasdaq, such as, for example, Nasdaq’s minimum bid price requirement or stockholders’ equity requirements, Nasdaq may issue a non-compliance letter or initiate delisting proceedings. If we are unable to maintain compliance with the continued listing requirements of Nasdaq, our common stock could be delisted, making it more difficult to buy or sell our securities and to obtain accurate quotations, and the price of our securities could suffer a material decline. Delisting could also impair our ability to raise capital through alternative financing sources on terms acceptable to us, or at all, and may result in the potential loss of confidence by investors and employees and fewer business development opportunities.</w:t>
      </w:r>
    </w:p>
    <w:p>
      <w:pPr>
        <w:spacing w:after="0" w:line="1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Cybersecurity Program (“Program”) is designed from a risk- and compliance-based approach for resilience and protection across our operations and the appropriate access, use, and/or disclosure of PHI and PII. Our Program employs the National Institute of Standards Technology (NIST) Cybersecurity Framework (CSF) and strategy to deliver multi-layered defenses and relevant technologies that are designed to control, audit, monitor, and protect access to sensitive information. We also leverage government partnerships, industry and government associations, third-party benchmarking, audits, threat intelligence feeds and other similar resources to inform our cybersecurity efforts and allocate resources.</w:t>
      </w:r>
    </w:p>
    <w:p>
      <w:pPr>
        <w:spacing w:after="0" w:line="1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maintain our Program with physical, administrative and technical safeguards, and we maintain plans and procedures whose objective is to help us prevent and respond to cybersecurity incidents. Elements of our Program include: (i) required training for our employees (including onboarding and annual training), exercises (including advanced phishing exercises), and awareness for our employees to promote vigilance of cybersecurity risks, including those that may be exacerbated by artificial intelligence, and (ii) compliance audits and assessments, which include routine technical and non-technical audits and assessments internally and in collaboration with independent third parties at least annually. In addition, we engage various third-party consultants to assist us in assessing, enhancing, implementing and monitoring our Program and responding to incidents.</w:t>
      </w:r>
    </w:p>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a company managing the use and disclosure of PHI and PII, we annually undergo internal and/or third-party HIPAA Security Rule risk assessments of our administrative, physical, and technical safeguards. In addition, external assessors periodically evaluate our safeguards against multiple frameworks, including NIST CSF.</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Program is integrated into our Enterprise Risk Management (ERM) program and includes a vendor risk management program supported by our security and compliance teams. We assess vendor cybersecurity risks according to HIPAA and NIST CSF standards and have established an oversight process which we periodically review to manage cybersecurity risks related to the products and services we procure.</w:t>
      </w:r>
    </w:p>
    <w:p>
      <w:pPr>
        <w:spacing w:after="0" w:line="13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the fiscal year ended June 30, 2025, we did not identify risks from cybersecurity threats, including as a result of previous cybersecurity incidents, that have materially affected or are reasonably likely to materially affect our business strategy, results of operations, or financial condition. While prior incidents have not had a material impact on us, future incidents could have a material impact on our business, operations, and reputation. See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breaches, loss of data and other disruptions have in the past and could in the future compromise sensitive information related to our business or our participants, or prevent us from accessing critical information and expose us to liability, and could adversely affect our business and our reputation</w:t>
      </w:r>
      <w:r>
        <w:rPr>
          <w:rFonts w:ascii="Times New Roman" w:cs="Times New Roman" w:eastAsia="Times New Roman" w:hAnsi="Times New Roman"/>
          <w:sz w:val="18"/>
          <w:szCs w:val="18"/>
          <w:color w:val="auto"/>
        </w:rPr>
        <w:t>” in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1A “Risk Factors” in this Annual Report.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While our full Board has overall responsibility for risk oversight, it has delegated primary oversight of certain risks to its committees. Our Audit Committee monitors cybersecurity risks, and the steps our management has taken to monitor and control exposures. Our Chief Information Officer (CIO) and Chief Information Security Officer (CISO) brief the Audit Committee quarterly on cybersecurity risks, updates on the regulatory and cyber landscape and significant cybersecurity events, as needed. Our Audit Committee reports to our Board on cybersecurity matters quarterly, or more often as the need arises.</w:t>
      </w:r>
    </w:p>
    <w:p>
      <w:pPr>
        <w:spacing w:after="0" w:line="12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an Information Security Team to strengthen our cybersecurity risk management activities across the Company, with its members having experience in public and private companies within the healthcare industry, as well as various cybersecurity certifications. The Information Security Team reports to our CISO who works in collaboration with our CIO, Chief Compliance Officer and General Counsel. The Information Security Team is responsible for the oversight and operation of our Program, and the management our security standards and operating procedures.</w:t>
      </w:r>
    </w:p>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Cole Naus is our CISO. Mr. Naus has over 10 years of experience in the cybersecurity industry. Mr. Naus holds a degree in Cybersecurity and Information Assurance and holds other cybersecurity certifications. Mr. Naus reports directly to Cara Babachicos, our CIO. Ms. Babachicos has over 20 years of experience in the cybersecurity industry, having previously worked as Chief Information Officer at other companies in the healthcare industry.</w:t>
      </w:r>
    </w:p>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2025, we operated an aggregate of 20 PACE centers, of which ten were owned and ten were leased, representing approximately 410,000 and 240,000 gross square feet, respectively. Our centers are located in 14 markets and six states.</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principal executive offices are located in Denver, Colorado, where we own facilities totaling approximately 290,000 square feet across the state. We occupy a 69,000 square foot facility for administration, sales and marketing, technology and development and professional services in Denver, Colorado. We also own and lease properties for operational PACE centers in Denver, Colorado; Loveland, Colorado; Pueblo, Colorado; Albuquerque, New Mexico; Los Angeles, California; Sacramento, California; San Bernardino, California; Philadelphia, Pennsylvania; Charlottesville, Virginia; Newport News, Virginia; Richmond, Virginia; Roanoke, Virginia; Orlando, Florida; and Tampa, Florida. We also own and lease properties for PACE centers that are not operational. We do not have any PACE centers or properties located outside of the United States.</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leases typically have terms of nine years, and generally provide for renewal or extension options for an average total potential term of approximately 23 years. Our lease obligations often include annual fixed rent escalators ranging between 2.0% and 3.0%. Generally, our leases are “modified gross” leases, which require us to pay the cost of insurance, taxes, maintenance and utilities, but not for costs related to the structure of the building. We generally cannot cancel these leases at our option.</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facilities and centers are adequate to meet our needs for the immediate future, and that, should it be needed, suitable additional space will be available to accommodate any such expansion of our operations.</w:t>
      </w:r>
    </w:p>
    <w:p>
      <w:pPr>
        <w:spacing w:after="0" w:line="1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From time to time, we may be involved in various legal proceedings and be subject to claims.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Civil Investigative Demands</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At this time, the Company is unable to estimate the possible losses or range of losses, if any, from this matter.</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requested information and documents regarding audits, billing, orders tracking, and quality and timeliness of patient services in connection with the Company’s PACE programs in the states where the Company operated as of 2022 (California, Colorado, New Mexico, Pennsylvania, and Virginia). In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December 2022, the Company received a supplemental civil investigative demand requesting supplemental information on the same matters. The Company and the DOJ have begun discussions to understand their respective positions on this matter. At this time, the Company is unable to estimate the possible losses or range of losses, if any, from this matter.</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October 2024, the Company received a civil investigative demand from the DOJ under the Federal False Claims Act on a similar subject matter. The demand requests information and documents regarding the Company's relationship as a PACE provider with residential care facilities in California, Colorado, Virginia and New Mexico, related housing costs, and enrollment practices. The Company is fully cooperating with the DOJ and has produced the requested information and documentation. At this time, the Company is unable to estimate the possible losses or range of losses, if any, from this matter.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Lawsuits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October 14, 2021,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asserted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w:t>
      </w:r>
    </w:p>
    <w:p>
      <w:pPr>
        <w:spacing w:after="0" w:line="1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June 2025, the Company and the other defendants entered into an agreement with the plaintiffs to settle all claims in exchange for a payment by the Company of $27.0 million. The settlement agreement received preliminary approval from the District Court on June 17, 2025, and a final approval hearing has been set for November 26, 2025. After adjusting for the settlement amounts to be paid directly by the Company's insurers, the Company accrued expenses of $10.1 million representing its share of the settlement amount during fiscal year 2025. Until the District Court grants final approval of the settlement, there can be no assurances that the settlement will be completed on the terms disclosed herein or at all.</w:t>
      </w:r>
    </w:p>
    <w:p>
      <w:pPr>
        <w:spacing w:after="0" w:line="1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April 20, 2022, the Board received a books and records demand pursuant to Section 220 of the Delaware General Corporation Law, from a purported stockholder of the Company, Brian Hall.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January 22, 2024, upon stipulation of the parties, the court entered an order further staying the litigation pending the close of fact discovery in the Securities Action or upon order of the Court granting a motion to lift the stay. On July 11, 2025, the parties informed the Court of the settlement agreement in the Securities Action and requested until September 10, 2025, to provide a further update. The parties are discussing a potential resolution of this matter, including a potential settlement. The Court has not established any further deadlines. At this time, the Company is unable to estimate the possible losses or range of losses, if any, from this matter.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June 16, 2025, Grane Supply, Inc, d/b/a Grane Rx (“Grane Rx”), the Company’s former pharmacy services vendor, filed an amended demand for arbitration before the American Arbitration Association asserting claims for breach of contract and breach of confidentiality in connection with the Company’s non-renewal and termination of its services agreements with Grane Rx resulting from a discrete Company operational initiative. Grane Rx’s demand seeks various forms of relief, including compensatory damages and injunctive relief. An arbitrator has been appointed and the parties are currently engaged in discovery. Initial mediation took place in May 2025. A final merits hearing in front of the arbitrator is expected to occur in early 2026. At this time, the Company is unable to estimate the possible losses or range of losses, if any, from this matter.</w:t>
      </w:r>
    </w:p>
    <w:p>
      <w:pPr>
        <w:spacing w:after="0" w:line="1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Refer to Note 9 “Commitments and Contingencies” to the consolidated financial statements included in this Annual Report for more information.</w:t>
      </w:r>
    </w:p>
    <w:p>
      <w:pPr>
        <w:spacing w:after="0" w:line="1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00"/>
          </w:cols>
          <w:pgMar w:left="320" w:top="293" w:right="9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7" w:lineRule="exact"/>
        <w:rPr>
          <w:sz w:val="20"/>
          <w:szCs w:val="20"/>
          <w:color w:val="auto"/>
        </w:rPr>
      </w:pPr>
    </w:p>
    <w:p>
      <w:pPr>
        <w:jc w:val="both"/>
        <w:ind w:left="720" w:hanging="714"/>
        <w:spacing w:after="0" w:line="276"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Market Information</w:t>
      </w:r>
    </w:p>
    <w:p>
      <w:pPr>
        <w:spacing w:after="0" w:line="193" w:lineRule="exact"/>
        <w:rPr>
          <w:sz w:val="20"/>
          <w:szCs w:val="20"/>
          <w:color w:val="auto"/>
        </w:rPr>
      </w:pPr>
    </w:p>
    <w:p>
      <w:pPr>
        <w:ind w:right="4440" w:firstLine="318"/>
        <w:spacing w:after="0" w:line="445" w:lineRule="auto"/>
        <w:rPr>
          <w:sz w:val="20"/>
          <w:szCs w:val="20"/>
          <w:color w:val="auto"/>
        </w:rPr>
      </w:pPr>
      <w:r>
        <w:rPr>
          <w:rFonts w:ascii="Times New Roman" w:cs="Times New Roman" w:eastAsia="Times New Roman" w:hAnsi="Times New Roman"/>
          <w:sz w:val="18"/>
          <w:szCs w:val="18"/>
          <w:color w:val="auto"/>
        </w:rPr>
        <w:t xml:space="preserve">Our common stock is listed on the Nasdaq Global Select Market under the symbol “INNV.” </w:t>
      </w:r>
      <w:r>
        <w:rPr>
          <w:rFonts w:ascii="Times New Roman" w:cs="Times New Roman" w:eastAsia="Times New Roman" w:hAnsi="Times New Roman"/>
          <w:sz w:val="18"/>
          <w:szCs w:val="18"/>
          <w:b w:val="1"/>
          <w:bCs w:val="1"/>
          <w:color w:val="auto"/>
        </w:rPr>
        <w:t>Holders of Record</w:t>
      </w:r>
    </w:p>
    <w:p>
      <w:pPr>
        <w:spacing w:after="0" w:line="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2, 2025, there were approximately ten stockholders of record for our common stock. The actual number of stockholders is greater than this number of record holders, and includes stockholders who are beneficial owners, but whose shares are held in street name by banks, brokers and other financial institutions. This number of holders of record also does not include stockholders whose shares may be held in trust by other entities.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not paid cash dividends since our initial public offering and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year ended June 30,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Repurchases of common stock during the three months ended June 30, 2025 were as follows:</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10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186"/>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Purchased as Part of</w:t>
            </w:r>
          </w:p>
        </w:tc>
        <w:tc>
          <w:tcPr>
            <w:tcW w:w="100" w:type="dxa"/>
            <w:vAlign w:val="bottom"/>
          </w:tcPr>
          <w:p>
            <w:pPr>
              <w:spacing w:after="0"/>
              <w:rPr>
                <w:sz w:val="16"/>
                <w:szCs w:val="16"/>
                <w:color w:val="auto"/>
              </w:rPr>
            </w:pPr>
          </w:p>
        </w:tc>
        <w:tc>
          <w:tcPr>
            <w:tcW w:w="210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w w:val="99"/>
              </w:rPr>
              <w:t>of Shares that May Yet Be</w:t>
            </w:r>
          </w:p>
        </w:tc>
      </w:tr>
      <w:tr>
        <w:trPr>
          <w:trHeight w:val="199"/>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ind w:right="52"/>
              <w:spacing w:after="0" w:line="199" w:lineRule="exact"/>
              <w:rPr>
                <w:sz w:val="20"/>
                <w:szCs w:val="20"/>
                <w:color w:val="auto"/>
              </w:rPr>
            </w:pPr>
            <w:r>
              <w:rPr>
                <w:rFonts w:ascii="Times New Roman" w:cs="Times New Roman" w:eastAsia="Times New Roman" w:hAnsi="Times New Roman"/>
                <w:sz w:val="18"/>
                <w:szCs w:val="18"/>
                <w:b w:val="1"/>
                <w:bCs w:val="1"/>
                <w:color w:val="auto"/>
              </w:rPr>
              <w:t>Total Number of 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60"/>
              <w:spacing w:after="0" w:line="199" w:lineRule="exact"/>
              <w:rPr>
                <w:sz w:val="20"/>
                <w:szCs w:val="20"/>
                <w:color w:val="auto"/>
              </w:rPr>
            </w:pPr>
            <w:r>
              <w:rPr>
                <w:rFonts w:ascii="Times New Roman" w:cs="Times New Roman" w:eastAsia="Times New Roman" w:hAnsi="Times New Roman"/>
                <w:sz w:val="18"/>
                <w:szCs w:val="18"/>
                <w:b w:val="1"/>
                <w:bCs w:val="1"/>
                <w:color w:val="auto"/>
                <w:w w:val="97"/>
              </w:rPr>
              <w:t>Average Price Paid per</w:t>
            </w:r>
          </w:p>
        </w:tc>
        <w:tc>
          <w:tcPr>
            <w:tcW w:w="208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Publicly Announced Plans</w:t>
            </w:r>
          </w:p>
        </w:tc>
        <w:tc>
          <w:tcPr>
            <w:tcW w:w="100" w:type="dxa"/>
            <w:vAlign w:val="bottom"/>
          </w:tcPr>
          <w:p>
            <w:pPr>
              <w:spacing w:after="0"/>
              <w:rPr>
                <w:sz w:val="17"/>
                <w:szCs w:val="17"/>
                <w:color w:val="auto"/>
              </w:rPr>
            </w:pPr>
          </w:p>
        </w:tc>
        <w:tc>
          <w:tcPr>
            <w:tcW w:w="210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w w:val="98"/>
              </w:rPr>
              <w:t>Purchased Under the Plans</w:t>
            </w:r>
          </w:p>
        </w:tc>
      </w:tr>
      <w:tr>
        <w:trPr>
          <w:trHeight w:val="272"/>
        </w:trPr>
        <w:tc>
          <w:tcPr>
            <w:tcW w:w="216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2"/>
                <w:szCs w:val="22"/>
                <w:b w:val="1"/>
                <w:bCs w:val="1"/>
                <w:color w:val="auto"/>
                <w:vertAlign w:val="superscript"/>
              </w:rPr>
              <w:t>(a)</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2"/>
                <w:szCs w:val="22"/>
                <w:b w:val="1"/>
                <w:bCs w:val="1"/>
                <w:color w:val="auto"/>
                <w:w w:val="92"/>
                <w:vertAlign w:val="superscript"/>
              </w:rPr>
              <w:t>(b)</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or Programs</w:t>
            </w:r>
            <w:r>
              <w:rPr>
                <w:rFonts w:ascii="Times New Roman" w:cs="Times New Roman" w:eastAsia="Times New Roman" w:hAnsi="Times New Roman"/>
                <w:sz w:val="22"/>
                <w:szCs w:val="22"/>
                <w:b w:val="1"/>
                <w:bCs w:val="1"/>
                <w:color w:val="auto"/>
                <w:w w:val="94"/>
                <w:vertAlign w:val="superscript"/>
              </w:rPr>
              <w:t>(a)</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or Programs</w:t>
            </w:r>
            <w:r>
              <w:rPr>
                <w:rFonts w:ascii="Times New Roman" w:cs="Times New Roman" w:eastAsia="Times New Roman" w:hAnsi="Times New Roman"/>
                <w:sz w:val="22"/>
                <w:szCs w:val="22"/>
                <w:b w:val="1"/>
                <w:bCs w:val="1"/>
                <w:color w:val="auto"/>
                <w:vertAlign w:val="superscript"/>
              </w:rPr>
              <w:t>(a)</w:t>
            </w:r>
          </w:p>
        </w:tc>
      </w:tr>
      <w:tr>
        <w:trPr>
          <w:trHeight w:val="225"/>
        </w:trPr>
        <w:tc>
          <w:tcPr>
            <w:tcW w:w="20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30, 2025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 31, 2025</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2"/>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30, 2025</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1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9" w:lineRule="exact"/>
        <w:rPr>
          <w:sz w:val="20"/>
          <w:szCs w:val="20"/>
          <w:color w:val="auto"/>
        </w:rPr>
      </w:pPr>
    </w:p>
    <w:p>
      <w:pPr>
        <w:jc w:val="both"/>
        <w:ind w:left="320" w:hanging="314"/>
        <w:spacing w:after="0" w:line="237" w:lineRule="auto"/>
        <w:tabs>
          <w:tab w:leader="none" w:pos="315"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On June 10, 2024, the Board announced the approval of a share repurchase program authorizing the repurchase of up to $5 million of the Company’s common stock, with no expiration date. On September 26, 2024, the Company announced the Board’s authorization to increase the share repurchase program by an additional $2.5 million of the Company’s common stock. As of June 30, 2025, the repurchase authorization under the program was complete. For further information regarding stock repurchase activity, see Note 16 </w:t>
      </w:r>
      <w:r>
        <w:rPr>
          <w:rFonts w:ascii="Times New Roman" w:cs="Times New Roman" w:eastAsia="Times New Roman" w:hAnsi="Times New Roman"/>
          <w:sz w:val="18"/>
          <w:szCs w:val="18"/>
          <w:i w:val="1"/>
          <w:iCs w:val="1"/>
          <w:color w:val="auto"/>
        </w:rPr>
        <w:t>Share Repurchase Program</w:t>
      </w:r>
      <w:r>
        <w:rPr>
          <w:rFonts w:ascii="Times New Roman" w:cs="Times New Roman" w:eastAsia="Times New Roman" w:hAnsi="Times New Roman"/>
          <w:sz w:val="18"/>
          <w:szCs w:val="18"/>
          <w:color w:val="auto"/>
        </w:rPr>
        <w:t xml:space="preserve"> to the consolidated financial statements in this Annual Report.</w:t>
      </w:r>
    </w:p>
    <w:p>
      <w:pPr>
        <w:spacing w:after="0" w:line="120"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does not include costs associated with the repurchases.</w:t>
      </w:r>
    </w:p>
    <w:p>
      <w:pPr>
        <w:spacing w:after="0" w:line="1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summarizes the significant factors affecting the consolidated operating results, financial condition, liquidity and cash flows of our company as of and for the periods presented below. The following discussion and analysis should be read in conjunction with our consolidated financial statements and the related notes thereto included elsewhere in this Annual Report. The discussion contains forward-looking statements that are based on the beliefs of management, as well as assumptions made by, and information currently available to, our management. Our historical results are not necessarily indicative of the results that may occur in the future and actual results could differ materially from those discussed in or implied by forward-looking statements as a result of various factors, including those discussed below and in the sections entitled “Risk Factors” and “Forward-Looking Statements” included in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InnovAge Holding Corp. (“InnovAge”) became a public company in March 2021. The Company served approximately 7,740 PACE participants as of June 30, 2025, making it the largest PACE provider in the U.S. based upon participants served, and operates 20 PACE centers across California, Colorado, Florida, New Mexico, Pennsylvania and Virginia.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9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InnovAge’s programs are designed to allow frail seniors to live life on their terms by aging in place, in their own homes and communities, for as long as safely possible. Through our Program of All-Inclusive Care for the Elderly (“PACE”), we fulfill a broad range of medical and ancillary services for seniors, including in-home care services (skilled, unskilled and personal care), center services such as primary care, physical therapy, occupational therapy, speech therapy, dental services, mental health and psychiatric services, meals, and activities; transportation to and from the PACE center and third-party medical appointments; and care management. The Company manages its business as one reportable segment, PACE.</w:t>
      </w:r>
    </w:p>
    <w:p>
      <w:pPr>
        <w:spacing w:after="0" w:line="14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the leading healthcare delivery platform by number of participants focused on providing all-inclusive, capitated care to high-cost, dual-eligible seniors. Our programs are designed to directly address two of the most pressing challenges facing the U.S. healthcare industry: rising costs and poor outcomes. The purpose of our participant-centered care delivery approach is to improve the quality of care our participants receive, while keeping them in their homes for as long as safely possible and reducing over-utilization of high-cost care settings such as hospitals and nursing homes. Our participant-centered approach is led by our Interdisciplinary Care Teams (“IDTs”), who oversee all aspects of each participant’s unique care plan and function as the core group of care providers to our participants. We directly manage and are responsible for all healthcare needs and associated costs for our participants, including housing costs, where applicable.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patient experience and (iv) addressing social determinants of health.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 Affecting the Company</w:t>
      </w:r>
    </w:p>
    <w:p>
      <w:pPr>
        <w:spacing w:after="0" w:line="17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Increased cost of care and external provider costs</w:t>
      </w:r>
      <w:r>
        <w:rPr>
          <w:rFonts w:ascii="Times New Roman" w:cs="Times New Roman" w:eastAsia="Times New Roman" w:hAnsi="Times New Roman"/>
          <w:sz w:val="18"/>
          <w:szCs w:val="18"/>
          <w:color w:val="auto"/>
        </w:rPr>
        <w:t>. In fiscal year 2025, we experienced increased cost of care per participant compared to fiscal year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partly as a result of increased salaries, wages and benefits. In fiscal year 2026, we anticipate increased cost of care from our third-party service providers in an effort to offset their heightened expenses resulting, in part, from budget pressures due to the OBBBA as well as budget cuts to providers from state Medicaid programs, as well as possible increases in cost of medical and other supplies used in order to provide healthcare services. We believe that our clinical value initiatives and operational value initiatives, which continue to be developed, may assist us in offsetting the increased cost of care anticipated for fiscal year 2026.</w:t>
      </w:r>
    </w:p>
    <w:p>
      <w:pPr>
        <w:spacing w:after="0" w:line="15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Labor market and access to supportive housing facilities</w:t>
      </w:r>
      <w:r>
        <w:rPr>
          <w:rFonts w:ascii="Times New Roman" w:cs="Times New Roman" w:eastAsia="Times New Roman" w:hAnsi="Times New Roman"/>
          <w:sz w:val="18"/>
          <w:szCs w:val="18"/>
          <w:color w:val="auto"/>
        </w:rPr>
        <w:t>. The healthcare sector continues to experience workforce shortages, particularly in geriatrics,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care and direct care roles, as well as a complex set of challenges in hiring additional professionals. Competition from health systems and home health providers for nurses, drivers and caregivers has intensified, further challenging the Company’s ability to recruit and retain staff. In addition, there are systemic challenges related to workforce training and the pipeline of qualified professionals, which have not kept pace with this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growing demand. These labor market pressures have increased wage and benefit costs, and have also affected our staffing ability which could impact our enrollment capacity and services. To mitigate these challenges, we implemented targeted compensation and retention initiatives, along with operational measures to help improve productivity and reduce reliance on agency staffing. Partially as a result of increased competition and other market trends, in conjunction with increased staffing related to our growth, there was an increase in the cost of care for the fiscal year 2025 compared to 2024, as discussed in "Results of Operations" below.</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a shortage of clinicians combined with an aging population creates increased demand on the limited number of existing residential facilities. As a result, the access of our participants to such facilities is uncertain, as such facilities may prioritize private payors or may be unable to accept participants at pre-determined rates. If we are unable to access residential facilities, we could be unable to continue providing PACE services to participants who require such facilities.</w:t>
      </w:r>
    </w:p>
    <w:p>
      <w:pPr>
        <w:spacing w:after="0" w:line="139"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Census and capitation revenue. </w:t>
      </w:r>
      <w:r>
        <w:rPr>
          <w:rFonts w:ascii="Times New Roman" w:cs="Times New Roman" w:eastAsia="Times New Roman" w:hAnsi="Times New Roman"/>
          <w:sz w:val="18"/>
          <w:szCs w:val="18"/>
          <w:color w:val="auto"/>
        </w:rPr>
        <w:t>We experienced delays and increased gaps in eligibility both for new enrollments and Medicaid redetermination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during fiscal years 2025 and 2024 due to processing delays and other enrollment and redetermination procedures that vary by State and county, especially in the State of California. In addition, it is possible that these delays could persist or be exacerbated due to potential impacts of the OBBBA, which has not yet had a material effect on the Company’s financial statements or operations; however, we continue to monitor the effects of the OBBBA on the Company.</w:t>
      </w:r>
    </w:p>
    <w:p>
      <w:pPr>
        <w:spacing w:after="0" w:line="15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Medicaid Spending. </w:t>
      </w:r>
      <w:r>
        <w:rPr>
          <w:rFonts w:ascii="Times New Roman" w:cs="Times New Roman" w:eastAsia="Times New Roman" w:hAnsi="Times New Roman"/>
          <w:sz w:val="18"/>
          <w:szCs w:val="18"/>
          <w:color w:val="auto"/>
        </w:rPr>
        <w:t>The OBBBA adopted in July 2025, mandates significant reductions in federal Medicaid spending, introduces new work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Medicaid beneficiaries aged 19 to 64 and cost-sharing measures for certain Medicaid beneficiaries, and requires states to conduct bi-annual eligibility verifications of Medicaid enrollees in the expansion population. These changes may lead to decreased Medicaid enrollment among existing and prospective PACE participants, potentially reducing our funding and decreasing margins. With the federal funding cuts and states being prohibited from increasing provider taxes to finance their share of Medicaid spending, states may also face budgetary pressures. Such budgetary pressure may potentially lead to reductions in certain optional Medicaid benefits, reductions in the workforce for the government entities that oversee and administer Medicaid and PACE, causing delays, and downward pressure on rates, including our capitated fee payment. Finally, the new requirements will necessitate adjustments in our administrative processes to ensure compliance with more frequent eligibility verifications and other reporting standards mandated by federal and state regulatory agencies.</w:t>
      </w:r>
    </w:p>
    <w:p>
      <w:pPr>
        <w:spacing w:after="0" w:line="148" w:lineRule="exact"/>
        <w:rPr>
          <w:sz w:val="20"/>
          <w:szCs w:val="20"/>
          <w:color w:val="auto"/>
        </w:rPr>
      </w:pPr>
    </w:p>
    <w:p>
      <w:pPr>
        <w:ind w:right="6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Recent U.S. tariff announcements, retaliatory measures by other countries, and significant uncertainty surrounding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tensions may result in higher prices for medical and other supplies and lead to supply chain disruptions and additional costs. The degree to which tariffs affect the global supply chain and our business will depend on their timing, duration and magnitude, which may be changed at any time and with little or no prior notice.</w:t>
      </w:r>
    </w:p>
    <w:p>
      <w:pPr>
        <w:spacing w:after="0" w:line="139"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For additional information on the various risks posed by macroeconomic events, regulation, and employee matters, please see the section entitled “Risk Factors” included in Part I, Item 1A of this Annual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historical financial performance has been, and we expect our financial performance in the future to be, driven by the following factors:</w:t>
      </w:r>
    </w:p>
    <w:p>
      <w:pPr>
        <w:spacing w:after="0" w:line="175" w:lineRule="exact"/>
        <w:rPr>
          <w:sz w:val="20"/>
          <w:szCs w:val="20"/>
          <w:color w:val="auto"/>
        </w:rPr>
      </w:pPr>
    </w:p>
    <w:p>
      <w:pPr>
        <w:jc w:val="both"/>
        <w:ind w:left="960" w:hanging="318"/>
        <w:spacing w:after="0" w:line="248" w:lineRule="auto"/>
        <w:tabs>
          <w:tab w:leader="none" w:pos="95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Our participants. </w:t>
      </w:r>
      <w:r>
        <w:rPr>
          <w:rFonts w:ascii="Times New Roman" w:cs="Times New Roman" w:eastAsia="Times New Roman" w:hAnsi="Times New Roman"/>
          <w:sz w:val="18"/>
          <w:szCs w:val="18"/>
          <w:color w:val="auto"/>
        </w:rPr>
        <w:t>We focus on providing all-inclusive care to frail, high-cost, dual-eligible seniors. We directly contract with government payors,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believe we manage a higher acuity population, with an average RAF score of 2.42 based on InnovAge data as of June 30, 2025; and (ii) we have Medicaid spend in addition to Medicare. Our participants are managed on a capitated, or at-risk basis, where InnovAge is financially responsible for all participant medical costs. Our comprehensive care model and globally capitated payments are designed to cover participants from enrollment until the end of life, including coverage for participants requiring hospice and palliative care. For dual-eligible participants, we receive PMPM payments directly from Medicare and Medicaid, which provides recurring revenue streams and significant visibility into our revenue. The Medicare portion of our capitated payment is risk-based on the underlying medical conditions and frailty of each participant. We continue to</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strengthen our encounter data submission process so that our revenue more accurately reflects the acuity of the populations we serve.</w:t>
      </w:r>
    </w:p>
    <w:p>
      <w:pPr>
        <w:spacing w:after="0" w:line="175" w:lineRule="exact"/>
        <w:rPr>
          <w:sz w:val="20"/>
          <w:szCs w:val="20"/>
          <w:color w:val="auto"/>
        </w:rPr>
      </w:pPr>
    </w:p>
    <w:p>
      <w:pPr>
        <w:jc w:val="both"/>
        <w:ind w:left="960" w:hanging="318"/>
        <w:spacing w:after="0" w:line="261"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grow enrollment and capacity within existing centers. </w:t>
      </w:r>
      <w:r>
        <w:rPr>
          <w:rFonts w:ascii="Times New Roman" w:cs="Times New Roman" w:eastAsia="Times New Roman" w:hAnsi="Times New Roman"/>
          <w:sz w:val="18"/>
          <w:szCs w:val="18"/>
          <w:color w:val="auto"/>
        </w:rPr>
        <w:t>We believe all seniors should have access to the type of all-inclusive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by the PACE model. Several factors can affect our ability to grow enrollment and capacity within existing centers, including competition, costs and sanctions issued by regulators or suspensions of State attestations required to open new de novo centers.</w:t>
      </w:r>
    </w:p>
    <w:p>
      <w:pPr>
        <w:spacing w:after="0" w:line="132" w:lineRule="exact"/>
        <w:rPr>
          <w:rFonts w:ascii="Times New Roman" w:cs="Times New Roman" w:eastAsia="Times New Roman" w:hAnsi="Times New Roman"/>
          <w:sz w:val="18"/>
          <w:szCs w:val="18"/>
          <w:color w:val="auto"/>
        </w:rPr>
      </w:pPr>
    </w:p>
    <w:p>
      <w:pPr>
        <w:jc w:val="both"/>
        <w:ind w:left="960" w:hanging="318"/>
        <w:spacing w:after="0" w:line="253"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maintain high participant satisfaction and retention. </w:t>
      </w:r>
      <w:r>
        <w:rPr>
          <w:rFonts w:ascii="Times New Roman" w:cs="Times New Roman" w:eastAsia="Times New Roman" w:hAnsi="Times New Roman"/>
          <w:sz w:val="18"/>
          <w:szCs w:val="18"/>
          <w:color w:val="auto"/>
        </w:rPr>
        <w:t>Our comprehensive individualized care model and frequency of interaction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participants generates high levels of participant satisfaction. We achieved an I-SAT NPS score of 56 for fiscal year 2025 and average participant tenure of 3.1 years as of June 30, 2025, measured as tenure from enrollment to disenrollment, among our centers that have been operated by us for at least five years. Furthermore, we experience low levels of voluntary disenrollment, averaging 7.0% annually over the last three fiscal years.</w:t>
      </w:r>
    </w:p>
    <w:p>
      <w:pPr>
        <w:spacing w:after="0" w:line="154" w:lineRule="exact"/>
        <w:rPr>
          <w:rFonts w:ascii="Times New Roman" w:cs="Times New Roman" w:eastAsia="Times New Roman" w:hAnsi="Times New Roman"/>
          <w:sz w:val="18"/>
          <w:szCs w:val="18"/>
          <w:color w:val="auto"/>
        </w:rPr>
      </w:pPr>
    </w:p>
    <w:p>
      <w:pPr>
        <w:jc w:val="both"/>
        <w:ind w:left="960" w:hanging="318"/>
        <w:spacing w:after="0" w:line="275" w:lineRule="auto"/>
        <w:tabs>
          <w:tab w:leader="none" w:pos="9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Effectively managing the cost of care for our participants</w:t>
      </w:r>
      <w:r>
        <w:rPr>
          <w:rFonts w:ascii="Times New Roman" w:cs="Times New Roman" w:eastAsia="Times New Roman" w:hAnsi="Times New Roman"/>
          <w:sz w:val="17"/>
          <w:szCs w:val="17"/>
          <w:color w:val="auto"/>
        </w:rPr>
        <w:t>. We receive capitated payments to manage the totality of a participant’s medical care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across all settings. The risk pool of our population is highly acute. Various factors, including increased salaries, wages and benefits, increased staffing, annual increases in assisted living and nursing facility unit cost and general medical inflation, have affected our external provider costs and cost of care, excluding depreciation and amortization, which represented approximately 82% of our revenue in the year ended June 30, 2025.</w:t>
      </w:r>
    </w:p>
    <w:p>
      <w:pPr>
        <w:spacing w:after="0" w:line="124" w:lineRule="exact"/>
        <w:rPr>
          <w:rFonts w:ascii="Times New Roman" w:cs="Times New Roman" w:eastAsia="Times New Roman" w:hAnsi="Times New Roman"/>
          <w:sz w:val="17"/>
          <w:szCs w:val="17"/>
          <w:color w:val="auto"/>
        </w:rPr>
      </w:pPr>
    </w:p>
    <w:p>
      <w:pPr>
        <w:jc w:val="both"/>
        <w:ind w:left="960" w:hanging="318"/>
        <w:spacing w:after="0" w:line="261"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Center-level Contribution Margin</w:t>
      </w:r>
      <w:r>
        <w:rPr>
          <w:rFonts w:ascii="Times New Roman" w:cs="Times New Roman" w:eastAsia="Times New Roman" w:hAnsi="Times New Roman"/>
          <w:sz w:val="18"/>
          <w:szCs w:val="18"/>
          <w:color w:val="auto"/>
        </w:rPr>
        <w:t>. The Company’s management uses Center-level Contribution Margin as the measure for assessing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its operating segments. As we serve more participants in existing centers, we expect to leverage our fixed cost base at those centers and increase the value of a center to our business over time.</w:t>
      </w:r>
    </w:p>
    <w:p>
      <w:pPr>
        <w:spacing w:after="0" w:line="132" w:lineRule="exact"/>
        <w:rPr>
          <w:rFonts w:ascii="Times New Roman" w:cs="Times New Roman" w:eastAsia="Times New Roman" w:hAnsi="Times New Roman"/>
          <w:sz w:val="18"/>
          <w:szCs w:val="18"/>
          <w:color w:val="auto"/>
        </w:rPr>
      </w:pPr>
    </w:p>
    <w:p>
      <w:pPr>
        <w:jc w:val="both"/>
        <w:ind w:left="960" w:hanging="318"/>
        <w:spacing w:after="0" w:line="261"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expand via de novo centers within existing and new markets. </w:t>
      </w:r>
      <w:r>
        <w:rPr>
          <w:rFonts w:ascii="Times New Roman" w:cs="Times New Roman" w:eastAsia="Times New Roman" w:hAnsi="Times New Roman"/>
          <w:sz w:val="18"/>
          <w:szCs w:val="18"/>
          <w:color w:val="auto"/>
        </w:rPr>
        <w:t>Several factors can affect our ability to open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sanctions issued by regulators, legal, community or other obstacles in the construction of such centers, and our ability to hire and train enough workers to ramp up these centers to maturity.</w:t>
      </w:r>
    </w:p>
    <w:p>
      <w:pPr>
        <w:spacing w:after="0" w:line="148" w:lineRule="exact"/>
        <w:rPr>
          <w:rFonts w:ascii="Times New Roman" w:cs="Times New Roman" w:eastAsia="Times New Roman" w:hAnsi="Times New Roman"/>
          <w:sz w:val="18"/>
          <w:szCs w:val="18"/>
          <w:color w:val="auto"/>
        </w:rPr>
      </w:pPr>
    </w:p>
    <w:p>
      <w:pPr>
        <w:jc w:val="both"/>
        <w:ind w:left="9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an audit to our Sacramento center and a medical review of our San Bernardino center, our planned California de novo centers are precluded from opening at this time. The California Department of Health Care Services (“DHCS”) notified us that it would consider restoring the State Attestations with respect to such centers upon our successful remediation of the deficiencies raised in our Sacramento center and its completion of the medical review (and any potential resulting remediation that may be required) in our San Bernardino center, both of which are ongoing.</w:t>
      </w:r>
    </w:p>
    <w:p>
      <w:pPr>
        <w:spacing w:after="0" w:line="143" w:lineRule="exact"/>
        <w:rPr>
          <w:rFonts w:ascii="Times New Roman" w:cs="Times New Roman" w:eastAsia="Times New Roman" w:hAnsi="Times New Roman"/>
          <w:sz w:val="18"/>
          <w:szCs w:val="18"/>
          <w:color w:val="auto"/>
        </w:rPr>
      </w:pPr>
    </w:p>
    <w:p>
      <w:pPr>
        <w:jc w:val="both"/>
        <w:ind w:left="960" w:hanging="318"/>
        <w:spacing w:after="0" w:line="265" w:lineRule="auto"/>
        <w:tabs>
          <w:tab w:leader="none" w:pos="9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Execute tuck-in acquisitions, strategic transactions and partnerships. </w:t>
      </w:r>
      <w:r>
        <w:rPr>
          <w:rFonts w:ascii="Times New Roman" w:cs="Times New Roman" w:eastAsia="Times New Roman" w:hAnsi="Times New Roman"/>
          <w:sz w:val="17"/>
          <w:szCs w:val="17"/>
          <w:color w:val="auto"/>
        </w:rPr>
        <w:t>Since fiscal year 2019, we have acquired and integrated four PACE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organizations for a total of eight operational centers (excluding the PACE center in Bakersfield, California, which is not yet operational). These acquisitions represent expansion of our InnovAge Platform into one new state and five new markets. By bringing acquired organizations under the InnovAge Platform, we hope to further realize revenue growth and improve operational efficiency and care delivery post-integration. We also have pursued and intend to continue pursuing additional relationships with key stakeholders, existing organizations and other care providers in order to form partnerships in target geographies, such as the joint venture with Orlando Health relating to our Orlando PACE center and the joint venture with Tampa General Hospital relating to our Tampa center which was entered into on August 15, 2025. On January 2, 2025, with the goal of supporting our growth and improving pharmacy cost-management, we completed the acquisition of certain pharmacy assets from Tabula Rasa HealthCare Group, Inc. (“TRHC”), a leading pharmacy care management company, for a total purchase price of $4.8 million. Pursuant to a Management Services Agreement, TRHC provides management services to our acquired pharmacy business with an initial term of five years.</w:t>
      </w:r>
    </w:p>
    <w:p>
      <w:pPr>
        <w:spacing w:after="0" w:line="133" w:lineRule="exact"/>
        <w:rPr>
          <w:rFonts w:ascii="Times New Roman" w:cs="Times New Roman" w:eastAsia="Times New Roman" w:hAnsi="Times New Roman"/>
          <w:sz w:val="17"/>
          <w:szCs w:val="17"/>
          <w:color w:val="auto"/>
        </w:rPr>
      </w:pPr>
    </w:p>
    <w:p>
      <w:pPr>
        <w:ind w:left="960" w:hanging="318"/>
        <w:spacing w:after="0" w:line="276"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high quality of regulatory compliance</w:t>
      </w:r>
      <w:r>
        <w:rPr>
          <w:rFonts w:ascii="Times New Roman" w:cs="Times New Roman" w:eastAsia="Times New Roman" w:hAnsi="Times New Roman"/>
          <w:sz w:val="18"/>
          <w:szCs w:val="18"/>
          <w:color w:val="auto"/>
        </w:rPr>
        <w:t>. The Company’s priority is to continue to maintain high quality of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in all its centers.</w:t>
      </w:r>
    </w:p>
    <w:p>
      <w:pPr>
        <w:spacing w:after="0" w:line="133" w:lineRule="exact"/>
        <w:rPr>
          <w:rFonts w:ascii="Times New Roman" w:cs="Times New Roman" w:eastAsia="Times New Roman" w:hAnsi="Times New Roman"/>
          <w:sz w:val="18"/>
          <w:szCs w:val="18"/>
          <w:color w:val="auto"/>
        </w:rPr>
      </w:pPr>
    </w:p>
    <w:p>
      <w:pPr>
        <w:jc w:val="both"/>
        <w:ind w:left="960" w:hanging="318"/>
        <w:spacing w:after="0" w:line="261"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Contracting with government payors</w:t>
      </w:r>
      <w:r>
        <w:rPr>
          <w:rFonts w:ascii="Times New Roman" w:cs="Times New Roman" w:eastAsia="Times New Roman" w:hAnsi="Times New Roman"/>
          <w:sz w:val="18"/>
          <w:szCs w:val="18"/>
          <w:color w:val="auto"/>
        </w:rPr>
        <w:t>. Our economic model relies on our capitated arrangements with government payors, namely Medicare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Medicaid. We view the government not only as a payor but also as a key partner in our efforts to expand into new geographies and access more participants in our existing</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60"/>
        <w:spacing w:after="0" w:line="274" w:lineRule="auto"/>
        <w:rPr>
          <w:sz w:val="20"/>
          <w:szCs w:val="20"/>
          <w:color w:val="auto"/>
        </w:rPr>
      </w:pPr>
      <w:r>
        <w:rPr>
          <w:rFonts w:ascii="Times New Roman" w:cs="Times New Roman" w:eastAsia="Times New Roman" w:hAnsi="Times New Roman"/>
          <w:sz w:val="18"/>
          <w:szCs w:val="18"/>
          <w:color w:val="auto"/>
        </w:rPr>
        <w:t>markets. Maintaining, supporting and growing these relationships, in existing markets as well as new geographies, is critical to our long-term success.</w:t>
      </w:r>
    </w:p>
    <w:p>
      <w:pPr>
        <w:spacing w:after="0" w:line="122" w:lineRule="exact"/>
        <w:rPr>
          <w:sz w:val="20"/>
          <w:szCs w:val="20"/>
          <w:color w:val="auto"/>
        </w:rPr>
      </w:pPr>
    </w:p>
    <w:p>
      <w:pPr>
        <w:jc w:val="both"/>
        <w:ind w:left="960" w:hanging="318"/>
        <w:spacing w:after="0" w:line="250"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support growth</w:t>
      </w:r>
      <w:r>
        <w:rPr>
          <w:rFonts w:ascii="Times New Roman" w:cs="Times New Roman" w:eastAsia="Times New Roman" w:hAnsi="Times New Roman"/>
          <w:sz w:val="18"/>
          <w:szCs w:val="18"/>
          <w:color w:val="auto"/>
        </w:rPr>
        <w:t>. We intend to continue investing in our centers, value-based care model, and sales and marketing initiatives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long-term growth. We expect our expenses to increase in absolute dollars for the foreseeable future to support our growth due, partially, to additional costs we incur in connection with audits to our centers, remediation plans and current and potential legal and regulatory proceedings. We plan to continue investing in our growth while also managing our expenses and results of operations. During fiscal years 2024 and 2025 we made investments to increase our sophistication as a payor to drive clinical value, improve outcomes, and manage cost trends. We plan to continue investing in such activities in fiscal year 2026. Accordingly, in the short term we expect these activities to increase our expenses as a percentage of revenue, but in the longer term, we anticipate that these investments will positively impact our business and results of operations.</w:t>
      </w:r>
    </w:p>
    <w:p>
      <w:pPr>
        <w:spacing w:after="0" w:line="143" w:lineRule="exact"/>
        <w:rPr>
          <w:rFonts w:ascii="Times New Roman" w:cs="Times New Roman" w:eastAsia="Times New Roman" w:hAnsi="Times New Roman"/>
          <w:sz w:val="18"/>
          <w:szCs w:val="18"/>
          <w:color w:val="auto"/>
        </w:rPr>
      </w:pPr>
    </w:p>
    <w:p>
      <w:pPr>
        <w:jc w:val="both"/>
        <w:ind w:left="960" w:hanging="318"/>
        <w:spacing w:after="0" w:line="248"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Seasonality to our business</w:t>
      </w:r>
      <w:r>
        <w:rPr>
          <w:rFonts w:ascii="Times New Roman" w:cs="Times New Roman" w:eastAsia="Times New Roman" w:hAnsi="Times New Roman"/>
          <w:sz w:val="18"/>
          <w:szCs w:val="18"/>
          <w:color w:val="auto"/>
        </w:rPr>
        <w:t>. Our operational and financial results, including medical costs and per-participant revenue true-ups, will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variability depending upon the time of year in which they are measured. Medical costs vary most significantly as a result of (i) the weather, with certain illnesses, such as the influenza and COVID-19 viruses,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from CMS, which is based on CMS’s determination of a participant’s RAF score as measured twice per year and is based on the evolving acuity of a participant. Where there is a difference between our estimate and the final determination from CMS, we may record either an increase or decrease in true up revenue. Historically, these true-up payments typically occur between May and August, but the timing of these payments is determined by CMS, and we have neither visibility into nor control over the timing of such payments. The variability of participant enrollments and voluntary disenrollments has also been impacted by additional offerings by MA and other competitors including PACE organizations in select markets.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Capitation Revenue</w:t>
      </w:r>
      <w:r>
        <w:rPr>
          <w:rFonts w:ascii="Times New Roman" w:cs="Times New Roman" w:eastAsia="Times New Roman" w:hAnsi="Times New Roman"/>
          <w:sz w:val="18"/>
          <w:szCs w:val="18"/>
          <w:color w:val="auto"/>
        </w:rPr>
        <w:t>. In order to provide comprehensive services to manage the totality of a participant’s medical care across all settings, we receive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capitated fees per participant that are paid monthly by Medicare, Medicaid, Veterans Affairs (“VA”) and private pay sources. The concentration of capitation revenue from our various payors was: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8"/>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5"/>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less than 1%</w:t>
      </w:r>
    </w:p>
    <w:p>
      <w:pPr>
        <w:spacing w:after="0" w:line="17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this Annual Report.</w:t>
      </w:r>
    </w:p>
    <w:p>
      <w:pPr>
        <w:spacing w:after="0" w:line="14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primarily consists of revenues derived from state food grants and rent revenues. For a discussion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this Annual Report.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consist primarily of the costs for medical care provided by non-InnovAge providers. We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 provider costs into four categories: inpatient (e.g., hospital), housing (e.g., assisted living and skilled nursing facility), outpatient and pharmacy. In aggregate, external provider costs represent the largest portion of our expenses.</w:t>
      </w:r>
    </w:p>
    <w:p>
      <w:pPr>
        <w:spacing w:after="0" w:line="1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includes the costs we incur to operate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we open new centers, we expect cost of care, excluding depreciation and amortization, to increase in absolute dollars due to higher census and facility related costs.</w:t>
      </w:r>
    </w:p>
    <w:p>
      <w:pPr>
        <w:spacing w:after="0" w:line="16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employee-related expenses, including salaries, commissions, and employee benefits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employees engaged in marketing, sales, community outreach and sales support as well as financial eligibility support for both prospective and existing participants.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Expenses. </w:t>
      </w:r>
      <w:r>
        <w:rPr>
          <w:rFonts w:ascii="Times New Roman" w:cs="Times New Roman" w:eastAsia="Times New Roman" w:hAnsi="Times New Roman"/>
          <w:sz w:val="18"/>
          <w:szCs w:val="18"/>
          <w:color w:val="auto"/>
        </w:rPr>
        <w:t>Corporate, general and administrative expenses include other employee-related expenses,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and related costs. In addition, general and administrative expenses include all corporate technology and occupancy costs associated with our corporate office. We expect our general and administrative expenses to increase in absolute dollars due to the additional legal, accounting,and compliance costs as we grow our business and continue to operate as a public company.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4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are primarily attributable to our buildings and leasehold improvements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vehicles. Depreciation and amortization are recorded using the straight-line method over the shorter of estimated useful life or lease terms, to the extent the assets are being leased.</w:t>
      </w:r>
    </w:p>
    <w:p>
      <w:pPr>
        <w:spacing w:after="0" w:line="14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For more information relating to the components of our results of operations,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this Annual Report for more detailed information regarding our significant accounting policies.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80" w:type="dxa"/>
            <w:vAlign w:val="bottom"/>
          </w:tcPr>
          <w:p>
            <w:pPr>
              <w:spacing w:after="0"/>
              <w:rPr>
                <w:sz w:val="16"/>
                <w:szCs w:val="16"/>
                <w:color w:val="auto"/>
              </w:rPr>
            </w:pPr>
          </w:p>
        </w:tc>
      </w:tr>
      <w:tr>
        <w:trPr>
          <w:trHeight w:val="24"/>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7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7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5"/>
                <w:szCs w:val="15"/>
                <w:color w:val="auto"/>
              </w:rPr>
            </w:pPr>
          </w:p>
        </w:tc>
      </w:tr>
      <w:tr>
        <w:trPr>
          <w:trHeight w:val="38"/>
        </w:trPr>
        <w:tc>
          <w:tcPr>
            <w:tcW w:w="7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6"/>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852,353</w:t>
            </w:r>
          </w:p>
        </w:tc>
        <w:tc>
          <w:tcPr>
            <w:tcW w:w="100" w:type="dxa"/>
            <w:vAlign w:val="bottom"/>
          </w:tcPr>
          <w:p>
            <w:pPr>
              <w:spacing w:after="0"/>
              <w:rPr>
                <w:sz w:val="21"/>
                <w:szCs w:val="21"/>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762,570</w:t>
            </w:r>
          </w:p>
        </w:tc>
      </w:tr>
      <w:tr>
        <w:trPr>
          <w:trHeight w:val="252"/>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1,285</w:t>
            </w:r>
          </w:p>
        </w:tc>
      </w:tr>
      <w:tr>
        <w:trPr>
          <w:trHeight w:val="245"/>
        </w:trPr>
        <w:tc>
          <w:tcPr>
            <w:tcW w:w="7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853,699</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763,855</w:t>
            </w:r>
          </w:p>
        </w:tc>
      </w:tr>
      <w:tr>
        <w:trPr>
          <w:trHeight w:val="23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6"/>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38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431,152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403,010</w:t>
            </w:r>
          </w:p>
        </w:tc>
      </w:tr>
      <w:tr>
        <w:trPr>
          <w:trHeight w:val="258"/>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268,908</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228,781</w:t>
            </w:r>
          </w:p>
        </w:tc>
      </w:tr>
      <w:tr>
        <w:trPr>
          <w:trHeight w:val="246"/>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28,217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24,957</w:t>
            </w:r>
          </w:p>
        </w:tc>
      </w:tr>
      <w:tr>
        <w:trPr>
          <w:trHeight w:val="258"/>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122,058</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111,337</w:t>
            </w:r>
          </w:p>
        </w:tc>
      </w:tr>
      <w:tr>
        <w:trPr>
          <w:trHeight w:val="246"/>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19,510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18,950</w:t>
            </w:r>
          </w:p>
        </w:tc>
      </w:tr>
      <w:tr>
        <w:trPr>
          <w:trHeight w:val="252"/>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Impairments and loss on assets held for sale</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13,615</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7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883,460</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787,035</w:t>
            </w:r>
          </w:p>
        </w:tc>
      </w:tr>
      <w:tr>
        <w:trPr>
          <w:trHeight w:val="24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(29,761)</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(23,180)</w:t>
            </w:r>
          </w:p>
        </w:tc>
      </w:tr>
      <w:tr>
        <w:trPr>
          <w:trHeight w:val="251"/>
        </w:trPr>
        <w:tc>
          <w:tcPr>
            <w:tcW w:w="7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6"/>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(4,023)</w:t>
            </w:r>
          </w:p>
        </w:tc>
      </w:tr>
      <w:tr>
        <w:trPr>
          <w:trHeight w:val="258"/>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gain on cost and equity method investments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2,842</w:t>
            </w:r>
          </w:p>
        </w:tc>
      </w:tr>
      <w:tr>
        <w:trPr>
          <w:trHeight w:val="246"/>
        </w:trPr>
        <w:tc>
          <w:tcPr>
            <w:tcW w:w="7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2,542</w:t>
            </w:r>
          </w:p>
        </w:tc>
      </w:tr>
      <w:tr>
        <w:trPr>
          <w:trHeight w:val="251"/>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1,361</w:t>
            </w: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(34,027)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(21,819)</w:t>
            </w:r>
          </w:p>
        </w:tc>
      </w:tr>
      <w:tr>
        <w:trPr>
          <w:trHeight w:val="25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1,402</w:t>
            </w:r>
          </w:p>
        </w:tc>
      </w:tr>
      <w:tr>
        <w:trPr>
          <w:trHeight w:val="23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(35,343)</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(23,221)</w:t>
            </w:r>
          </w:p>
        </w:tc>
      </w:tr>
      <w:tr>
        <w:trPr>
          <w:trHeight w:val="245"/>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(1,883)</w:t>
            </w:r>
          </w:p>
        </w:tc>
      </w:tr>
      <w:tr>
        <w:trPr>
          <w:trHeight w:val="251"/>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InnovAge Holding Corp.</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(30,313)</w:t>
            </w:r>
          </w:p>
        </w:tc>
        <w:tc>
          <w:tcPr>
            <w:tcW w:w="100" w:type="dxa"/>
            <w:vAlign w:val="bottom"/>
          </w:tcPr>
          <w:p>
            <w:pPr>
              <w:spacing w:after="0"/>
              <w:rPr>
                <w:sz w:val="21"/>
                <w:szCs w:val="21"/>
                <w:color w:val="auto"/>
              </w:rPr>
            </w:pPr>
          </w:p>
        </w:tc>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(21,338)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1"/>
        </w:trPr>
        <w:tc>
          <w:tcPr>
            <w:tcW w:w="7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as a % of revenue</w:t>
            </w: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as a % of revenue</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7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 June 30,</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9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Capitation revenue</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6"/>
              </w:rPr>
              <w:t>852,353</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762,570</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89,783</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32"/>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service revenue</w:t>
            </w: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1,346</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1,285</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61"/>
        </w:trPr>
        <w:tc>
          <w:tcPr>
            <w:tcW w:w="4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revenues</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853,699</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763,855</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89,844</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Capitation revenue. </w:t>
      </w:r>
      <w:r>
        <w:rPr>
          <w:rFonts w:ascii="Times New Roman" w:cs="Times New Roman" w:eastAsia="Times New Roman" w:hAnsi="Times New Roman"/>
          <w:sz w:val="18"/>
          <w:szCs w:val="18"/>
          <w:color w:val="auto"/>
        </w:rPr>
        <w:t>Capitation revenue was $852.4 million for the year ended June 30, 2025, an increase of $89.8 million, or 11.8%, compared to $762.6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June 30, 2024. This increase was driven by a $78.2 million, or 10.3% increase in member months (as defined below under “Key Business Metrics and non-GAAP Measures – Total member months”) coupled with an $11.6 million, or 1.4%, increase in capitation rates. The increase in member months was primarily due to growth in our California and Colorado centers, and to a lesser extent to the addition of de novo centers in Florida and the acquisition of the Crenshaw center in California. The increase in capitation rates includes a</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7.2% increase in Medicaid rates partially offset by revenue reserve and a 2.1% increase in Medicare rates partially offset by an out of cycle risk score true up payment received in the prior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431,152</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403,010</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59"/>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268,908</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228,781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71"/>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59"/>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122,058</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111,337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71"/>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59"/>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Impairments and loss on assets held for sale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89"/>
        </w:trPr>
        <w:tc>
          <w:tcPr>
            <w:tcW w:w="49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883,460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787,035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82,810</w:t>
            </w:r>
          </w:p>
        </w:tc>
        <w:tc>
          <w:tcPr>
            <w:tcW w:w="1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were $431.2 million for the year ended June 30, 2025, an increase of $28.1 million, or 7.0%,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$403.0 million for the year ended June 30, 2024. The increase was primarily driven by an increase of $41.3 million, or 10.3%, in member months partially offset by a decrease of $13.4 million, or 3.0%, in cost per participant. The decrease in external provider cost per participant was primarily driven by a decrease in inpatient, assisted living, permanent nursing facility and short stay nursing facility utilization, a decrease in external hospice care associated with the transition of this function to internal clinical resources, and a decrease in pharmacy expense due to the transition to in-house pharmacy services. The decrease in external provider cost per participant was partially offset by an increase in inpatient unit cost and an annual increase in assisted living and permanent nursing facility unit cost.</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expense was $268.9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an increase of $40.1 million, or 17.5%, compared to $228.8 million for the year ended June 30, 2024, primarily due to an increase of $23.4 million, or 10.3%, in member months coupled with an increase of $16.7 million, or 6.6%, in cost per participant. The overall increase was driven by (i) a $23.8 million increase in salaries, wages and benefits associated with increased headcount to support growth and higher wage rates, (ii) a $1.5 million increase in software license fees, (iii) a $1.9 million increase in de novo occupancy and administrative expense associated with opening centers in Florida and the acquisition of the Crenshaw center, (iv) a $2.6 million increase in contract provider expense in California associated with growth, (v) $6.7 million in consulting fees and shipping costs associated with in-house pharmacy services, and (vi) a $1.5 million increase in fleet expense including contract transportation.</w:t>
      </w:r>
    </w:p>
    <w:p>
      <w:pPr>
        <w:spacing w:after="0" w:line="14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were $28.2 million for the year ended June 30, 2025, an increase of $3.3 million, or 13.1%,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$25.0 million for the year ended June 30, 2024, primarily due to increased headcount to support growth and higher wage rates.</w:t>
      </w:r>
    </w:p>
    <w:p>
      <w:pPr>
        <w:spacing w:after="0" w:line="12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expenses. </w:t>
      </w:r>
      <w:r>
        <w:rPr>
          <w:rFonts w:ascii="Times New Roman" w:cs="Times New Roman" w:eastAsia="Times New Roman" w:hAnsi="Times New Roman"/>
          <w:sz w:val="18"/>
          <w:szCs w:val="18"/>
          <w:color w:val="auto"/>
        </w:rPr>
        <w:t>Corporate, general and administrative expenses were $122.1 million for the year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$10.7 million, or 9.6% compared to $111.3 million for the year ended June 30, 2024. The increase was primarily due to (i) $10.1 million for the anticipated settlement of the securities class action lawsuit and (ii) a $7.3 million increase in employee compensation and benefits as the result of an increase in headcount and wage rates to support compliance and bolster organizational capabilities. These increases in cost were partially offset by (i) a $5.0 million reduction in consulting expense associated with improving organizational capabilities including the transition to a new EMR system and (ii) a $1.1 million reduction in insurance expense.</w:t>
      </w:r>
    </w:p>
    <w:p>
      <w:pPr>
        <w:spacing w:after="0" w:line="15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$19.5 million for the year ended June 30, 2025, an increase of $0.6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compared to $19.0 million for the year ended June 30, 2024. The increase in depreciation expense was a result of capital additions in the normal course of business.</w:t>
      </w:r>
    </w:p>
    <w:p>
      <w:pPr>
        <w:spacing w:after="0" w:line="13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Impairments and loss on assets held for sale. </w:t>
      </w:r>
      <w:r>
        <w:rPr>
          <w:rFonts w:ascii="Times New Roman" w:cs="Times New Roman" w:eastAsia="Times New Roman" w:hAnsi="Times New Roman"/>
          <w:sz w:val="18"/>
          <w:szCs w:val="18"/>
          <w:color w:val="auto"/>
        </w:rPr>
        <w:t>Impairments and loss on assets held for sale were $13.6 million for the year ended June 30, 2025.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due to (i) impairment charges related to ROU asset and construction in progress related to halting developments to a previously planned de novo center in Louisville, Kentucky that the Company is no longer pursuing, (ii) loss on sale of center equipment that was originally purchased for the center in Louisville,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Kentucky, (iii) loss on assets held for sale, and (iv) loss on settlement of lease liability in Louisville, Kentucky. There were no impairments recorded during the year ended June 30,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Year Ended 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0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59"/>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gain on cost and equity method investments</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65"/>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64"/>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consists primarily of interest payments on our outstanding borrowings, net of interest income earned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and restricted cash. Interest expense, net was $4.6 million for the year ended June 30, 2025, an increase of $0.6 million, or 14.6%, compared to $4.0 million for the year ended June 30, 2024. The increase was primarily due to interest expense of $6.0 million partially offset by interest income of $1.4 million from money market funds during the year ended June 30, 2025. Interest income during the year ended June 30, 2024 was $3.5 million from money market funds offsetting interest expense of $7.5 million.</w:t>
      </w:r>
    </w:p>
    <w:p>
      <w:pPr>
        <w:spacing w:after="0" w:line="1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(Loss) gain on cost and equity method investments. </w:t>
      </w:r>
      <w:r>
        <w:rPr>
          <w:rFonts w:ascii="Times New Roman" w:cs="Times New Roman" w:eastAsia="Times New Roman" w:hAnsi="Times New Roman"/>
          <w:sz w:val="18"/>
          <w:szCs w:val="18"/>
          <w:color w:val="auto"/>
        </w:rPr>
        <w:t>Loss on cost and equity method investments was $1.4 million for the year ended June 30, 2025,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$4.2 million, compared to a gain of $2.8 million for the year ended June 30, 2024. The Company recognized a gain of $4.8 million from the dissolution of the Pinewood Lodge, LLLP (“PWD”) partnership, partially offset by impairment losses of $2.0 million in conjunction with a minority interest investment in Jetdoc, Inc. during the year ended June 30, 2024. The Company recognized a loss of $2.6 million associated with the impairment of a minority interest investment in DispatchHealth Holdings, Inc, partially offset by a $1.3 million net benefit associated with the dissolution of the PWD partnership during the year ended June 30, 2025.</w:t>
      </w:r>
    </w:p>
    <w:p>
      <w:pPr>
        <w:spacing w:after="0" w:line="18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consists primarily of the net proceeds received from the sale of or disposal of property and equipment, unrealized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and losses and investment income related to short-term investments. Other income, net was $1.7 million for the year ended June 30, 2025, a decrease of $0.8 million, compared to $2.5 million for the year ended June 30, 2024. Investment income during the year ended June 30, 2025 was $2.1 million offset by $0.5 million loss on disposal of capital assets. Investment income during the year ended June 30, 2024 was $2.4 million offset by $0.1 million loss on disposal of capital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InnovAge California PACE - Sacramento (“SCR”), and InnovAge Florida PACE II, LLC (“ORL”) have elected to be taxed as partnerships, and no provision (benefit) for income taxes for SH1, SCR, or ORL is included in these consolidated financial statements included in this Annual Report.</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(benefit) for income taxes.</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June 30, 2025 and 2024, we reported provision (benefit) for income taxes of $1.3 million and $1.4 million, respectively. The decrease of $0.1 million is primarily due to (i) pretax book loss recognized during the year ended June 30, 2025, as compared to the pretax book loss recognized during the year ended June 30, 2024 and (ii) the change in our valuation allowance.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InnovAge Senior Housing Thornton, LLC is a variable interest entity (“VIE”). The Company was the primary beneficiary of SH1 and consolidates SH1 because it had the power to direct the activities that are most significant to SH1 and had an obligation to absorb losses or the right to receive benefits from SH1. The most significant activity of SH1 was the operation of a housing facility. The Company provided a subordinated loan to SH1 and a guarantee for the convertible term loan held by SH1. On June 30, 2025, the Company entered into an agreement to sell the Company’s managing member interest in SH1 and vacant land adjacent to SH1 senior housing property. As a result, the Company reported the associated assets and liabilities as Assets held for sale and Liabilities held for sale in the Company’s consolidated balance sheets as of June 30,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June 30, 2025 and 2024, we reported net loss of $35.3 million and $23.2 million, respectively, consisting of (i) operating loss of $29.8 million and $23.2 million, respectively, (ii) other income of $4.3 million and other expense of $1.4 million, respectively, and (iii) provision for income taxes of $1.3 million and benefit for income taxes of $1.4 million, respectively, each as described above.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Measures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80" w:type="dxa"/>
            <w:vAlign w:val="bottom"/>
          </w:tcPr>
          <w:p>
            <w:pPr>
              <w:spacing w:after="0"/>
              <w:rPr>
                <w:sz w:val="16"/>
                <w:szCs w:val="16"/>
                <w:color w:val="auto"/>
              </w:rPr>
            </w:pPr>
          </w:p>
        </w:tc>
      </w:tr>
      <w:tr>
        <w:trPr>
          <w:trHeight w:val="24"/>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7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5"/>
                <w:szCs w:val="15"/>
                <w:color w:val="auto"/>
              </w:rPr>
            </w:pPr>
          </w:p>
        </w:tc>
        <w:tc>
          <w:tcPr>
            <w:tcW w:w="9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7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80" w:type="dxa"/>
            <w:vAlign w:val="bottom"/>
          </w:tcPr>
          <w:p>
            <w:pPr>
              <w:spacing w:after="0"/>
              <w:rPr>
                <w:sz w:val="15"/>
                <w:szCs w:val="15"/>
                <w:color w:val="auto"/>
              </w:rPr>
            </w:pPr>
          </w:p>
        </w:tc>
      </w:tr>
      <w:tr>
        <w:trPr>
          <w:trHeight w:val="38"/>
        </w:trPr>
        <w:tc>
          <w:tcPr>
            <w:tcW w:w="7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Key Business Metrics: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65"/>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Centers</w:t>
            </w:r>
            <w:r>
              <w:rPr>
                <w:rFonts w:ascii="Times New Roman" w:cs="Times New Roman" w:eastAsia="Times New Roman" w:hAnsi="Times New Roman"/>
                <w:sz w:val="22"/>
                <w:szCs w:val="22"/>
                <w:color w:val="auto"/>
                <w:vertAlign w:val="superscript"/>
              </w:rPr>
              <w:t>(a)</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5"/>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Census</w:t>
            </w:r>
            <w:r>
              <w:rPr>
                <w:rFonts w:ascii="Times New Roman" w:cs="Times New Roman" w:eastAsia="Times New Roman" w:hAnsi="Times New Roman"/>
                <w:sz w:val="22"/>
                <w:szCs w:val="22"/>
                <w:color w:val="auto"/>
                <w:vertAlign w:val="superscript"/>
              </w:rPr>
              <w:t>(a)(b)</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65"/>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Member Months</w:t>
            </w:r>
            <w:r>
              <w:rPr>
                <w:rFonts w:ascii="Times New Roman" w:cs="Times New Roman" w:eastAsia="Times New Roman" w:hAnsi="Times New Roman"/>
                <w:sz w:val="22"/>
                <w:szCs w:val="22"/>
                <w:color w:val="auto"/>
                <w:vertAlign w:val="superscript"/>
              </w:rPr>
              <w:t>(b)</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89,130</w:t>
            </w: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80,840</w:t>
            </w:r>
          </w:p>
        </w:tc>
      </w:tr>
      <w:tr>
        <w:trPr>
          <w:trHeight w:val="265"/>
        </w:trPr>
        <w:tc>
          <w:tcPr>
            <w:tcW w:w="7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Measures: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Center-level Contribution Margin</w:t>
            </w:r>
            <w:r>
              <w:rPr>
                <w:rFonts w:ascii="Times New Roman" w:cs="Times New Roman" w:eastAsia="Times New Roman" w:hAnsi="Times New Roman"/>
                <w:sz w:val="22"/>
                <w:szCs w:val="22"/>
                <w:color w:val="auto"/>
                <w:vertAlign w:val="superscript"/>
              </w:rPr>
              <w:t>(c)</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153,639</w:t>
            </w:r>
          </w:p>
        </w:tc>
        <w:tc>
          <w:tcPr>
            <w:tcW w:w="6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132,064</w:t>
            </w:r>
          </w:p>
        </w:tc>
      </w:tr>
      <w:tr>
        <w:trPr>
          <w:trHeight w:val="26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Center-level Contribution Margin as a % of revenue</w:t>
            </w:r>
            <w:r>
              <w:rPr>
                <w:rFonts w:ascii="Times New Roman" w:cs="Times New Roman" w:eastAsia="Times New Roman" w:hAnsi="Times New Roman"/>
                <w:sz w:val="22"/>
                <w:szCs w:val="22"/>
                <w:color w:val="auto"/>
                <w:vertAlign w:val="superscript"/>
              </w:rPr>
              <w:t>(c)</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65"/>
        </w:trPr>
        <w:tc>
          <w:tcPr>
            <w:tcW w:w="7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5"/>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2"/>
                <w:szCs w:val="22"/>
                <w:color w:val="auto"/>
                <w:vertAlign w:val="superscript"/>
              </w:rPr>
              <w:t>(c)</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34,462</w:t>
            </w:r>
          </w:p>
        </w:tc>
        <w:tc>
          <w:tcPr>
            <w:tcW w:w="6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16,474</w:t>
            </w:r>
          </w:p>
        </w:tc>
      </w:tr>
      <w:tr>
        <w:trPr>
          <w:trHeight w:val="265"/>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2"/>
                <w:szCs w:val="22"/>
                <w:color w:val="auto"/>
                <w:vertAlign w:val="superscript"/>
              </w:rPr>
              <w:t>(c)</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9" w:lineRule="exact"/>
        <w:rPr>
          <w:sz w:val="20"/>
          <w:szCs w:val="20"/>
          <w:color w:val="auto"/>
        </w:rPr>
      </w:pPr>
    </w:p>
    <w:p>
      <w:pPr>
        <w:ind w:left="320" w:right="620" w:hanging="314"/>
        <w:spacing w:after="0" w:line="225" w:lineRule="auto"/>
        <w:tabs>
          <w:tab w:leader="none" w:pos="315"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InnovAge Sacramento and InnovAge Orlando, which the Company owns and controls through joint ventures and are consolidated in our financial statements.</w:t>
      </w:r>
    </w:p>
    <w:p>
      <w:pPr>
        <w:spacing w:after="0" w:line="12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approximate.</w:t>
      </w:r>
    </w:p>
    <w:p>
      <w:pPr>
        <w:spacing w:after="0" w:line="166" w:lineRule="exact"/>
        <w:rPr>
          <w:rFonts w:ascii="Times New Roman" w:cs="Times New Roman" w:eastAsia="Times New Roman" w:hAnsi="Times New Roman"/>
          <w:sz w:val="23"/>
          <w:szCs w:val="23"/>
          <w:color w:val="auto"/>
          <w:vertAlign w:val="superscript"/>
        </w:rPr>
      </w:pPr>
    </w:p>
    <w:p>
      <w:pPr>
        <w:jc w:val="both"/>
        <w:ind w:left="320" w:hanging="314"/>
        <w:spacing w:after="0" w:line="231" w:lineRule="auto"/>
        <w:tabs>
          <w:tab w:leader="none" w:pos="315"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Center-level Contribution Margin, Center-level Contribution Margin as a percentage of revenue, Adjusted EBITDA and Adjusted EBITDA margin are non-GAAP measures. For a definition and reconciliation of these non-GAAP measures to the most closely comparable GAAP measures for the period indicated, see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define our centers as those centers open for business and attending to participants at the end of a particular period.</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Census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census is comprised of our capitated participants for whom we are financially responsible for their total healthcare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Member Months</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Center-level Contribution Margin</w:t>
      </w:r>
    </w:p>
    <w:p>
      <w:pPr>
        <w:spacing w:after="0" w:line="1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Company’s management uses Center-level Contribution Margin as the measure for assessing performance of its operating segments.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 Center-level Contribution Margin was $153.6 million and $132.1 million for the years ended June 30, 2025 and 2024, respectively. The increase in Center-level Contribution Margin for fiscal year 2025 was primarily due to a year-over-year increase of 11.8% in total revenue and 10.8% in center level expense during the same period. For more information relating to Center-level Contribution Margin, see Note 14 “Segment Reporting” to our consolidated financial statements included in this Annual Report. A reconciliation of Center-level Contribution Margin to loss before income taxes, the most directly comparable GAAP measure, for each of the periods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38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PACE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PACE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8"/>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852,353</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762,570</w:t>
            </w:r>
          </w:p>
        </w:tc>
        <w:tc>
          <w:tcPr>
            <w:tcW w:w="0" w:type="dxa"/>
            <w:vAlign w:val="bottom"/>
          </w:tcPr>
          <w:p>
            <w:pPr>
              <w:spacing w:after="0"/>
              <w:rPr>
                <w:sz w:val="1"/>
                <w:szCs w:val="1"/>
                <w:color w:val="auto"/>
              </w:rPr>
            </w:pPr>
          </w:p>
        </w:tc>
      </w:tr>
      <w:tr>
        <w:trPr>
          <w:trHeight w:val="240"/>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5"/>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853,699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763,855</w:t>
            </w:r>
          </w:p>
        </w:tc>
        <w:tc>
          <w:tcPr>
            <w:tcW w:w="0" w:type="dxa"/>
            <w:vAlign w:val="bottom"/>
          </w:tcPr>
          <w:p>
            <w:pPr>
              <w:spacing w:after="0"/>
              <w:rPr>
                <w:sz w:val="1"/>
                <w:szCs w:val="1"/>
                <w:color w:val="auto"/>
              </w:rPr>
            </w:pPr>
          </w:p>
        </w:tc>
      </w:tr>
      <w:tr>
        <w:trPr>
          <w:trHeight w:val="240"/>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403,010</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228,781</w:t>
            </w:r>
          </w:p>
        </w:tc>
        <w:tc>
          <w:tcPr>
            <w:tcW w:w="0" w:type="dxa"/>
            <w:vAlign w:val="bottom"/>
          </w:tcPr>
          <w:p>
            <w:pPr>
              <w:spacing w:after="0"/>
              <w:rPr>
                <w:sz w:val="1"/>
                <w:szCs w:val="1"/>
                <w:color w:val="auto"/>
              </w:rPr>
            </w:pPr>
          </w:p>
        </w:tc>
      </w:tr>
      <w:tr>
        <w:trPr>
          <w:trHeight w:val="25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132,064</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111,337</w:t>
            </w:r>
          </w:p>
        </w:tc>
        <w:tc>
          <w:tcPr>
            <w:tcW w:w="0" w:type="dxa"/>
            <w:vAlign w:val="bottom"/>
          </w:tcPr>
          <w:p>
            <w:pPr>
              <w:spacing w:after="0"/>
              <w:rPr>
                <w:sz w:val="1"/>
                <w:szCs w:val="1"/>
                <w:color w:val="auto"/>
              </w:rPr>
            </w:pPr>
          </w:p>
        </w:tc>
      </w:tr>
      <w:tr>
        <w:trPr>
          <w:trHeight w:val="24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 and loss on assets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w:t>
            </w:r>
          </w:p>
        </w:tc>
        <w:tc>
          <w:tcPr>
            <w:tcW w:w="0" w:type="dxa"/>
            <w:vAlign w:val="bottom"/>
          </w:tcPr>
          <w:p>
            <w:pPr>
              <w:spacing w:after="0"/>
              <w:rPr>
                <w:sz w:val="1"/>
                <w:szCs w:val="1"/>
                <w:color w:val="auto"/>
              </w:rPr>
            </w:pPr>
          </w:p>
        </w:tc>
      </w:tr>
      <w:tr>
        <w:trPr>
          <w:trHeight w:val="25"/>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5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9" w:lineRule="exact"/>
        <w:rPr>
          <w:sz w:val="20"/>
          <w:szCs w:val="20"/>
          <w:color w:val="auto"/>
        </w:rPr>
      </w:pPr>
    </w:p>
    <w:p>
      <w:pPr>
        <w:ind w:left="320" w:hanging="314"/>
        <w:spacing w:after="0" w:line="274" w:lineRule="auto"/>
        <w:tabs>
          <w:tab w:leader="none" w:pos="3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Center-level Contribution Margin from a segment below the quantitative thresholds was attributable to the Senior Housing operating segment of the Company as of June 30, 2025. This segment has never met any of the quantitative thresholds for determining reportable segments.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95"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We define Adjusted EBITDA as net loss adjusted for interest expense, net, other investment income, depreciation and amortization, and provision (benefit) for income tax as well as addbacks for non-recurring expenses or exceptional items,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including charges relating to management equity compensation, litigation costs and settlement, M&amp;A diligence, transaction and integration, business optimization, EMR implementation, loss (gain) on cost and equity method investments, asset impairments and loss on assets held for sale, and loss on sale of assets.</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June 30, 2025 and 2024, our net loss was $35.3 million and $23.2 million, respectively, representing a year-over-year decline of 52%, and Adjusted EBITDA was $34.5 million and $16.5 million, respectively, representing a year-over-year increase of 109%.</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EBITDA margin is Adjusted EBITDA expressed as a percentage of our total revenue. For the year ended June 30, 2025, our net loss margin was 4.1%, compared to our net loss margin of 3.0% for the year ended June 30, 2024. For the year ended June 30, 2025, our Adjusted EBITDA margin was 4.0%, compared to our Adjusted EBITDA margin for the year ended June 30, 2024 of 2.2%.</w:t>
      </w:r>
    </w:p>
    <w:p>
      <w:pPr>
        <w:spacing w:after="0" w:line="15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Adjusted EBITDA and Adjusted EBITDA margin are supplemental measures of operating performance monitored by management that are not defined under GAAP and that do not represent, and should not be considered as, an alternative to net loss and net loss margin, respectively, as determined by GAAP. We believe that Adjusted EBITDA and Adjusted EBITDA margin are appropriate measures of operating performance because the metrics eliminate the impact of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GAAP financial measures, including net loss and net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Our use of the term Adjusted EBITDA varies from others in our industry.</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Adjusted EBITDA to net loss, the most directly comparable GAAP measure, for each of the periods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37"/>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(23,221)</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 income</w:t>
            </w:r>
            <w:r>
              <w:rPr>
                <w:rFonts w:ascii="Times New Roman" w:cs="Times New Roman" w:eastAsia="Times New Roman" w:hAnsi="Times New Roman"/>
                <w:sz w:val="22"/>
                <w:szCs w:val="22"/>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costs and settlement</w:t>
            </w:r>
            <w:r>
              <w:rPr>
                <w:rFonts w:ascii="Times New Roman" w:cs="Times New Roman" w:eastAsia="Times New Roman" w:hAnsi="Times New Roman"/>
                <w:sz w:val="22"/>
                <w:szCs w:val="22"/>
                <w:color w:val="auto"/>
                <w:vertAlign w:val="superscript"/>
              </w:rPr>
              <w:t>(b)</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M&amp;A diligence, transaction and integration</w:t>
            </w:r>
            <w:r>
              <w:rPr>
                <w:rFonts w:ascii="Times New Roman" w:cs="Times New Roman" w:eastAsia="Times New Roman" w:hAnsi="Times New Roman"/>
                <w:sz w:val="22"/>
                <w:szCs w:val="22"/>
                <w:color w:val="auto"/>
                <w:vertAlign w:val="superscript"/>
              </w:rPr>
              <w:t>(c)</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optimization</w:t>
            </w:r>
            <w:r>
              <w:rPr>
                <w:rFonts w:ascii="Times New Roman" w:cs="Times New Roman" w:eastAsia="Times New Roman" w:hAnsi="Times New Roman"/>
                <w:sz w:val="22"/>
                <w:szCs w:val="22"/>
                <w:color w:val="auto"/>
                <w:vertAlign w:val="superscript"/>
              </w:rPr>
              <w:t>(d)</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EMR implementation</w:t>
            </w:r>
            <w:r>
              <w:rPr>
                <w:rFonts w:ascii="Times New Roman" w:cs="Times New Roman" w:eastAsia="Times New Roman" w:hAnsi="Times New Roman"/>
                <w:sz w:val="22"/>
                <w:szCs w:val="22"/>
                <w:color w:val="auto"/>
                <w:vertAlign w:val="superscript"/>
              </w:rPr>
              <w:t>(e)</w:t>
            </w:r>
          </w:p>
        </w:tc>
        <w:tc>
          <w:tcPr>
            <w:tcW w:w="36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cost and equity method investments</w:t>
            </w:r>
            <w:r>
              <w:rPr>
                <w:rFonts w:ascii="Times New Roman" w:cs="Times New Roman" w:eastAsia="Times New Roman" w:hAnsi="Times New Roman"/>
                <w:sz w:val="22"/>
                <w:szCs w:val="22"/>
                <w:color w:val="auto"/>
                <w:vertAlign w:val="superscript"/>
              </w:rPr>
              <w:t>(f)</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 and loss on assets held for sale</w:t>
            </w:r>
            <w:r>
              <w:rPr>
                <w:rFonts w:ascii="Times New Roman" w:cs="Times New Roman" w:eastAsia="Times New Roman" w:hAnsi="Times New Roman"/>
                <w:sz w:val="22"/>
                <w:szCs w:val="22"/>
                <w:color w:val="auto"/>
                <w:vertAlign w:val="superscript"/>
              </w:rPr>
              <w:t>(g)</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assets</w:t>
            </w:r>
            <w:r>
              <w:rPr>
                <w:rFonts w:ascii="Times New Roman" w:cs="Times New Roman" w:eastAsia="Times New Roman" w:hAnsi="Times New Roman"/>
                <w:sz w:val="22"/>
                <w:szCs w:val="22"/>
                <w:color w:val="auto"/>
                <w:vertAlign w:val="superscript"/>
              </w:rPr>
              <w:t>(h)</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34,462</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16,474</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59" w:lineRule="exact"/>
        <w:rPr>
          <w:sz w:val="20"/>
          <w:szCs w:val="20"/>
          <w:color w:val="auto"/>
        </w:rPr>
      </w:pPr>
    </w:p>
    <w:p>
      <w:pPr>
        <w:ind w:left="320" w:hanging="314"/>
        <w:spacing w:after="0"/>
        <w:tabs>
          <w:tab w:leader="none" w:pos="32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investment income related to short term investments included in our consolidated statements of operations.</w:t>
      </w:r>
    </w:p>
    <w:p>
      <w:pPr>
        <w:spacing w:after="0" w:line="152"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308"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charges/(credits) related to litigation by stockholders, litigation related to de novo center, civil investigative demands, and arbitration with our former pharmacy provider. Refer to Note 9, "Commitments and Contingencies"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320"/>
        <w:spacing w:after="0" w:line="268" w:lineRule="auto"/>
        <w:rPr>
          <w:sz w:val="20"/>
          <w:szCs w:val="20"/>
          <w:color w:val="auto"/>
        </w:rPr>
      </w:pPr>
      <w:r>
        <w:rPr>
          <w:rFonts w:ascii="Times New Roman" w:cs="Times New Roman" w:eastAsia="Times New Roman" w:hAnsi="Times New Roman"/>
          <w:sz w:val="17"/>
          <w:szCs w:val="17"/>
          <w:color w:val="auto"/>
        </w:rPr>
        <w:t>our consolidated financial statements included in this Annual Report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w:t>
      </w:r>
    </w:p>
    <w:p>
      <w:pPr>
        <w:spacing w:after="0" w:line="1" w:lineRule="exact"/>
        <w:rPr>
          <w:sz w:val="20"/>
          <w:szCs w:val="20"/>
          <w:color w:val="auto"/>
        </w:rPr>
      </w:pPr>
    </w:p>
    <w:p>
      <w:pPr>
        <w:jc w:val="both"/>
        <w:ind w:left="320" w:firstLine="4"/>
        <w:spacing w:after="0" w:line="248" w:lineRule="auto"/>
        <w:tabs>
          <w:tab w:leader="none" w:pos="5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of the case, (iii) nature of the remedies sought, (iv) litigation posture of the Company, (v) counterparty involved, and (vi) the Company's overall litigation strategy. For the year ended June 30, 2025, includes $10.1 million accrued in connection with the potential settlement of the previously disclosed stockholder class action.</w:t>
      </w:r>
    </w:p>
    <w:p>
      <w:pPr>
        <w:spacing w:after="0" w:line="11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charges related to M&amp;A transaction and integrations.</w:t>
      </w:r>
    </w:p>
    <w:p>
      <w:pPr>
        <w:spacing w:after="0" w:line="152" w:lineRule="exact"/>
        <w:rPr>
          <w:rFonts w:ascii="Times New Roman" w:cs="Times New Roman" w:eastAsia="Times New Roman" w:hAnsi="Times New Roman"/>
          <w:sz w:val="23"/>
          <w:szCs w:val="23"/>
          <w:color w:val="auto"/>
          <w:vertAlign w:val="superscript"/>
        </w:rPr>
      </w:pPr>
    </w:p>
    <w:p>
      <w:pPr>
        <w:jc w:val="both"/>
        <w:ind w:left="320" w:hanging="314"/>
        <w:spacing w:after="0" w:line="254" w:lineRule="auto"/>
        <w:tabs>
          <w:tab w:leader="none" w:pos="308"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charges related to business optimization initiatives. Such charges related to one-time investments in projects designed to enhance our technology and compliance systems and improve and support the efficiency and effectiveness of our operations. For the year ended June 30, 2025 this includes (i) $2.5 million of costs associated with organizational restructure and executive severance, and (ii) $0.5 million related to other non-recurring projects aimed at reducing costs and improving efficiencies. For the year ended June 30, 2024, this includes (i) $3.1 million of costs associated with third party consultants to implement core provider initiatives, assess our risk-bearing capabilities, and strengthen our enterprise capabilities, (ii) $0.3 million of costs associated with organizational restructure, and (iii) $0.9 million related to other non-recurring projects aimed at reducing costs and improving efficiencies.</w:t>
      </w:r>
    </w:p>
    <w:p>
      <w:pPr>
        <w:spacing w:after="0" w:line="122" w:lineRule="exact"/>
        <w:rPr>
          <w:rFonts w:ascii="Times New Roman" w:cs="Times New Roman" w:eastAsia="Times New Roman" w:hAnsi="Times New Roman"/>
          <w:sz w:val="22"/>
          <w:szCs w:val="22"/>
          <w:color w:val="auto"/>
          <w:vertAlign w:val="superscript"/>
        </w:rPr>
      </w:pPr>
    </w:p>
    <w:p>
      <w:pPr>
        <w:ind w:left="320" w:hanging="314"/>
        <w:spacing w:after="0"/>
        <w:tabs>
          <w:tab w:leader="none" w:pos="32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non-recurring expenses relating to the implementation of a new EMR vendor.</w:t>
      </w:r>
    </w:p>
    <w:p>
      <w:pPr>
        <w:spacing w:after="0" w:line="152" w:lineRule="exact"/>
        <w:rPr>
          <w:rFonts w:ascii="Times New Roman" w:cs="Times New Roman" w:eastAsia="Times New Roman" w:hAnsi="Times New Roman"/>
          <w:sz w:val="23"/>
          <w:szCs w:val="23"/>
          <w:color w:val="auto"/>
          <w:vertAlign w:val="superscript"/>
        </w:rPr>
      </w:pPr>
    </w:p>
    <w:p>
      <w:pPr>
        <w:jc w:val="both"/>
        <w:ind w:left="320" w:hanging="314"/>
        <w:spacing w:after="0" w:line="231" w:lineRule="auto"/>
        <w:tabs>
          <w:tab w:leader="none" w:pos="315"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June 30, 2025, reflects $2.6 million impairment loss for the investment in DispatchHealth Holdings, Inc., partially offset by $1.3 million net benefit associated with the dissolution of the PWD partnership. For the year ended June 30, 2024, reflects $4.8 million net benefit associated with the dissolution of the PWD partnership partially offset by $2.0 million impairment in Jetdoc investment.</w:t>
      </w:r>
    </w:p>
    <w:p>
      <w:pPr>
        <w:spacing w:after="0" w:line="155" w:lineRule="exact"/>
        <w:rPr>
          <w:rFonts w:ascii="Times New Roman" w:cs="Times New Roman" w:eastAsia="Times New Roman" w:hAnsi="Times New Roman"/>
          <w:sz w:val="23"/>
          <w:szCs w:val="23"/>
          <w:color w:val="auto"/>
          <w:vertAlign w:val="superscript"/>
        </w:rPr>
      </w:pPr>
    </w:p>
    <w:p>
      <w:pPr>
        <w:jc w:val="both"/>
        <w:ind w:left="320" w:hanging="314"/>
        <w:spacing w:after="0" w:line="231" w:lineRule="auto"/>
        <w:tabs>
          <w:tab w:leader="none" w:pos="308"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(i) impairment charges related to ROU asset and construction in progress related to halting developments to a previously planned de novo center in Louisville, Kentucky that the Company is no longer pursuing, (ii) loss on assets held for sale, and (iii) loss on settlement of lease liability in Louisville, Kentucky.</w:t>
      </w:r>
    </w:p>
    <w:p>
      <w:pPr>
        <w:spacing w:after="0" w:line="135"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loss on sale of center equipment that was originally purchased for the center in Louisville, Kentucky.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principally through cash flows from operations and through borrowings under our credit facilities. As of the years ended June 30, 2025 and 2024, we had cash and cash equivalents of $64.1 million and $56.9 million, respectively, an increase of $7.2 million primarily due to an increase in working capital partially offset by cash used in financing activities including share repurchases. Our cash and cash equivalents primarily consist of highly liquid investments in demand deposit accounts and cash.</w:t>
      </w:r>
    </w:p>
    <w:p>
      <w:pPr>
        <w:spacing w:after="0" w:line="14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capital resources are generally used to fund (i) debt service requirements, the majority of which relate to the quarterly principal payments of the Term Loan A Facility (as defined below) due August 2028, (ii) finance and operating lease obligations, which are generally paid on a monthly basis and include maturities through calendar year 2025 and 2034, respectively, (iii) the operations of our business, (iv) income tax payments, which are generally due on a quarterly and annual basis, (v) capital additions, which include acquisition and de novo centers, and (vi) share repurchases. We also will continue investing in resources and initiatives to provide necessary and quality services to our participants. Collectively, these obligations are expected to represent a significant liquidity requirement of our Company on both a short-term (next 12 months) and long-term (beyond 12 months) basis. For additional information regarding our lease obligations, debt and commitments, see Notes 6 “Leases,” 7 “Long-term Debt,” and 9 “Commitments and Contingencies,” respectively, to our consolidated financial statements included in this Annual Report.</w:t>
      </w:r>
    </w:p>
    <w:p>
      <w:pPr>
        <w:spacing w:after="0" w:line="15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believe that our cash and cash equivalents and our cash flows from operations, available funds and access to financing sources, including our Revolving Credit Facility (as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June 30, 2025, the Credit Agreement consisted of a senior secured term loan (the “Term Loan Facility”) of $75.0 million principal amount and a revolving credit facility (the “Revolving Credit Facility”) of $100.0 million maximum borrowing capacity. Following the entry into Amendment No. 2 to the Credit Agreement on August 8, 2025, the Term Loan Facility was replaced by a $50.7 million term loan (the “Term Loan A Facility”) and the commitments with respect to the Revolving Credit Facility were renewed. The borrowing capacity under the Revolving Credit Facility is subject to (i) any issued amounts under our letters of credit and (ii) applicable covenant compliance restrictions and any other conditions precedent to borrowing. Principal on the Term Loan A Facility is paid each calendar quarter in an amount equal to 1.25% of the initial term loan on closing date.</w:t>
      </w:r>
    </w:p>
    <w:p>
      <w:pPr>
        <w:spacing w:after="0" w:line="14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Outstanding principal amounts under the Credit Agreement accrue interest at a variable interest rate. As of June 30, 2025 and 2024, the interest rate on the Term Loan Facility was 6.13% and 7.18%, respectively. Under the terms of the Credit Agreement, the Revolving Credit Facility fee accrues at 0.25% of the average daily unused amount and is paid quarterly. As of June 30, 2025, we had no borrowings outstanding, $5.2 million of letters of credit issued, and $94.8 million of remaining capacity under the Revolving Credit Facility. As of June 30, 2025, we also had $2.2 million principal amount outstanding under our convertible term loan classified as Liabilities held for sale in our consolidated financial statements in this Annual Report. Monthly principal and interest payments are approximately $0.02 million, and the loan bears interest at an annual rate of 6.68%. The remaining principal balance is due upon maturity, which is August 20, 2030.</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more information about our debt, see Note 7 “Long-term Debt” to our consolidated financial statements included in this Annual Report.</w:t>
      </w:r>
    </w:p>
    <w:p>
      <w:pPr>
        <w:spacing w:after="0" w:line="17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primarily relate to long-term debt and lease obligations. Expected timing of those payments as of June 30, 2025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Next 12 Months</w:t>
            </w:r>
          </w:p>
        </w:tc>
        <w:tc>
          <w:tcPr>
            <w:tcW w:w="140" w:type="dxa"/>
            <w:vAlign w:val="bottom"/>
          </w:tcPr>
          <w:p>
            <w:pPr>
              <w:spacing w:after="0"/>
              <w:rPr>
                <w:sz w:val="16"/>
                <w:szCs w:val="16"/>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Beyond 12 Months</w:t>
            </w:r>
          </w:p>
        </w:tc>
      </w:tr>
      <w:tr>
        <w:trPr>
          <w:trHeight w:val="38"/>
        </w:trPr>
        <w:tc>
          <w:tcPr>
            <w:tcW w:w="66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7"/>
        </w:trPr>
        <w:tc>
          <w:tcPr>
            <w:tcW w:w="6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6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(excluding interest)</w:t>
            </w:r>
            <w:r>
              <w:rPr>
                <w:rFonts w:ascii="Times New Roman" w:cs="Times New Roman" w:eastAsia="Times New Roman" w:hAnsi="Times New Roman"/>
                <w:sz w:val="20"/>
                <w:szCs w:val="20"/>
                <w:color w:val="auto"/>
                <w:vertAlign w:val="superscript"/>
              </w:rPr>
              <w:t>(1)</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57,750</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36,385</w:t>
            </w:r>
          </w:p>
        </w:tc>
      </w:tr>
      <w:tr>
        <w:trPr>
          <w:trHeight w:val="25"/>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leases (excluding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15,442</w:t>
            </w:r>
          </w:p>
        </w:tc>
      </w:tr>
      <w:tr>
        <w:trPr>
          <w:trHeight w:val="256"/>
        </w:trPr>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109,577</w:t>
            </w:r>
          </w:p>
        </w:tc>
      </w:tr>
      <w:tr>
        <w:trPr>
          <w:trHeight w:val="22"/>
        </w:trPr>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93" w:lineRule="exact"/>
        <w:rPr>
          <w:sz w:val="20"/>
          <w:szCs w:val="20"/>
          <w:color w:val="auto"/>
        </w:rPr>
      </w:pPr>
    </w:p>
    <w:p>
      <w:pPr>
        <w:ind w:left="320" w:hanging="314"/>
        <w:spacing w:after="0" w:line="274" w:lineRule="auto"/>
        <w:tabs>
          <w:tab w:leader="none" w:pos="31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principal amount related to the Term Loan Facility as of June 30, 2025. Amount does not reflect the impact of the refinancing of the Term Loan Facility on August 8, 2025, as described above.</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currently intend to retain substantially all available funds and any future earnings to fund the development and growth of our business, to repay indebtedness, and to repurchase shares, if such repurchases are approved by our Board in the future. We do not anticipate paying any cash dividends in the foreseeable future.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Cash Flows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consolidated statements of cash flows for the year ended June 30, 2025 and 2024 are summarized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69,764</w:t>
            </w:r>
          </w:p>
        </w:tc>
        <w:tc>
          <w:tcPr>
            <w:tcW w:w="0" w:type="dxa"/>
            <w:vAlign w:val="bottom"/>
          </w:tcPr>
          <w:p>
            <w:pPr>
              <w:spacing w:after="0"/>
              <w:rPr>
                <w:sz w:val="1"/>
                <w:szCs w:val="1"/>
                <w:color w:val="auto"/>
              </w:rPr>
            </w:pP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20,823</w:t>
            </w: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7"/>
              </w:rPr>
              <w:t>(12,048)</w:t>
            </w:r>
          </w:p>
        </w:tc>
        <w:tc>
          <w:tcPr>
            <w:tcW w:w="0" w:type="dxa"/>
            <w:vAlign w:val="bottom"/>
          </w:tcPr>
          <w:p>
            <w:pPr>
              <w:spacing w:after="0"/>
              <w:rPr>
                <w:sz w:val="1"/>
                <w:szCs w:val="1"/>
                <w:color w:val="auto"/>
              </w:rPr>
            </w:pPr>
          </w:p>
        </w:tc>
      </w:tr>
      <w:tr>
        <w:trPr>
          <w:trHeight w:val="256"/>
        </w:trPr>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rPr>
              <w:t>78,539</w:t>
            </w:r>
          </w:p>
        </w:tc>
        <w:tc>
          <w:tcPr>
            <w:tcW w:w="0" w:type="dxa"/>
            <w:vAlign w:val="bottom"/>
          </w:tcPr>
          <w:p>
            <w:pPr>
              <w:spacing w:after="0"/>
              <w:rPr>
                <w:sz w:val="1"/>
                <w:szCs w:val="1"/>
                <w:color w:val="auto"/>
              </w:rPr>
            </w:pPr>
          </w:p>
        </w:tc>
      </w:tr>
      <w:tr>
        <w:trPr>
          <w:trHeight w:val="22"/>
        </w:trPr>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change in net cash provided by (used in) operating activities was primarily due to the net effect of a $67.4 million improvement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cash provided by operating assets and liabilities due to timing of cash receipts and payments for accounts receivable, accounts payable and deferred revenue.</w:t>
      </w:r>
    </w:p>
    <w:p>
      <w:pPr>
        <w:spacing w:after="0" w:line="19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used in investing activities in 2025 was primarily made up of $4.8 millions for the Tabula Rasa acquisition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$6.3 million in purchases of property and equipment. In 2024, net cash used in investing activities was primarily due to $23.9 million for the Concerto acquisition and approximately $7.9 million in purchases of property and equipment.</w:t>
      </w:r>
    </w:p>
    <w:p>
      <w:pPr>
        <w:spacing w:after="0" w:line="14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increase in net cash used in financing activities was primarily due to $7.1 million additional cash used for share repurchases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in 2025 and a $2.9 million contribution from a joint venture partner in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1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(“JOBS”) Act and a “smaller reporting company” as defined by the Exchange Act. For as long as we are an “emerging growth company,” which we expect to be through the end of fiscal year 2026,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shareholder advisory votes on golden parachute compensation.</w:t>
      </w:r>
    </w:p>
    <w:p>
      <w:pPr>
        <w:spacing w:after="0" w:line="1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included in this Annual Report,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consolidated financial statements included in this Annual Report and the reported amounts of revenues and expenses during the reporting period. Actual results may differ from these estimates under different assumptions or conditions, impacting our reported results of operations and financial condition.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accounting policies involve significant judgments and assumptions by management, which have a material impact on the carrying value of assets and liabilities and the recognition of income and expenses. We consider these accounting policies to be critical accounting policies. The estimates and assumptions used by management are based on historical experience and other factors, which are believed to be reasonable under the circumstances.</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“Summary of Significant Accounting Policies” to our consolidated financial statements included in this Annual Report, we believe the following discussion addresses our most critical accounting policies, which are those that are most important to our financial condition and results of operations and require management to make subjective and complex judgments and estimates in the preparation of our consolidated financial statements included in this Annual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93"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 xml:space="preserve">We recognize revenue in accordance with Accounting Standards Codification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Our PACE operating unit provides comprehensive healthcare services to participants on the basis of estimated PMPM amounts we expect to be entitled to receive from the capitated fees per participant that are paid monthly by Medicare, Medicaid, the VA, and private pay sources. We recognize capitation revenues based on the estimated PMPM transaction price to transfer the service for a distinct increment of the series (i.e. month). We recognize revenue in the month in which participants are entitled to receive comprehensive care benefits during the contract term. Medicaid and Medicare capitation revenues are based on PMPM capitation rates under the PACE program, and Medicare rates can fluctuate throughout the contract based on the acuity of each individual participant. In certain contracts, PMPM rates also include “risk adjustments” based on various factors. For additional information see Note 3 “Revenue Recognition”.</w:t>
      </w:r>
    </w:p>
    <w:p>
      <w:pPr>
        <w:spacing w:after="0" w:line="13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For certain capitation payments, the Company is subject to retroactive premium risk adjustments based on various factors. Specifically, there is a midyear true up payment based on updated risk score calculations and a final true up payment to allow for complete diagnosis submission. The Company estimates the amount of the adjustment based on historical experience. Such estimates are then recorded monthly on a straight-line basis over the periods for which they pertain. We review our assumptions and adjust these estimates accordingly on a quarterly basis. These adjustments are not expected to be material.</w:t>
      </w:r>
    </w:p>
    <w:p>
      <w:pPr>
        <w:spacing w:after="0" w:line="12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Certain third-party payor contracts include a Medicare Part D payment related to pharmacy claims, which is subject to risk sharing through accepted risk corridor provisions. Under certain agreements the fund risk allocation is established whereby we, as the contracted provider, receive only a portion of the risk and the associated surplus or deficit. We estimate and recognize an adjustment monthly to Part D capitation revenues related to these risk corridor provisions based upon pharmacy claims experience to date, as if the annual risk contract were to terminate at the end of the reporting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Goodwill represents the excess of consideration paid over the fair value of net assets acquired through business acquisitions. Goodwill is not amortized but is tested for impairment at least annually.</w:t>
      </w:r>
    </w:p>
    <w:p>
      <w:pPr>
        <w:spacing w:after="0" w:line="12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test goodwill for impairment annually on April 1 or more frequently if triggering events occur or other impairment indicators arise which might impair recoverability. These events or circumstances would include a significant change in the business climate, legal factors, operating performance indicators, competition, sale, disposition of a significant portion of the business, or other factors. Impairment of goodwill is evaluated at the reporting unit level. A reporting unit is defined as an operating segment (i.e. before aggregation or combination), or one level below an operating segment (i.e. a component). For purposes of the annual goodwill impairment assessment, the Company has identified two reporting units, East and West. There were no indicators of impairment identified and no goodwill impairments recorded during the years ended June 30, 2025 and 2024. In determining the fair value of our reporting units, we estimate a number of factors including anticipated future cash flows and discount rates. Although we believe these estimates are reasonable, actual results could differ from those estimates due to the inherent uncertainty involved in making such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and estimated claims</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Reported and estimated claims expenses are costs for third-party healthcare service providers that provide medical care to our participants for which we are contractually obligated to pay (through our full-risk capitation arrangements). The estimated reserve for unpaid claims liability is included in the liability for reported and estimated claims in the consolidated balance sheets and requires estimates including actual member utilization of healthcare services, unit cost trends, participant acuity, changes in net census, known outbreaks of disease or increased incidence of illness such as influenza or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COVID-19 and other factors. We periodically assess our estimates with an independent actuarial expert to ensure our estimates represent the best, most reasonable estimate given the data available to us at the time the estimates are made.</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included incurred but not reported claims of approximately $59.0 million and $55.4 million on our balance sheet as of June 30, 2025 and 2024, respectively. Our recorded medical claims expense estimate is approximately within +/- 5-10% of actual medical claims expense incurred, or less than 1% of our total operating expense.</w:t>
      </w:r>
    </w:p>
    <w:p>
      <w:pPr>
        <w:spacing w:after="0" w:line="13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following tables provide information about incurred and paid claims reporting and development as of June 30, 2025 (except as otherwise noted). The expenses recorded table reflects the amount of claims reported in our consolidated statements of operations as of the end of the applicable fiscal year based on our best and most reasonable estimates and actuarial assessment at the time of such determination. The cumulative actual incurred claims table represents the actual amount of claims incurred by the Company with the benefit of the passage of time. The cumulative actual paid claims table represents the actual amount of claims paid by the Company during the period. The variance between the expense recorded and the cumulative actual incurred claims ranges between approximately 1% and 3% of actual total incurred claims over the periods presented, and such variance may vary based on the factors described above in this section.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2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Expenses Recorded for the Fiscal Years Ended June 30,</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35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Claims incurred year: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2021</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299,432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2023</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291,988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2025</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340,258</w:t>
            </w:r>
          </w:p>
        </w:tc>
        <w:tc>
          <w:tcPr>
            <w:tcW w:w="0" w:type="dxa"/>
            <w:vAlign w:val="bottom"/>
          </w:tcPr>
          <w:p>
            <w:pPr>
              <w:spacing w:after="0"/>
              <w:rPr>
                <w:sz w:val="1"/>
                <w:szCs w:val="1"/>
                <w:color w:val="auto"/>
              </w:rPr>
            </w:pPr>
          </w:p>
        </w:tc>
      </w:tr>
      <w:tr>
        <w:trPr>
          <w:trHeight w:val="25"/>
        </w:trPr>
        <w:tc>
          <w:tcPr>
            <w:tcW w:w="3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299,432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291,988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340,258</w:t>
            </w: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Pharmacy expense</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88,847</w:t>
            </w:r>
          </w:p>
        </w:tc>
        <w:tc>
          <w:tcPr>
            <w:tcW w:w="0" w:type="dxa"/>
            <w:vAlign w:val="bottom"/>
          </w:tcPr>
          <w:p>
            <w:pPr>
              <w:spacing w:after="0"/>
              <w:rPr>
                <w:sz w:val="1"/>
                <w:szCs w:val="1"/>
                <w:color w:val="auto"/>
              </w:rPr>
            </w:pPr>
          </w:p>
        </w:tc>
      </w:tr>
      <w:tr>
        <w:trPr>
          <w:trHeight w:val="25"/>
        </w:trPr>
        <w:tc>
          <w:tcPr>
            <w:tcW w:w="35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External provider costs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429,105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759"/>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5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Cumulative Actual Incurred Claims for the Fiscal Year Ended June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3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3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3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Claims incurred year: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2021</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238,488</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204,792</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204,557</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204,466</w:t>
            </w:r>
          </w:p>
        </w:tc>
      </w:tr>
      <w:tr>
        <w:trPr>
          <w:trHeight w:val="25"/>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333,041</w:t>
            </w: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2023</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281,703</w:t>
            </w:r>
          </w:p>
        </w:tc>
      </w:tr>
      <w:tr>
        <w:trPr>
          <w:trHeight w:val="25"/>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295,350</w:t>
            </w: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2025</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327,069</w:t>
            </w:r>
          </w:p>
        </w:tc>
      </w:tr>
      <w:tr>
        <w:trPr>
          <w:trHeight w:val="25"/>
        </w:trPr>
        <w:tc>
          <w:tcPr>
            <w:tcW w:w="3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1"/>
        </w:trPr>
        <w:tc>
          <w:tcPr>
            <w:tcW w:w="3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1,441,629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02"/>
        </w:trPr>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Cumulative Actual Paid Claims for the Fiscal Year Ended June 30,</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
        </w:trPr>
        <w:tc>
          <w:tcPr>
            <w:tcW w:w="3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3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3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Claims incurred year: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2021</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238,476</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204,792</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204,557</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204,466</w:t>
            </w:r>
          </w:p>
        </w:tc>
      </w:tr>
      <w:tr>
        <w:trPr>
          <w:trHeight w:val="25"/>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333,041</w:t>
            </w: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2023</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281,703</w:t>
            </w:r>
          </w:p>
        </w:tc>
      </w:tr>
      <w:tr>
        <w:trPr>
          <w:trHeight w:val="25"/>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295,335</w:t>
            </w: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2025</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270,011</w:t>
            </w:r>
          </w:p>
        </w:tc>
      </w:tr>
      <w:tr>
        <w:trPr>
          <w:trHeight w:val="25"/>
        </w:trPr>
        <w:tc>
          <w:tcPr>
            <w:tcW w:w="3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3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1,384,556</w:t>
            </w:r>
          </w:p>
        </w:tc>
      </w:tr>
      <w:tr>
        <w:trPr>
          <w:trHeight w:val="25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claims-related liabilities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99"/>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Reported and estimated claims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See Note 2 to our consolidated financial statements “Summary of Significant Accounting Policies—</w:t>
      </w:r>
      <w:r>
        <w:rPr>
          <w:rFonts w:ascii="Times New Roman" w:cs="Times New Roman" w:eastAsia="Times New Roman" w:hAnsi="Times New Roman"/>
          <w:sz w:val="18"/>
          <w:szCs w:val="18"/>
          <w:i w:val="1"/>
          <w:iCs w:val="1"/>
          <w:color w:val="auto"/>
        </w:rPr>
        <w:t>Recently Adopted Accounting Pronouncements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Recent Accounting Pronouncements Not Yet Adopted”</w:t>
      </w:r>
      <w:r>
        <w:rPr>
          <w:rFonts w:ascii="Times New Roman" w:cs="Times New Roman" w:eastAsia="Times New Roman" w:hAnsi="Times New Roman"/>
          <w:sz w:val="18"/>
          <w:szCs w:val="18"/>
          <w:color w:val="auto"/>
        </w:rPr>
        <w:t xml:space="preserve"> for more information.</w:t>
      </w:r>
    </w:p>
    <w:p>
      <w:pPr>
        <w:spacing w:after="0" w:line="12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interest rates. We do not hold financial instruments for trading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June 30, 2025, we had total outstanding borrowings of (i) $60.0 million principal amount under the Term Loan Facility (as defined in Note 7 to the consolidated financial statements included in this Annual Report) and (ii) $2.2 million principal amount under the convertible term loan (included in “Liabilities held for sale” in the consolidated financial statements included in this Annual Report). As of June 30, 2024, we had total outstanding debt of $63.8 million in principal amount under the Term Loan Facility and $2.2 million under the Convertible Term Loan. As of June 30, 2025 and 2024, the interest rate on the Term Loan Facility was 6.13% and 7.18%, respectively.</w:t>
      </w:r>
    </w:p>
    <w:p>
      <w:pPr>
        <w:spacing w:after="0" w:line="1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changes in interest rates as a result of our variable-rate borrowings under the Credit Agreement. Generally, the Company may designate specific borrowings under the Credit Agreement as either base rate borrowings or Secured Overnight Financing Rate (“SOFR”) borrowings. As of June 30, 2025, based on our secured net leverage ratio, the margins of our borrowings under the Term Loan Facility were (a) 0.75% for alternate base rate borrowings and (b) 1.75% for Term SOFR borrowings.</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cash and cash equivalents and interest payments in respect of our debt are subject to market risk due to changes in interest rates. We had cash and cash equivalents of $64.1 million as of June 30, 2025, which are deposited with high credit quality financial institutions and are primarily in demand deposit accounts. We do not believe that an increase or decrease in interest rates of 100 basis points would have a material effect on our business, financial condition or results of operations.</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318"/>
        <w:spacing w:after="0" w:line="250" w:lineRule="auto"/>
        <w:rPr>
          <w:sz w:val="20"/>
          <w:szCs w:val="20"/>
          <w:color w:val="auto"/>
        </w:rPr>
      </w:pPr>
      <w:r>
        <w:rPr>
          <w:rFonts w:ascii="Times New Roman" w:cs="Times New Roman" w:eastAsia="Times New Roman" w:hAnsi="Times New Roman"/>
          <w:sz w:val="18"/>
          <w:szCs w:val="18"/>
          <w:color w:val="auto"/>
        </w:rPr>
        <w:t>We had short-term investments $41.8 million and $45.8 million as of June 30, 2025 and 2024, respectively, which are primarily invested in managed income funds managed by major financial institutions. The funds mainly invest in investment grade, U.S. denominated short-term fixed and floating rate debt securities. Securities are subject to market risk and sensitive to changes in interest rates. While the instruments held by the funds are generally less sensitive to interest rate changes than instruments with longer maturities due to their short-term nature, the funds may face a heightened level of interest rate risk due to changes in monetary policy. During periods when interest rates are low or negative, the funds yields, and total returns may also be low, or the funds may be unable to maintain positive returns. We do not believe that an increase or decrease in interest rates of 100 basis points would have a material effect on these short-term investments.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Index to Consolidated Financial Statements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20" w:type="dxa"/>
            <w:vAlign w:val="bottom"/>
            <w:tcBorders>
              <w:top w:val="single" w:sz="8" w:color="auto"/>
              <w:left w:val="single" w:sz="8" w:color="auto"/>
            </w:tcBorders>
          </w:tcPr>
          <w:p>
            <w:pPr>
              <w:spacing w:after="0"/>
              <w:rPr>
                <w:sz w:val="18"/>
                <w:szCs w:val="18"/>
                <w:color w:val="auto"/>
              </w:rPr>
            </w:pPr>
          </w:p>
        </w:tc>
        <w:tc>
          <w:tcPr>
            <w:tcW w:w="9660" w:type="dxa"/>
            <w:vAlign w:val="bottom"/>
            <w:tcBorders>
              <w:top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1480" w:type="dxa"/>
            <w:vAlign w:val="bottom"/>
            <w:tcBorders>
              <w:top w:val="single" w:sz="8" w:color="auto"/>
              <w:right w:val="single" w:sz="8" w:color="auto"/>
            </w:tcBorders>
          </w:tcPr>
          <w:p>
            <w:pPr>
              <w:jc w:val="right"/>
              <w:ind w:right="1132"/>
              <w:spacing w:after="0"/>
              <w:rPr>
                <w:sz w:val="20"/>
                <w:szCs w:val="20"/>
                <w:color w:val="auto"/>
              </w:rPr>
            </w:pPr>
            <w:r>
              <w:rPr>
                <w:rFonts w:ascii="Times New Roman" w:cs="Times New Roman" w:eastAsia="Times New Roman" w:hAnsi="Times New Roman"/>
                <w:sz w:val="18"/>
                <w:szCs w:val="18"/>
                <w:color w:val="auto"/>
              </w:rPr>
              <w:t>69</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9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9660" w:type="dxa"/>
            <w:vAlign w:val="bottom"/>
            <w:tcBorders>
              <w:right w:val="single" w:sz="8" w:color="auto"/>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Consolidated Balance Sheets as of June 30, 2025 and 202</w:t>
            </w:r>
            <w:r>
              <w:rPr>
                <w:rFonts w:ascii="Times New Roman" w:cs="Times New Roman" w:eastAsia="Times New Roman" w:hAnsi="Times New Roman"/>
                <w:sz w:val="18"/>
                <w:szCs w:val="18"/>
                <w:color w:val="000000"/>
              </w:rPr>
              <w:t>4</w:t>
            </w:r>
          </w:p>
        </w:tc>
        <w:tc>
          <w:tcPr>
            <w:tcW w:w="1480" w:type="dxa"/>
            <w:vAlign w:val="bottom"/>
            <w:tcBorders>
              <w:right w:val="single" w:sz="8" w:color="auto"/>
            </w:tcBorders>
          </w:tcPr>
          <w:p>
            <w:pPr>
              <w:jc w:val="right"/>
              <w:ind w:right="1132"/>
              <w:spacing w:after="0" w:line="192" w:lineRule="exact"/>
              <w:rPr>
                <w:sz w:val="20"/>
                <w:szCs w:val="20"/>
                <w:color w:val="auto"/>
              </w:rPr>
            </w:pPr>
            <w:r>
              <w:rPr>
                <w:rFonts w:ascii="Times New Roman" w:cs="Times New Roman" w:eastAsia="Times New Roman" w:hAnsi="Times New Roman"/>
                <w:sz w:val="18"/>
                <w:szCs w:val="18"/>
                <w:color w:val="auto"/>
              </w:rPr>
              <w:t>70</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98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9660" w:type="dxa"/>
            <w:vAlign w:val="bottom"/>
            <w:tcBorders>
              <w:right w:val="single" w:sz="8" w:color="auto"/>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June 30, 2025 and 202</w:t>
            </w:r>
            <w:r>
              <w:rPr>
                <w:rFonts w:ascii="Times New Roman" w:cs="Times New Roman" w:eastAsia="Times New Roman" w:hAnsi="Times New Roman"/>
                <w:sz w:val="18"/>
                <w:szCs w:val="18"/>
                <w:color w:val="000000"/>
              </w:rPr>
              <w:t>4</w:t>
            </w:r>
          </w:p>
        </w:tc>
        <w:tc>
          <w:tcPr>
            <w:tcW w:w="1480" w:type="dxa"/>
            <w:vAlign w:val="bottom"/>
            <w:tcBorders>
              <w:right w:val="single" w:sz="8" w:color="auto"/>
            </w:tcBorders>
          </w:tcPr>
          <w:p>
            <w:pPr>
              <w:jc w:val="right"/>
              <w:ind w:right="1132"/>
              <w:spacing w:after="0" w:line="192" w:lineRule="exact"/>
              <w:rPr>
                <w:sz w:val="20"/>
                <w:szCs w:val="20"/>
                <w:color w:val="auto"/>
              </w:rPr>
            </w:pPr>
            <w:r>
              <w:rPr>
                <w:rFonts w:ascii="Times New Roman" w:cs="Times New Roman" w:eastAsia="Times New Roman" w:hAnsi="Times New Roman"/>
                <w:sz w:val="18"/>
                <w:szCs w:val="18"/>
                <w:color w:val="auto"/>
              </w:rPr>
              <w:t>71</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9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4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9660" w:type="dxa"/>
            <w:vAlign w:val="bottom"/>
            <w:tcBorders>
              <w:right w:val="single" w:sz="8" w:color="auto"/>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June 30, 2025 and 202</w:t>
            </w:r>
            <w:r>
              <w:rPr>
                <w:rFonts w:ascii="Times New Roman" w:cs="Times New Roman" w:eastAsia="Times New Roman" w:hAnsi="Times New Roman"/>
                <w:sz w:val="18"/>
                <w:szCs w:val="18"/>
                <w:color w:val="000000"/>
              </w:rPr>
              <w:t>4</w:t>
            </w:r>
          </w:p>
        </w:tc>
        <w:tc>
          <w:tcPr>
            <w:tcW w:w="1480" w:type="dxa"/>
            <w:vAlign w:val="bottom"/>
            <w:tcBorders>
              <w:right w:val="single" w:sz="8" w:color="auto"/>
            </w:tcBorders>
          </w:tcPr>
          <w:p>
            <w:pPr>
              <w:jc w:val="right"/>
              <w:ind w:right="1132"/>
              <w:spacing w:after="0" w:line="192" w:lineRule="exact"/>
              <w:rPr>
                <w:sz w:val="20"/>
                <w:szCs w:val="20"/>
                <w:color w:val="auto"/>
              </w:rPr>
            </w:pPr>
            <w:r>
              <w:rPr>
                <w:rFonts w:ascii="Times New Roman" w:cs="Times New Roman" w:eastAsia="Times New Roman" w:hAnsi="Times New Roman"/>
                <w:sz w:val="18"/>
                <w:szCs w:val="18"/>
                <w:color w:val="auto"/>
              </w:rPr>
              <w:t>72</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9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9660" w:type="dxa"/>
            <w:vAlign w:val="bottom"/>
            <w:tcBorders>
              <w:right w:val="single" w:sz="8" w:color="auto"/>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June 30, 2025 and 202</w:t>
            </w:r>
            <w:r>
              <w:rPr>
                <w:rFonts w:ascii="Times New Roman" w:cs="Times New Roman" w:eastAsia="Times New Roman" w:hAnsi="Times New Roman"/>
                <w:sz w:val="18"/>
                <w:szCs w:val="18"/>
                <w:color w:val="000000"/>
              </w:rPr>
              <w:t>4</w:t>
            </w:r>
          </w:p>
        </w:tc>
        <w:tc>
          <w:tcPr>
            <w:tcW w:w="1480" w:type="dxa"/>
            <w:vAlign w:val="bottom"/>
            <w:tcBorders>
              <w:right w:val="single" w:sz="8" w:color="auto"/>
            </w:tcBorders>
          </w:tcPr>
          <w:p>
            <w:pPr>
              <w:jc w:val="right"/>
              <w:ind w:right="1132"/>
              <w:spacing w:after="0" w:line="192" w:lineRule="exact"/>
              <w:rPr>
                <w:sz w:val="20"/>
                <w:szCs w:val="20"/>
                <w:color w:val="auto"/>
              </w:rPr>
            </w:pPr>
            <w:r>
              <w:rPr>
                <w:rFonts w:ascii="Times New Roman" w:cs="Times New Roman" w:eastAsia="Times New Roman" w:hAnsi="Times New Roman"/>
                <w:sz w:val="18"/>
                <w:szCs w:val="18"/>
                <w:color w:val="auto"/>
              </w:rPr>
              <w:t>73</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9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9660" w:type="dxa"/>
            <w:vAlign w:val="bottom"/>
            <w:tcBorders>
              <w:right w:val="single" w:sz="8" w:color="auto"/>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80" w:type="dxa"/>
            <w:vAlign w:val="bottom"/>
            <w:tcBorders>
              <w:right w:val="single" w:sz="8" w:color="auto"/>
            </w:tcBorders>
          </w:tcPr>
          <w:p>
            <w:pPr>
              <w:jc w:val="right"/>
              <w:ind w:right="1132"/>
              <w:spacing w:after="0" w:line="192" w:lineRule="exact"/>
              <w:rPr>
                <w:sz w:val="20"/>
                <w:szCs w:val="20"/>
                <w:color w:val="auto"/>
              </w:rPr>
            </w:pPr>
            <w:r>
              <w:rPr>
                <w:rFonts w:ascii="Times New Roman" w:cs="Times New Roman" w:eastAsia="Times New Roman" w:hAnsi="Times New Roman"/>
                <w:sz w:val="18"/>
                <w:szCs w:val="18"/>
                <w:color w:val="auto"/>
              </w:rPr>
              <w:t>75</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882"/>
        </w:trPr>
        <w:tc>
          <w:tcPr>
            <w:tcW w:w="59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2"/>
        </w:trPr>
        <w:tc>
          <w:tcPr>
            <w:tcW w:w="12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29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180"/>
        <w:spacing w:after="0" w:line="45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InnovAge Holding Corp.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InnovAge Holding Corp. and subsidiaries (the "Company") as of June 30, 2025 and 2024, the related consolidated statements of operations, stockholders' equity, and cash flows, for each of the two years in the period ended June 30, 2025, and the related notes (collectively referred to as the "financial statements"). In our opinion, the financial statements present fairly, in all material respects, the financial position of the Company as of June 30, 2025 and 2024, and the results of its operations and its cash flows for each of the two years in the period ended June 30, 2025, in conformity with accounting principles generally accepted in the United States of America.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3"/>
                <w:szCs w:val="13"/>
                <w:color w:val="auto"/>
              </w:rPr>
            </w:pPr>
          </w:p>
        </w:tc>
        <w:tc>
          <w:tcPr>
            <w:tcW w:w="10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51"/>
        </w:trPr>
        <w:tc>
          <w:tcPr>
            <w:tcW w:w="81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56,946</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Short-term investments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45,833</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1"/>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 of allowance ($— – June 30, 2025 and $6,729 – June 30, 2024)</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48,106</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18,919</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 receivable</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Assets held for sale</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176,108</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173,142</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168,044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193,022</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assets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28,416</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Investments</w:t>
            </w:r>
          </w:p>
        </w:tc>
        <w:tc>
          <w:tcPr>
            <w:tcW w:w="3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Deposits and other</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5,949</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139,949</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w:t>
            </w:r>
          </w:p>
        </w:tc>
        <w:tc>
          <w:tcPr>
            <w:tcW w:w="0" w:type="dxa"/>
            <w:vAlign w:val="bottom"/>
          </w:tcPr>
          <w:p>
            <w:pPr>
              <w:spacing w:after="0"/>
              <w:rPr>
                <w:sz w:val="1"/>
                <w:szCs w:val="1"/>
                <w:color w:val="auto"/>
              </w:rPr>
            </w:pP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noncurrent assets</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350,743</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374,519</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526,851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76,750</w:t>
            </w: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55,459</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55,404</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Due to Medicaid and Medicare</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15,197</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Liabilities held for sale</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164,807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138,599</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12,743</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26,275</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Long-term debt, net of debt issuance costs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57,464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61,478</w:t>
            </w:r>
          </w:p>
        </w:tc>
        <w:tc>
          <w:tcPr>
            <w:tcW w:w="0" w:type="dxa"/>
            <w:vAlign w:val="bottom"/>
          </w:tcPr>
          <w:p>
            <w:pPr>
              <w:spacing w:after="0"/>
              <w:rPr>
                <w:sz w:val="1"/>
                <w:szCs w:val="1"/>
                <w:color w:val="auto"/>
              </w:rPr>
            </w:pPr>
          </w:p>
        </w:tc>
      </w:tr>
      <w:tr>
        <w:trPr>
          <w:trHeight w:val="181"/>
        </w:trPr>
        <w:tc>
          <w:tcPr>
            <w:tcW w:w="8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263,943</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247,853</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(See Note 9)</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 (See Note 4)</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 $0.001 par value; 500,000,000 authorized as of each of June 30, 2025 and 2024; 136,903,271 issued and 135,440,292</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outstanding as of June 30, 2025 and 136,152,858 issued and 136,116,299 outstanding as of June 30, 2024.</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Treasury stock at cost, 1,462,979 and 36,559 shares as of June 30, 2025 and June 30, 2024, respectively</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343,378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337,615</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Retained deficit</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(101,047)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(68,311)</w:t>
            </w:r>
          </w:p>
        </w:tc>
        <w:tc>
          <w:tcPr>
            <w:tcW w:w="0" w:type="dxa"/>
            <w:vAlign w:val="bottom"/>
          </w:tcPr>
          <w:p>
            <w:pPr>
              <w:spacing w:after="0"/>
              <w:rPr>
                <w:sz w:val="1"/>
                <w:szCs w:val="1"/>
                <w:color w:val="auto"/>
              </w:rPr>
            </w:pP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InnovAge Holding Corp.</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234,968</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269,261</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0" w:type="dxa"/>
            <w:vAlign w:val="bottom"/>
          </w:tcPr>
          <w:p>
            <w:pPr>
              <w:spacing w:after="0"/>
              <w:rPr>
                <w:sz w:val="1"/>
                <w:szCs w:val="1"/>
                <w:color w:val="auto"/>
              </w:rPr>
            </w:pP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237,898</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277,608</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526,851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4"/>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r>
      <w:tr>
        <w:trPr>
          <w:trHeight w:val="24"/>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852,353</w:t>
            </w:r>
          </w:p>
        </w:tc>
        <w:tc>
          <w:tcPr>
            <w:tcW w:w="100" w:type="dxa"/>
            <w:vAlign w:val="bottom"/>
          </w:tcPr>
          <w:p>
            <w:pPr>
              <w:spacing w:after="0"/>
              <w:rPr>
                <w:sz w:val="21"/>
                <w:szCs w:val="21"/>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762,570</w:t>
            </w:r>
          </w:p>
        </w:tc>
      </w:tr>
      <w:tr>
        <w:trPr>
          <w:trHeight w:val="252"/>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45"/>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853,699</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763,855</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431,152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403,010</w:t>
            </w:r>
          </w:p>
        </w:tc>
      </w:tr>
      <w:tr>
        <w:trPr>
          <w:trHeight w:val="258"/>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228,781</w:t>
            </w:r>
          </w:p>
        </w:tc>
      </w:tr>
      <w:tr>
        <w:trPr>
          <w:trHeight w:val="24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24,957</w:t>
            </w:r>
          </w:p>
        </w:tc>
      </w:tr>
      <w:tr>
        <w:trPr>
          <w:trHeight w:val="258"/>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111,337</w:t>
            </w:r>
          </w:p>
        </w:tc>
      </w:tr>
      <w:tr>
        <w:trPr>
          <w:trHeight w:val="24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r>
      <w:tr>
        <w:trPr>
          <w:trHeight w:val="252"/>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Impairments and loss on assets held for sale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883,460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787,035</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w:t>
            </w:r>
          </w:p>
        </w:tc>
      </w:tr>
      <w:tr>
        <w:trPr>
          <w:trHeight w:val="265"/>
        </w:trPr>
        <w:tc>
          <w:tcPr>
            <w:tcW w:w="8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58"/>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gain on cost and equity method investments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46"/>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5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(21,819)</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(35,343)</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(23,221)</w:t>
            </w:r>
          </w:p>
        </w:tc>
      </w:tr>
      <w:tr>
        <w:trPr>
          <w:trHeight w:val="24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r>
      <w:tr>
        <w:trPr>
          <w:trHeight w:val="25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InnovAge Holding Corp.</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(30,313)</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2"/>
        </w:trPr>
        <w:tc>
          <w:tcPr>
            <w:tcW w:w="8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basic</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135,387,555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135,902,214</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135,387,555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135,902,214</w:t>
            </w:r>
          </w:p>
        </w:tc>
      </w:tr>
      <w:tr>
        <w:trPr>
          <w:trHeight w:val="265"/>
        </w:trPr>
        <w:tc>
          <w:tcPr>
            <w:tcW w:w="8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diluted</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18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8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64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9"/>
                <w:szCs w:val="9"/>
                <w:color w:val="auto"/>
              </w:rPr>
            </w:pPr>
          </w:p>
        </w:tc>
        <w:tc>
          <w:tcPr>
            <w:tcW w:w="800" w:type="dxa"/>
            <w:vAlign w:val="bottom"/>
            <w:gridSpan w:val="2"/>
            <w:vMerge w:val="restart"/>
          </w:tcPr>
          <w:p>
            <w:pPr>
              <w:jc w:val="right"/>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80" w:type="dxa"/>
            <w:vAlign w:val="bottom"/>
            <w:gridSpan w:val="5"/>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080" w:type="dxa"/>
            <w:vAlign w:val="bottom"/>
            <w:gridSpan w:val="3"/>
            <w:vMerge w:val="restart"/>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9"/>
                <w:szCs w:val="9"/>
                <w:color w:val="auto"/>
              </w:rPr>
            </w:pPr>
          </w:p>
        </w:tc>
        <w:tc>
          <w:tcPr>
            <w:tcW w:w="980" w:type="dxa"/>
            <w:vAlign w:val="bottom"/>
            <w:gridSpan w:val="2"/>
            <w:vMerge w:val="restart"/>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8"/>
              </w:rPr>
              <w:t>(Temporary</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6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6"/>
          </w:tcPr>
          <w:p>
            <w:pPr>
              <w:ind w:left="260"/>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135,639,845</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332,107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(35,944)</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302,092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640" w:type="dxa"/>
            <w:vAlign w:val="bottom"/>
            <w:vMerge w:val="continue"/>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800,515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related to</w:t>
            </w: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net share settlements of</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(287,502)</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 from joint</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venture partner</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 at cost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(36,559)</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 for</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(11,029)</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(21,338)</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(23,221)</w:t>
            </w:r>
          </w:p>
        </w:tc>
        <w:tc>
          <w:tcPr>
            <w:tcW w:w="0" w:type="dxa"/>
            <w:vAlign w:val="bottom"/>
          </w:tcPr>
          <w:p>
            <w:pPr>
              <w:spacing w:after="0"/>
              <w:rPr>
                <w:sz w:val="1"/>
                <w:szCs w:val="1"/>
                <w:color w:val="auto"/>
              </w:rPr>
            </w:pPr>
          </w:p>
        </w:tc>
      </w:tr>
      <w:tr>
        <w:trPr>
          <w:trHeight w:val="20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136,116,299</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337,615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(68,311)</w:t>
            </w: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277,608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4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136,116,299</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337,615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(68,311)</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277,608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1,156,941</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related to</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net share settlements of</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(406,528)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 at cost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(1,426,420)</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1,426,420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 for</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(30,313)</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(35,343)</w:t>
            </w:r>
          </w:p>
        </w:tc>
        <w:tc>
          <w:tcPr>
            <w:tcW w:w="0" w:type="dxa"/>
            <w:vAlign w:val="bottom"/>
          </w:tcPr>
          <w:p>
            <w:pPr>
              <w:spacing w:after="0"/>
              <w:rPr>
                <w:sz w:val="1"/>
                <w:szCs w:val="1"/>
                <w:color w:val="auto"/>
              </w:rPr>
            </w:pPr>
          </w:p>
        </w:tc>
      </w:tr>
      <w:tr>
        <w:trPr>
          <w:trHeight w:val="20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2025</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135,440,292</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343,378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(101,047)</w:t>
            </w: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1,462,979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237,898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25,010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 June 30,</w:t>
            </w:r>
          </w:p>
        </w:tc>
        <w:tc>
          <w:tcPr>
            <w:tcW w:w="90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(35,343)</w:t>
            </w:r>
          </w:p>
        </w:tc>
        <w:tc>
          <w:tcPr>
            <w:tcW w:w="10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(23,221)</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Provision for uncollectible accounts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7,010</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18,950</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rentals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5,339</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(gain) on cost and equity method investments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Impairments and loss on assets held for sale</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13,615</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(30,333)</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receivable</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Deposits and other</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12,294</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Due to Medicaid and Medicare</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taxes payable</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(5,610)</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(28,115)</w:t>
            </w:r>
          </w:p>
        </w:tc>
      </w:tr>
      <w:tr>
        <w:trPr>
          <w:trHeight w:val="24"/>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32,866</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(36,898)</w:t>
            </w:r>
          </w:p>
        </w:tc>
      </w:tr>
      <w:tr>
        <w:trPr>
          <w:trHeight w:val="18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(7,914)</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dissolution of equity method investments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4,842</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business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(26,373)</w:t>
            </w:r>
          </w:p>
        </w:tc>
      </w:tr>
      <w:tr>
        <w:trPr>
          <w:trHeight w:val="24"/>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for finance lease obligations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 of equity securities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Contribution from joint venture partner</w:t>
            </w:r>
          </w:p>
        </w:tc>
        <w:tc>
          <w:tcPr>
            <w:tcW w:w="9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Taxes paid related to net settlements of stock-based compensation awards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w:t>
            </w:r>
          </w:p>
        </w:tc>
      </w:tr>
      <w:tr>
        <w:trPr>
          <w:trHeight w:val="24"/>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(19,082)</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(7,034)</w:t>
            </w:r>
          </w:p>
        </w:tc>
      </w:tr>
      <w:tr>
        <w:trPr>
          <w:trHeight w:val="33"/>
        </w:trPr>
        <w:tc>
          <w:tcPr>
            <w:tcW w:w="81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cash equivalents and restricted cash including cash of $1.05 million reclassified to assets held for sale</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(70,305)</w:t>
            </w: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change in cash and restricted cash reclassified to assets held for sale</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&amp; RESTRICTED CASH</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(70,305)</w:t>
            </w: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BEGINNING OF PERIOD</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127,265</w:t>
            </w:r>
          </w:p>
        </w:tc>
      </w:tr>
      <w:tr>
        <w:trPr>
          <w:trHeight w:val="24"/>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END OF PERIOD</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64,140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paid</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4,348</w:t>
            </w:r>
          </w:p>
        </w:tc>
        <w:tc>
          <w:tcPr>
            <w:tcW w:w="10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8"/>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taxes paid</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w:t>
            </w:r>
          </w:p>
        </w:tc>
      </w:tr>
      <w:tr>
        <w:trPr>
          <w:trHeight w:val="24"/>
        </w:trPr>
        <w:tc>
          <w:tcPr>
            <w:tcW w:w="8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included in accounts payable</w:t>
            </w:r>
          </w:p>
        </w:tc>
        <w:tc>
          <w:tcPr>
            <w:tcW w:w="30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1,734</w:t>
            </w:r>
          </w:p>
        </w:tc>
        <w:tc>
          <w:tcPr>
            <w:tcW w:w="6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4"/>
        </w:trPr>
        <w:tc>
          <w:tcPr>
            <w:tcW w:w="57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8"/>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Property and equipment purchased under capital leases</w:t>
            </w:r>
          </w:p>
        </w:tc>
        <w:tc>
          <w:tcPr>
            <w:tcW w:w="308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1,533</w:t>
            </w:r>
          </w:p>
        </w:tc>
        <w:tc>
          <w:tcPr>
            <w:tcW w:w="68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w:t>
            </w:r>
          </w:p>
        </w:tc>
      </w:tr>
      <w:tr>
        <w:trPr>
          <w:trHeight w:val="24"/>
        </w:trPr>
        <w:tc>
          <w:tcPr>
            <w:tcW w:w="570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InnovAge Holding Corp. and its subsidiaries (“InnovAge” or the “Company”), are headquartered in Denver, Colorado. The purpose of the Company’s participant-centered care delivery approach is to improve the quality of care the Company’s participants receive, while keeping them in their homes for as long as safely possible. Through the Company’s Program of All-Inclusive Care for the Elderly (“PACE”), the Company fulfills a broad range of medical and ancillary services for seniors, including in-center services such as primary care, physical therapy, occupational therapy, speech therapy, dental services, mental health and psychiatric services, meals, and activities; transportation to and from the PACE center and third-party medical appointments; and care management, including pharmacy services. The Company manages its business as one reportable segment, PACE.</w:t>
      </w:r>
    </w:p>
    <w:p>
      <w:pPr>
        <w:spacing w:after="0" w:line="145"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As of June 30, 2025, the Company served approximately 7,740 PACE participants, making it the largest PACE provider in the United States of America (the U.S.) based upon participants served, and operated 20 PACE centers across California, Colorado, Florida, New Mexico, Pennsylvania and Virginia.</w:t>
      </w:r>
    </w:p>
    <w:p>
      <w:pPr>
        <w:spacing w:after="0" w:line="10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common stock is traded on the Nasdaq Stock Market LLC (“NASDAQ”) under the ticker symbol “INNV”.</w:t>
      </w:r>
    </w:p>
    <w:p>
      <w:pPr>
        <w:spacing w:after="0" w:line="1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Principles of Consolidation</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U.S. (“GAAP”). The consolidated financial statements include the accounts of the Company, its wholly owned subsidiaries, and variable interest entities (“VIEs”) for which it is the primary beneficiary and entities for which it is the controlling general partner. All intercompany accounts and transactions have been eliminated in consolidation.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the allowance for uncollectible accounts; revenue reserves; useful lives of property and equipment and the valuation of goodwill and intangible assets; risk-score adjustments to participant revenues; reported and estimated claims; accruals; the determination of assumptions for stock-based compensation costs; deferred taxes, including the determination of a need for a valuation allowance; legal contingencies, including medical malpractice claims; the determination of fair value of net assets acquired in a business combination; and other fair value measurements. Actual results may differ from previously estimated amounts.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and cash equivalents consist of cash and financial instruments issued by major financial institutions that have an original maturity of less than three months. Amounts are reported in the consolidated balance sheets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38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Company’s cash and cash equivalents are deposited with high credit quality financial institutions and are primarily in demand deposit accounts. The FDIC insurance coverage is $250,000 on the aggregate of interest bearing and non-interest bearing accounts. The Company has not experienced losses on these accounts and management believes, based upon the quality of the financial institutions, that the credit risk with regard to these deposits is not significant.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Short-term investments consist of investments in managed income fund securities managed by major financial institutions. These securities are measured at fair value on a recurring basis with changes in fair value recognized in earnings. The estimated fair value of the short-term investments is valued using quoted market prices in active markets and classified as Level 1 of the fair value hierarchy. Dividend income is reported within other income (expense) in the Company’s consolidated statements of operations. Dividends received are reinvested in fund securities. We may sell these securities at any time for use in current operations. As a result, we classify our short-term investments as current assets on the Company’s consolidated balance sheets.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Restricted cash includes cash held for participants who have established a personal-needs account to pay for nonmedical personal expenses, payment of which only occurs upon participant authorization, in the amount of approximately $0.01 million and $0.01 million as of June 30, 2025 and 2024, respectively. The Company records a related deposit liability for any participant contributions to these personal-needs accounts in accounts payable and accrued expenses in the consolidated balance sheets.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provides comprehensive healthcare services to participants on the basis of capitated or fixed fees per participant that are paid monthly by Medicare, Medicaid, the VA, and private pay sources. The Company records accounts receivable at net realizable value based upon the estimated amounts the Company expects to be entitled to receive from Medicare, Medicaid, the VA and private pay sources. Estimated reimbursement amounts are adjusted in future periods as final settlements are determined. Accounts are written off as bad debts when they are deemed uncollectible based upon individual credit evaluations and specific circumstances underlying the accounts. See additional information in Note 3 “Revenue Recognition.”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and amortization are recorded using the straight-line method over the shorter of estimated useful lives or lease terms, if the assets are being leased.</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as of June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66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r>
      <w:tr>
        <w:trPr>
          <w:trHeight w:val="25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- 40 years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156,064</w:t>
            </w:r>
          </w:p>
        </w:tc>
      </w:tr>
      <w:tr>
        <w:trPr>
          <w:trHeight w:val="27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30,678</w:t>
            </w:r>
          </w:p>
        </w:tc>
      </w:tr>
      <w:tr>
        <w:trPr>
          <w:trHeight w:val="25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69,495</w:t>
            </w: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r>
      <w:tr>
        <w:trPr>
          <w:trHeight w:val="245"/>
        </w:trPr>
        <w:tc>
          <w:tcPr>
            <w:tcW w:w="6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280,441</w:t>
            </w:r>
          </w:p>
        </w:tc>
      </w:tr>
      <w:tr>
        <w:trPr>
          <w:trHeight w:val="25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(87,419)</w:t>
            </w:r>
          </w:p>
        </w:tc>
      </w:tr>
      <w:tr>
        <w:trPr>
          <w:trHeight w:val="23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193,022</w:t>
            </w:r>
          </w:p>
        </w:tc>
      </w:tr>
      <w:tr>
        <w:trPr>
          <w:trHeight w:val="26"/>
        </w:trPr>
        <w:tc>
          <w:tcPr>
            <w:tcW w:w="6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Depreciation of $18.8 million and $18.3 million was recorded during the fiscal years ended June 30, 2025 and 2024, respectively. Land is not depreciated, and construction in progress is not depreciated until ready for service. Costs of enhancements or modifications that substantially extend the capacity or useful life of an asset are capitalized and depreciated accordingly. Ordinary repairs and maintenance are expensed as incurred.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When property and equipment are retired or otherwise disposed of, the cost and accumulated depreciation are removed from the consolidated balance sheets, and the resulting gain or loss, if any, is reflected in the consolidated statements of operations. Long-lived assets are evaluated for impairment whenever events or changes in circumstances indicate the carrying value of an asset may not be recoverable. The Company recorded a $7.1 million impairment of construction in progress during the fiscal year ended June 30, 2025, related to halting developments to a previously planned de novo center in Louisville, Kentucky that the Company is no longer pursuing. There were no impairment charges recorded in the fiscal year ended June 30,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Arrangements</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enters into various cloud computing arrangements (“CCAs”) that are governed by service contracts (hosting arrangements) to support operations. Application development stage implementation costs (implementation costs) of a hosting arrangement are deferred and recorded to prepaid expenses and other assets in the consolidated balance sheets. Implementation costs are expensed on a straight-line basis and recorded in SG&amp;A expenses in the consolidated statements of operations over the term of the hosting arrangement, including reasonably certain renewals, which are generally one to three years.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Cost method investments do not have a readily determinable fair value and are carried at cost, less impairment plus or minus any changes resulting from observable price changes in orderly transactions for the identical or similar investment of the same issuer.</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uses the equity method to account for investments in entities that it does not control, but in which it has the ability to exercise significant influence over operating and financial policies. The Company’s investments in these nonconsolidated entities are reflected in the Company’s consolidated balance sheets under the equity method, and the Company’s proportionate net income (loss), if any, is included in the Company’s consolidated statements of operations under the equity method.</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evaluates its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During the fiscal years ended June 30, 2025 and June 30, 2024, the Company recorded impairment charges of $2.6 million and $2.0 million, respectively. See Note 4 “Cost and Equity Method Investments” for more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Intangible assets primarily consist of customer relationships acquired through business acquisitions. Goodwill represents the excess of consideration paid over the fair value of net assets acquired through business acquisitions. Goodwill is not amortized but is tested for impairment at least annually.</w:t>
      </w:r>
    </w:p>
    <w:p>
      <w:pPr>
        <w:spacing w:after="0" w:line="1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tests goodwill for impairment annually on April 1st or more frequently if triggering events occur or other impairment indicators arise which might impair recoverability. These events or circumstances would include a significant change in the business climate, legal factors, operating performance indicators, competition, sale, disposition of a significant portion of the business, or other factors. Impairment of goodwill is evaluated at the reporting unit level. A reporting unit is defined as an operating segment (i.e. before aggregation or combination), or one level below an operating segment (i.e. a component). A component of an operating segment is a reporting unit if the component constitutes a business for which discrete financial information is available and segment management regularly reviews the operating results of that component. The Company has two reporting units, East and West, for evaluating goodwill impairment.</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ASC 350, Intangibles — Goodwill and Other (“ASC 350”), allows entities to first use a qualitative approach to test goodwill for impairment. When the reporting units where the Company performs the quantitative goodwill impairment are tested, the Company compares the fair value of the reporting unit, which the Company primarily determines using an income approach based on the present value of discounted cash flows, to the respective carrying value, which includes goodwill. If the fair value of the reporting unit exceeds its carrying value, the goodwill is not considered impaired. If the carrying value is higher than the fair value, the difference would be recognized as an impairment loss. The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performed a quantitative assessment for both fiscal years ended June 30, 2025 and 2024 noting there were no goodwill impairments indicated as the estimated fair value for each reporting unit exceeded their respective carrying value.</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Customer relationships represent the estimated values of customer relationships of acquired businesses and have definite lives. The Company amortizes these intangible assets on a straight-line basis over their ten-year estimated useful life. Intangible assets are reviewed for impairment in conjunction with long-lived assets. There were no intangible asset impairments recorded during the years ended June 30, 2025 and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and Estimated Claims</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Reported and estimated claims consist of unpaid claims reported as of the balance sheet date and estimates of claims incurred on or before June 30 that have not been reported by that date (IBNR). Such estimates are developed using actuarial methods and are based on many variables, including the utilization of healthcare services, historical payment patterns, cost trends, and other factors. These complex estimation methods and the resulting reserves are continually reviewed and updated, and any adjustments deemed necessary to contemplate new or updated information are reflected in current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Debt issuance costs are those costs that have been incurred in connection with the issuance of long-term debt and are offset against long-term debt in the consolidated balance sheets. Such costs are being amortized over the term of the underlying debt using the straight-line method, as the difference between that and the effective interest method are immaterial.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performed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 Medicaid and Medicare capitation revenues are based on a per member, per month (“PMPM”) capitation rates under the PACE program. For a discussion of our revenue recognition policies, please see Note 3 “Revenue Recognition.”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 Claims</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records a liability for medical malpractice claims based on estimated probable losses and costs associated with settling these claims and a receivable to reflect the estimated insurance recoveries, if any. See Note 9 “Commitments and Contingencies.”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purchased services and contracts expenses include media advertising, tactical advertising, and promotion costs. The creative portion of these activities is expensed as incurred. Production costs of advertising and promotional materials are expensed when the advertising is first run, unless such costs support direct-response advertising campaigns. In that case, these costs are capitalized and amortized over the period estimated to benefit from the campaign. Total advertising expenses were $7.2 million and $6.8 million for the fiscal years ended June 30, 2025 and 2024,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Company and its principal shareholder have long-term equity incentive plans that provide for stock-based compensation, including the granting of stock options, profits interests units and restricted stock units to employees, directors, consultants, or advisers, as determined by each of the respective plans.</w:t>
      </w:r>
    </w:p>
    <w:p>
      <w:pPr>
        <w:spacing w:after="0" w:line="10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utilizes the Black-Scholes option-pricing model to determine the fair value of the stock options on the date of grant. This model derives the fair value of the options based on certain assumptions related to expected stock price volatility, expected option life, risk-free interest rate, and dividend yield. The Company uses the Monte Carlo option model to determine the fair value of the granted profits interests units.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service-vesting awards (i.e., restricted stock units), we recognize stock-based compensation expense over the requisite service period, which is generally the vesting period of the respective award, on a straight-line basis. If the award was, in substance, multiple awards, we recognize stock-based compensation expense over the requisite service period for each separately vesting portion of the awards. For performance-vesting awards (i.e., performance stock units), we recognize stock-based compensation expense when it is probable that the performance condition will be achieved. We analyze if a performance condition is probable for each reporting period through the settlement date for awards subject to performance vesting. Stock-based compensation is included in corporate, general and administrative expenses on our consolidated statements of operations.</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Shares issued pursuant to our equity incentive plan are issued from authorized but unissued shares or from shares held by the Company as treasury stock, if any. See Note 10 “Stock-based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9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InnovAge California PACE - Sacramento (“SCR”), and InnovAge Florida PACE II, LLC (“ORL) have elected to be taxed as partnerships, and no provision (benefit) for income taxes for SH1, SCR or ORL is included in these consolidated financial statements.</w:t>
      </w:r>
    </w:p>
    <w:p>
      <w:pPr>
        <w:spacing w:after="0" w:line="13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(benefit) for income taxes.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(VIE)</w:t>
      </w:r>
    </w:p>
    <w:p>
      <w:pPr>
        <w:spacing w:after="0" w:line="19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 VIE is defined as a legal entity whose equity owners do not have sufficient equity at risk or whose equity owners lack certain decision-making and economic rights. The primary beneficiary is identified as the variable interest holder that has both the power to direct the activities of the VIE that most significantly affect the entity’s economic performance and the obligation to absorb losses or the right to receive benefits from the entity. The primary beneficiary is required to consolidate the VIE. SH1 and Pinewood Lodge, LLP (“PWD”) are considered to be VIEs. The Company was not considered the primary beneficiary of PWD but was considered the primary beneficiary of SH1. On March 13, 2024, PWD entered into a Purchase and Sale Agreement for the sale of all of PWD's property, including the Senior Housing unit, which sale closed on May 2, 2024. The partnership was then dissolved. On June 30, 2025, the Company entered into an agreement to sell the Company’s managing member interest in SH1 and vacant land adjacent to SH1 senior housing property. As a result, the Company reported the associated assets and liabilities as Assets held for sale and Liabilities held for sale in the Company’s consolidated balance sheets as of June 30,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which is expected to occur at the end of fiscal year 2026, or (ii) affirmatively and irrevocably opts out of the extended transition period provided in the JOBS Act. As a result, the Company's consolidated financial statements may not be comparable to companies that comply with the new or revised accounting pronouncements as of public company effective dates.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improves reportable segment disclosure requirements, primarily through enhanced disclosures about significant segment expenses that are regularly provided to the chief operating decision maker. Additionally, ASU 2023-07 requires that all existing annual segment disclosures be provided on an interim basis and clarifies that single reportable segment entities are subject to the disclosure requirement under Topic 280 in its entirety. The Company adopted ASU 2023-07 effective for the fiscal year ended June 30, 2025. As a result, the Company has included the additional required disclosures in Note 14 “Segment Reporting” with retrospective presentation to all prior periods presented in the financial statements. The adoption of this guidance did not have a significant impact on the Company’s related disclosure.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additional disclosures related to rate reconciliation, income taxes paid, and other disclosures. ASU 2023-09 requires public companies to annually (i) disclose specific categories in the rate reconciliation and (ii) provide additional information for reconciling items that meet a quantitative threshold. Additionally, ASU 2023-09 requires public companies to annually disclose the amount of income taxes paid, disaggregated by federal, state, and foreign taxes, as well as the amount of income taxes paid by individual jurisdiction. ASU 2023-09 is effective for annual periods beginning after December 15, 2025. The Company is currently evaluating the impact of ASU 2023-09 on its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ASU 2024-03 requires that each interim and annual reporting period, an entity disclose more information about the components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expense captions that is currently disclosed in the financial statements. As revised by ASU 2025-01,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the provisions of ASU 2024-03 are effective for annual reporting periods beginning after December 15,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periods within annual reporting periods beginning after December 15, 2027. Early adoption is permitted. The Company is currently evaluating the effects this guidance will have on its consolidated financial statements.</w:t>
      </w:r>
    </w:p>
    <w:p>
      <w:pPr>
        <w:spacing w:after="0" w:line="187" w:lineRule="exact"/>
        <w:rPr>
          <w:sz w:val="20"/>
          <w:szCs w:val="20"/>
          <w:color w:val="auto"/>
        </w:rPr>
      </w:pPr>
    </w:p>
    <w:p>
      <w:pPr>
        <w:ind w:right="240" w:firstLine="318"/>
        <w:spacing w:after="0" w:line="452" w:lineRule="auto"/>
        <w:rPr>
          <w:sz w:val="20"/>
          <w:szCs w:val="20"/>
          <w:color w:val="auto"/>
        </w:rPr>
      </w:pPr>
      <w:r>
        <w:rPr>
          <w:rFonts w:ascii="Times New Roman" w:cs="Times New Roman" w:eastAsia="Times New Roman" w:hAnsi="Times New Roman"/>
          <w:sz w:val="18"/>
          <w:szCs w:val="18"/>
          <w:color w:val="auto"/>
        </w:rPr>
        <w:t xml:space="preserve">The Company does not expect that any other recently issued accounting guidance will have a significant effect on its consolidated financial statements. </w:t>
      </w:r>
      <w:r>
        <w:rPr>
          <w:rFonts w:ascii="Times New Roman" w:cs="Times New Roman" w:eastAsia="Times New Roman" w:hAnsi="Times New Roman"/>
          <w:sz w:val="18"/>
          <w:szCs w:val="18"/>
          <w:b w:val="1"/>
          <w:bCs w:val="1"/>
          <w:color w:val="auto"/>
        </w:rPr>
        <w:t>Note 3: Revenue Recognition</w:t>
      </w:r>
    </w:p>
    <w:p>
      <w:pPr>
        <w:spacing w:after="0"/>
        <w:rPr>
          <w:sz w:val="20"/>
          <w:szCs w:val="20"/>
          <w:color w:val="auto"/>
        </w:rPr>
      </w:pPr>
      <w:r>
        <w:rPr>
          <w:rFonts w:ascii="Times New Roman" w:cs="Times New Roman" w:eastAsia="Times New Roman" w:hAnsi="Times New Roman"/>
          <w:sz w:val="18"/>
          <w:szCs w:val="18"/>
          <w:i w:val="1"/>
          <w:iCs w:val="1"/>
          <w:color w:val="auto"/>
        </w:rPr>
        <w:t>Capitation Revenue and Accounts Receivable</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PMPM basis. We receive 100% of the pooled capitated payment to directly provide or manage the healthcare needs of our participants.</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5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program have similar performance obligations and therefore groups them into one portfolio. This performance obligation is satisfied over time as the Company provides comprehensive care to its participants.</w:t>
      </w:r>
    </w:p>
    <w:p>
      <w:pPr>
        <w:spacing w:after="0" w:line="1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on our consolidated balance sheets. These costs are amortized over a three-year period which corresponds to the average time a participant is enrolled in the PACE program. As of June 30, 2025 and 2024, contract assets included within deposits and other were $2.2 million and $2.8 million, respectively.</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disaggregates capitation revenue from the following sources for the year ended June 30: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8"/>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9"/>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6"/>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7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 payments according to the CMS risk adjustment payment timeline. Specifically, there is a midyear true up payment based on updated risk score calculations and a final true up payment to allow for complete diagnosis submission. The Company estimates the amount of the adjustment and records it monthly on a straight-line basis. These adjustments are not expected to be material.</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capitation revenues are recognized based on the estimated PMPM transaction price to transfer the service for a distinct increment of the series (i.e. month). We recognize revenue over time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(i) 14% and 12% of capitation revenues for the years ended June 30, 2025 and 2024, respectively, and (ii) 27% and 24% of external provider costs for the years ended June 30, 2025 and 2024, respectively.</w:t>
      </w:r>
    </w:p>
    <w:p>
      <w:pPr>
        <w:spacing w:after="0" w:line="1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provides comprehensive healthcare services to participants on the basis of capitated or fixed fees per participant that are paid monthly by Medicare, Medicaid, the VA, and private pay sources. The concentration of net receivables from participants and third-party payers as of June 30, 2025 and 2024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8"/>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4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5"/>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58"/>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records accounts receivable at net realizable value based upon the estimated amounts the Company expects to be entitled to receive from Medicare, Medicaid, the VA and private pay sources. Estimated reimbursement amounts are adjusted in future periods as final settlements are determined.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Service Revenue and Accounts Receivable</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service revenue primarily consists of revenues derived from state food grants and rent revenues. Accounts receivable related to other service revenue were not significant as of both June 30, 2025 and June 30, 2024.</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1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holds cost method investments as of June 30: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0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81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1060" w:type="dxa"/>
            <w:vAlign w:val="bottom"/>
            <w:tcBorders>
              <w:bottom w:val="single" w:sz="8" w:color="CCEEFF"/>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58"/>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investments</w:t>
            </w:r>
          </w:p>
        </w:tc>
        <w:tc>
          <w:tcPr>
            <w:tcW w:w="1060" w:type="dxa"/>
            <w:vAlign w:val="bottom"/>
            <w:tcBorders>
              <w:top w:val="single" w:sz="8" w:color="auto"/>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Entities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Method Investments</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2025 and 2024, the Company maintained two investments accounted for using the cost method. The Company’s ownership interests are less than 20% of the voting stock of the investments and the Company does not have the ability to exercise significant influence over the operating and financial policies of the investments. The investments do not have a readily determinable fair value and the Company has elected to record the investments at cost, less impairment, if 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JetDoc</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August 2021, the Company acquired a minority interest in shares of common stock of Jetdoc, Inc. (“Jetdoc”), a telehealth and virtual urgent care app, for cash consideration of $2.0 million. The Company determined that indicators of impairment were present as of December 31, 2023, and recognized an impairment loss of $1.9 million during the three months then ended. During the three months ended March 31, 2024, the Company determined that the remaining balance of our investment in Jetdoc was impaired and recognized an additional impairment loss of $0.1 million. Impairment losses are included in gain on cost and equity method investments on our consolidated statements of operations. During the year ended June 30, 2025, there were no observable price changes or impairments recorded. As of June 30, 2025, the Company does not have any ownership interest in JetDoc.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DispatchHealth</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June 14, 2019, the Company invested $1.5 million in DispatchHealth Holdings, Inc. through the purchase of a portion of its outstanding Series B Preferred Stock. On April 2, 2020, the Company invested an additional $1.1 million through the purchase of a portion of its outstanding Series C Preferred Stock. As of June 30, 2024, the balance of the Company’s investment was $2.6 million. The investment does not have a readily determinable fair value and the Company has elected to record the investment at cost, less impairment, if any. During the fiscal year ended June 30, 2024, there were no observable price changes or impairments. During the fiscal year ended June 30, 2025, the Company determined that indicators of impairment were present and recognized a $2.6 million impairment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Pinewood Lodge</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Through May 2, 2024, the Company’s operations included a Senior Housing unit that primarily included the accounts of Continental Community Housing (“CCH”), a wholly-owned subsidiary of the Company and the general partner of PWD, which was organized to develop, construct, own, maintain, and operate certain apartment complexes intended for rental to low-income elderly individuals aged 62 or older.</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PWD was a VIE, but the Company was not the primary beneficiary. The Company did not have the power to direct the activities that most significantly impacted the economic performance of PWD. Accordingly, the Company did not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consolidate PWD. PWD was accounted for using the equity method of accounting. The equity earnings of PWD were insignificant. As of June 30, 2024, the balance of the Company’s investment in PWD was $0.8 million, which represented the maximum exposure to loss.</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March 13, 2024, PWD entered into a Purchase and Sale Agreement for the sale of all of PWD's property, including the Senior Housing unit. On May 2, 2024, PWD closed on the sale of its Senior Housing property for $9.5 million. Upon completion of the sale, PWD ceased providing senior housing services and in June 2024 was dissolved. Following the dissolution, the remaining proceeds from the sale were distributed in accordance with the partnership agreement and as otherwise agreed by the partners.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Entities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Controlling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Florida PACE – Orlando</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May 28, 2024, the Company entered into a Joint Venture Agreement with Orlando Health (“OHI”) to develop and manage PACE centers to serve communities in Orlando, Florida. In connection with the joint venture, the joint venture, InnovAge Florida PACE – Orlando was formed. The Company contributed $26.1 million for its controlling membership interest of 90%. As result, the joint venture’s results are consolidated in the Company’s consolidated financial statements. OHI contributed $2.9 million in cash for its 10% interest.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Florida PACE – Tampa</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August 15, 2025, the Company entered into a Joint Venture Agreement with Tampa General Hospital to develop the Company’s PACE center serving the communities in Tampa, Florida. In connection with the joint venture, the Company contributed an aggregate of $28.8 million for its controlling membership interest of 90%. As a result, the joint venture’s results will be consolidated in the Company’s consolidated financial statements from the JV agreement date forward. Tampa General Hospital contributed $3.2 million in cash for its 10% interest.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Housing</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operations include a 0.01% partnership interest in SH1, which was organized to develop, construct, own, maintain, and operate certain apartment complexes intended for rental to low-income elderly individuals aged 62 or older. SH1 is a VIE. The Company is the primary beneficiary of SH1 and consolidates SH1 because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June 30, 2025, the Company entered into an agreement to sell the Company’s managing member interest in SH1 and vacant land adjacent to SH1 senior housing property. As a result, the Company reported the associated assets and liabilities as Assets held for sale and Liabilities held for sale in the Company’s Consolidated Balance Sheets as of June 30, 2025. The Company has recorded the Assets held for sale, net of Liabilities held for sale at the fair value, less cost to sell, and as a result recorded a $4.5 million loss on assets held for sale for the year ended June 30,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Sacramento</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Further, Adventist contributed $5.8 million in cash and Eskaton contributed $3.0 million in cash for membership interests of 26.4% and 13.7%, respectively. In fiscal year 2021, the Company made an additional contribution of $52,000 and obtained an additional 0.1% membership interest in the joint venture, which resulted in the Company obtaining control and consolidating InnovAge Sacramento as of January 1, 2021.</w:t>
      </w:r>
    </w:p>
    <w:p>
      <w:pPr>
        <w:spacing w:after="0" w:line="1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InnovAge California PACE-Sacramento LLC Limited Liability Company Agreement (the “JV Agreement”) includes numerous provisions whereby, if certain conditions are met, the joint venture may be required to purchase, at fair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market value, certain members’ interests or certain members may be required to purchase, at fair market value, the interests of certain other members. 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of June 30, 2025, none of the conditions specified in the JV Agreement had been met. Accordingly, these put rights held by the noncontrolling interests of the joint venture are required to be presented as temporary equity. As of June 30, 2025 and 2024, the Company’s redeemable noncontrolling interest was recorded at fair value of $25.0 million and $22.2 million, respectively.</w:t>
      </w:r>
    </w:p>
    <w:p>
      <w:pPr>
        <w:spacing w:after="0" w:line="1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Goodwill amounted to $142.0 million and $139.9 million as of June 30, 2025 and June 30, 2024, respectively. The Company had one acquisition resulting in goodwill during each of the years ended June 30, 2025 and 2024, see additional information in Note 11 “Acquisitions.” Goodwill is not amortized.</w:t>
      </w:r>
    </w:p>
    <w:p>
      <w:pPr>
        <w:spacing w:after="0" w:line="15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Pursuant to ASC 350, “Intangibles — Goodwill and Other,” we review the recoverability of goodwill annually as of April 1 or whenever significant events or changes occur which might impair the recovery of recorded amounts. For purposes of the annual goodwill impairment assessment for fiscal year 2025, the Company identified two reporting units, East and West. There were no indicators of impairment identified and no goodwill impairments recorded during the years ended June 30, 2025 and 2024.</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for the fiscal years ended June 30:</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92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139,949</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124,217</w:t>
            </w:r>
          </w:p>
        </w:tc>
        <w:tc>
          <w:tcPr>
            <w:tcW w:w="0" w:type="dxa"/>
            <w:vAlign w:val="bottom"/>
          </w:tcPr>
          <w:p>
            <w:pPr>
              <w:spacing w:after="0"/>
              <w:rPr>
                <w:sz w:val="1"/>
                <w:szCs w:val="1"/>
                <w:color w:val="auto"/>
              </w:rPr>
            </w:pPr>
          </w:p>
        </w:tc>
      </w:tr>
      <w:tr>
        <w:trPr>
          <w:trHeight w:val="24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142,046</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139,949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80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8"/>
              </w:rPr>
              <w:t>6,600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Permits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8"/>
              </w:rPr>
              <w:t>2,000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8"/>
              </w:rPr>
              <w:t>8,600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4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center"/>
              <w:ind w:left="474"/>
              <w:spacing w:after="0"/>
              <w:rPr>
                <w:sz w:val="20"/>
                <w:szCs w:val="20"/>
                <w:color w:val="auto"/>
              </w:rPr>
            </w:pPr>
            <w:r>
              <w:rPr>
                <w:rFonts w:ascii="Times New Roman" w:cs="Times New Roman" w:eastAsia="Times New Roman" w:hAnsi="Times New Roman"/>
                <w:sz w:val="18"/>
                <w:szCs w:val="18"/>
                <w:color w:val="auto"/>
                <w:w w:val="98"/>
              </w:rPr>
              <w:t>(4,723)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8"/>
              </w:rPr>
              <w:t>3,877</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Intangible assets with a finite useful life continue to be amortized over their useful lives. The Company recorded amortization expense of $0.7 million for each of the years ended June 30, 2025 and 2024.</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total expected future annual amortization expense for the next 5 years ended June 30,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37"/>
        </w:trPr>
        <w:tc>
          <w:tcPr>
            <w:tcW w:w="97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5"/>
        </w:trPr>
        <w:tc>
          <w:tcPr>
            <w:tcW w:w="9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3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
        </w:trPr>
        <w:tc>
          <w:tcPr>
            <w:tcW w:w="9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97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4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years ended June 30, 2025 and 2024.</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Arrangements as Lessee</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2025 through 2034. We determine if an arrangement is a lease upon commencement of the contract. If an arrangement is determined to be a long-term lease (greater than 12 months), we recognize a right-of-use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elected to apply the short-term lease exception for contracts that have a lease term of twelve months or less and do not include an option to purchase the underlying asset. Therefore, we do not recognize a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components of our ROU assets and their classification in our Balance Sheet as of June 30.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Balances</w:t>
            </w:r>
          </w:p>
        </w:tc>
        <w:tc>
          <w:tcPr>
            <w:tcW w:w="51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Balance Sheet Line Items</w:t>
            </w:r>
          </w:p>
        </w:tc>
        <w:tc>
          <w:tcPr>
            <w:tcW w:w="360" w:type="dxa"/>
            <w:vAlign w:val="bottom"/>
          </w:tcPr>
          <w:p>
            <w:pPr>
              <w:spacing w:after="0"/>
              <w:rPr>
                <w:sz w:val="20"/>
                <w:szCs w:val="20"/>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30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30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spacing w:after="0"/>
              <w:rPr>
                <w:sz w:val="15"/>
                <w:szCs w:val="15"/>
                <w:color w:val="auto"/>
              </w:rPr>
            </w:pPr>
          </w:p>
        </w:tc>
      </w:tr>
      <w:tr>
        <w:trPr>
          <w:trHeight w:val="38"/>
        </w:trPr>
        <w:tc>
          <w:tcPr>
            <w:tcW w:w="3040" w:type="dxa"/>
            <w:vAlign w:val="bottom"/>
          </w:tcPr>
          <w:p>
            <w:pPr>
              <w:spacing w:after="0"/>
              <w:rPr>
                <w:sz w:val="3"/>
                <w:szCs w:val="3"/>
                <w:color w:val="auto"/>
              </w:rPr>
            </w:pPr>
          </w:p>
        </w:tc>
        <w:tc>
          <w:tcPr>
            <w:tcW w:w="5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5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Operating lease assets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10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w:t>
            </w:r>
          </w:p>
        </w:tc>
      </w:tr>
      <w:tr>
        <w:trPr>
          <w:trHeight w:val="25"/>
        </w:trPr>
        <w:tc>
          <w:tcPr>
            <w:tcW w:w="30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51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r>
      <w:tr>
        <w:trPr>
          <w:trHeight w:val="258"/>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5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44,324</w:t>
            </w:r>
          </w:p>
        </w:tc>
      </w:tr>
      <w:tr>
        <w:trPr>
          <w:trHeight w:val="20"/>
        </w:trPr>
        <w:tc>
          <w:tcPr>
            <w:tcW w:w="30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680" w:firstLine="318"/>
        <w:spacing w:after="0" w:line="274" w:lineRule="auto"/>
        <w:rPr>
          <w:sz w:val="20"/>
          <w:szCs w:val="20"/>
          <w:color w:val="auto"/>
        </w:rPr>
      </w:pPr>
      <w:r>
        <w:rPr>
          <w:rFonts w:ascii="Times New Roman" w:cs="Times New Roman" w:eastAsia="Times New Roman" w:hAnsi="Times New Roman"/>
          <w:sz w:val="18"/>
          <w:szCs w:val="18"/>
          <w:color w:val="auto"/>
        </w:rPr>
        <w:t>The Company recorded a $1.4 million impairment of operating lease ROU assets during the year ended June 30, 2025. See Note 2, “Summary of Significant Accounting Policies.” There were no impairments during the fiscal year ended June 30, 2024.</w:t>
      </w:r>
    </w:p>
    <w:p>
      <w:pPr>
        <w:spacing w:after="0" w:line="137"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components of our lease cost and the classification of such costs in our Statements of Operations for the years ended June 30.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50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Statements of Operations Line Items</w:t>
            </w:r>
          </w:p>
        </w:tc>
        <w:tc>
          <w:tcPr>
            <w:tcW w:w="360" w:type="dxa"/>
            <w:vAlign w:val="bottom"/>
          </w:tcPr>
          <w:p>
            <w:pPr>
              <w:spacing w:after="0"/>
              <w:rPr>
                <w:sz w:val="20"/>
                <w:szCs w:val="20"/>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100" w:type="dxa"/>
            <w:vAlign w:val="bottom"/>
          </w:tcPr>
          <w:p>
            <w:pPr>
              <w:spacing w:after="0"/>
              <w:rPr>
                <w:sz w:val="3"/>
                <w:szCs w:val="3"/>
                <w:color w:val="auto"/>
              </w:rPr>
            </w:pPr>
          </w:p>
        </w:tc>
        <w:tc>
          <w:tcPr>
            <w:tcW w:w="5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spacing w:after="0"/>
              <w:rPr>
                <w:sz w:val="19"/>
                <w:szCs w:val="19"/>
                <w:color w:val="auto"/>
              </w:rPr>
            </w:pPr>
          </w:p>
        </w:tc>
        <w:tc>
          <w:tcPr>
            <w:tcW w:w="5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Cost of care excluding depreciation and amortization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0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0" w:type="dxa"/>
            <w:vAlign w:val="bottom"/>
          </w:tcPr>
          <w:p>
            <w:pPr>
              <w:spacing w:after="0"/>
              <w:rPr>
                <w:sz w:val="1"/>
                <w:szCs w:val="1"/>
                <w:color w:val="auto"/>
              </w:rPr>
            </w:pPr>
          </w:p>
        </w:tc>
      </w:tr>
      <w:tr>
        <w:trPr>
          <w:trHeight w:val="24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5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50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40"/>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0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spacing w:after="0"/>
              <w:rPr>
                <w:sz w:val="19"/>
                <w:szCs w:val="19"/>
                <w:color w:val="auto"/>
              </w:rPr>
            </w:pPr>
          </w:p>
        </w:tc>
        <w:tc>
          <w:tcPr>
            <w:tcW w:w="5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Cost of care excluding depreciation and amortization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50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0"/>
        </w:trPr>
        <w:tc>
          <w:tcPr>
            <w:tcW w:w="3100" w:type="dxa"/>
            <w:vAlign w:val="bottom"/>
          </w:tcPr>
          <w:p>
            <w:pPr>
              <w:spacing w:after="0"/>
              <w:rPr>
                <w:sz w:val="19"/>
                <w:szCs w:val="19"/>
                <w:color w:val="auto"/>
              </w:rPr>
            </w:pPr>
          </w:p>
        </w:tc>
        <w:tc>
          <w:tcPr>
            <w:tcW w:w="50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Cost of care excluding depreciation and amortization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50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6"/>
        </w:trPr>
        <w:tc>
          <w:tcPr>
            <w:tcW w:w="310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50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ind w:left="2440"/>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1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10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and finance leases as of June 30.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260" w:type="dxa"/>
            <w:vAlign w:val="bottom"/>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6"/>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8"/>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400" w:type="dxa"/>
            <w:vAlign w:val="bottom"/>
            <w:tcBorders>
              <w:bottom w:val="single" w:sz="8" w:color="CCEEFF"/>
            </w:tcBorders>
            <w:gridSpan w:val="4"/>
            <w:shd w:val="clear" w:color="auto" w:fill="CCEEFF"/>
          </w:tcPr>
          <w:p>
            <w:pPr>
              <w:jc w:val="center"/>
              <w:ind w:left="1478"/>
              <w:spacing w:after="0"/>
              <w:rPr>
                <w:sz w:val="20"/>
                <w:szCs w:val="20"/>
                <w:color w:val="auto"/>
              </w:rPr>
            </w:pPr>
            <w:r>
              <w:rPr>
                <w:rFonts w:ascii="Times New Roman" w:cs="Times New Roman" w:eastAsia="Times New Roman" w:hAnsi="Times New Roman"/>
                <w:sz w:val="18"/>
                <w:szCs w:val="18"/>
                <w:color w:val="auto"/>
                <w:w w:val="98"/>
              </w:rPr>
              <w:t>7.5 years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years</w:t>
            </w:r>
          </w:p>
        </w:tc>
      </w:tr>
      <w:tr>
        <w:trPr>
          <w:trHeight w:val="24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400" w:type="dxa"/>
            <w:vAlign w:val="bottom"/>
            <w:gridSpan w:val="4"/>
          </w:tcPr>
          <w:p>
            <w:pPr>
              <w:jc w:val="center"/>
              <w:ind w:left="1478"/>
              <w:spacing w:after="0"/>
              <w:rPr>
                <w:sz w:val="20"/>
                <w:szCs w:val="20"/>
                <w:color w:val="auto"/>
              </w:rPr>
            </w:pPr>
            <w:r>
              <w:rPr>
                <w:rFonts w:ascii="Times New Roman" w:cs="Times New Roman" w:eastAsia="Times New Roman" w:hAnsi="Times New Roman"/>
                <w:sz w:val="18"/>
                <w:szCs w:val="18"/>
                <w:color w:val="auto"/>
                <w:w w:val="98"/>
              </w:rPr>
              <w:t>3.0 years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55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260" w:type="dxa"/>
            <w:vAlign w:val="bottom"/>
          </w:tcPr>
          <w:p>
            <w:pPr>
              <w:jc w:val="right"/>
              <w:ind w:right="10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6"/>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8"/>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tcBorders>
              <w:bottom w:val="single" w:sz="8" w:color="CCEEFF"/>
            </w:tcBorders>
            <w:shd w:val="clear" w:color="auto" w:fill="CCEEFF"/>
          </w:tcPr>
          <w:p>
            <w:pPr>
              <w:jc w:val="center"/>
              <w:ind w:left="1638"/>
              <w:spacing w:after="0"/>
              <w:rPr>
                <w:sz w:val="20"/>
                <w:szCs w:val="20"/>
                <w:color w:val="auto"/>
              </w:rPr>
            </w:pPr>
            <w:r>
              <w:rPr>
                <w:rFonts w:ascii="Times New Roman" w:cs="Times New Roman" w:eastAsia="Times New Roman" w:hAnsi="Times New Roman"/>
                <w:sz w:val="18"/>
                <w:szCs w:val="18"/>
                <w:color w:val="auto"/>
                <w:w w:val="97"/>
              </w:rPr>
              <w:t>7.00 %</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r>
      <w:tr>
        <w:trPr>
          <w:trHeight w:val="24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tcPr>
          <w:p>
            <w:pPr>
              <w:jc w:val="center"/>
              <w:ind w:left="1638"/>
              <w:spacing w:after="0"/>
              <w:rPr>
                <w:sz w:val="20"/>
                <w:szCs w:val="20"/>
                <w:color w:val="auto"/>
              </w:rPr>
            </w:pPr>
            <w:r>
              <w:rPr>
                <w:rFonts w:ascii="Times New Roman" w:cs="Times New Roman" w:eastAsia="Times New Roman" w:hAnsi="Times New Roman"/>
                <w:sz w:val="18"/>
                <w:szCs w:val="18"/>
                <w:color w:val="auto"/>
                <w:w w:val="97"/>
              </w:rPr>
              <w:t>7.68 %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r>
    </w:tbl>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includes the future maturities of lease payments for operating leases and finance leases for periods subsequent to June 30,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5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35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13,199</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r>
      <w:tr>
        <w:trPr>
          <w:trHeight w:val="26"/>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r>
      <w:tr>
        <w:trPr>
          <w:trHeight w:val="2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w:t>
            </w:r>
          </w:p>
        </w:tc>
      </w:tr>
      <w:tr>
        <w:trPr>
          <w:trHeight w:val="25"/>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r>
      <w:tr>
        <w:trPr>
          <w:trHeight w:val="2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w:t>
            </w:r>
          </w:p>
        </w:tc>
      </w:tr>
      <w:tr>
        <w:trPr>
          <w:trHeight w:val="25"/>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42,657</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65,026</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liability accretion / imputed interest</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(14,057)</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(23,657)</w:t>
            </w:r>
          </w:p>
        </w:tc>
      </w:tr>
      <w:tr>
        <w:trPr>
          <w:trHeight w:val="26"/>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41,369</w:t>
            </w:r>
          </w:p>
        </w:tc>
      </w:tr>
      <w:tr>
        <w:trPr>
          <w:trHeight w:val="2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w:t>
            </w:r>
          </w:p>
        </w:tc>
      </w:tr>
      <w:tr>
        <w:trPr>
          <w:trHeight w:val="25"/>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3"/>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35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our long-term debt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4"/>
                <w:szCs w:val="14"/>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Facility</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w:t>
            </w:r>
          </w:p>
        </w:tc>
      </w:tr>
      <w:tr>
        <w:trPr>
          <w:trHeight w:val="25"/>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term loan</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3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65,989</w:t>
            </w:r>
          </w:p>
        </w:tc>
      </w:tr>
      <w:tr>
        <w:trPr>
          <w:trHeight w:val="25"/>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5"/>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maturities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As of June 30, 2025, the SH1 Convertible Term Loan, which was previously classified within Current portion of long-term debt and Long-term debt, net of debt issuance costs, has been transferred to Liabilities held for sale.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(as amended, the “Credit Agreement”) that replaced its prior credit agreement. As of June 30, 2025, the Credit Agreement consisted of a senior secured term loan (the “Term</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Loan Facility”) of $75.0 million principal amount and a revolving credit facility (the “Revolving Credit Facility”) of $100.0 million maximum borrowing capacity.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8, 2025, the Company entered into Amendment No. 2 to the Credit Agreement. Amendment No. 2 refinanced the Term Loan Facility with a $50.7 million term loan (the “Term Loan A Facility”), renewed the commitments with respect to the Revolving Credit Facility and extended the maturity date of both the Term Loan A Facility and the Revolving Credit Facility to August 8, 2028 from March 8,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Credit Agreement</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Borrowing capacity under the Revolving Credit Facility is subject to (i) any issued amounts under our letters of credit, which as of June 30, 2025 was $5.2 million, and (ii) applicable covenant compliance restrictions and any other conditions precedent to borrowing. Loans under the Credit Agreement are secured by substantially all of the Company’s assets. Principal on the Term Loan Facility and Term Loan A Facility is paid each calendar quarter in an amount equal to 1.25% of the initial term loan on closing date.</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Outstanding principal amounts under the Credit Agreement accrue interest at a variable interest rate. As of June 30, 2025 and 2024, the interest rate on the Term Loan Facility was 6.13% and 7.18%, respectively. Under the terms of the Credit Agreement, the Revolving Credit Facility fee accrues at 0.25% of the average daily unused amount and is paid quarterly. As of June 30, 2025, we had no borrowings outstanding, $5.2 million of letters of credit issued, and $94.8 million of remaining capacity under the Revolving Credit Facility.</w:t>
      </w:r>
    </w:p>
    <w:p>
      <w:pPr>
        <w:spacing w:after="0" w:line="1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Credit Agreement. The Credit Agreement also provides certain restrictions on dividend payments and other equity transactions and requires the Company to make prepayments under specified circumstances. The Company was in compliance with the covenants of the Credit Agreement as of June 30, 2025 and 2024.</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deferred financing costs of $2.0 million are amortized over the term of the underlying debt and unamortized amounts have been offset against long-term debt in the consolidated balance sheets. Total amortization of deferred financing costs was $0.4 million and $0.4 million for the years ended June 30, 2025 and 2024,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Term Loan</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June 29, 2015, SH1 entered into a convertible term loan. Principal and interest payments of $0.02 million are due monthly. The loan bears interest at an annual rate of 6.68%, with the remaining principal balance due upon maturity at August 20, 2030. The loan is secured by a deed of trust to Public Trustee, assignment of leases and rents, security agreements, and SH1’s fixture filing. On June 30, 2025, the Company entered into an agreement to sell the Company’s managing member interest in SH1. As a result, the Company reported the associated liabilities related to the convertible term loan as Liabilities held for sale in the Company’s consolidated balance sheets as of June 30, 2025.</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Aggregate maturities of our debt as of June 30, 2025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Long-term</w:t>
            </w: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debt</w:t>
            </w:r>
          </w:p>
        </w:tc>
        <w:tc>
          <w:tcPr>
            <w:tcW w:w="0" w:type="dxa"/>
            <w:vAlign w:val="bottom"/>
          </w:tcPr>
          <w:p>
            <w:pPr>
              <w:spacing w:after="0"/>
              <w:rPr>
                <w:sz w:val="1"/>
                <w:szCs w:val="1"/>
                <w:color w:val="auto"/>
              </w:rPr>
            </w:pPr>
          </w:p>
        </w:tc>
      </w:tr>
      <w:tr>
        <w:trPr>
          <w:trHeight w:val="38"/>
        </w:trPr>
        <w:tc>
          <w:tcPr>
            <w:tcW w:w="3520" w:type="dxa"/>
            <w:vAlign w:val="bottom"/>
          </w:tcPr>
          <w:p>
            <w:pPr>
              <w:spacing w:after="0"/>
              <w:rPr>
                <w:sz w:val="3"/>
                <w:szCs w:val="3"/>
                <w:color w:val="auto"/>
              </w:rPr>
            </w:pPr>
          </w:p>
        </w:tc>
        <w:tc>
          <w:tcPr>
            <w:tcW w:w="6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5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5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38"/>
        </w:trPr>
        <w:tc>
          <w:tcPr>
            <w:tcW w:w="3520" w:type="dxa"/>
            <w:vAlign w:val="bottom"/>
          </w:tcPr>
          <w:p>
            <w:pPr>
              <w:spacing w:after="0"/>
              <w:rPr>
                <w:sz w:val="3"/>
                <w:szCs w:val="3"/>
                <w:color w:val="auto"/>
              </w:rPr>
            </w:pPr>
          </w:p>
        </w:tc>
        <w:tc>
          <w:tcPr>
            <w:tcW w:w="6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June 30:</w:t>
            </w:r>
          </w:p>
        </w:tc>
        <w:tc>
          <w:tcPr>
            <w:tcW w:w="6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w:t>
            </w: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62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240" w:type="dxa"/>
            <w:vAlign w:val="bottom"/>
            <w:vMerge w:val="restart"/>
          </w:tcPr>
          <w:p>
            <w:pPr>
              <w:jc w:val="right"/>
              <w:ind w:right="3952"/>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352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520" w:type="dxa"/>
            <w:vAlign w:val="bottom"/>
            <w:tcBorders>
              <w:bottom w:val="single" w:sz="8" w:color="9A9A9A"/>
            </w:tcBorders>
          </w:tcPr>
          <w:p>
            <w:pPr>
              <w:spacing w:after="0"/>
              <w:rPr>
                <w:sz w:val="9"/>
                <w:szCs w:val="9"/>
                <w:color w:val="auto"/>
              </w:rPr>
            </w:pPr>
          </w:p>
        </w:tc>
        <w:tc>
          <w:tcPr>
            <w:tcW w:w="6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w:t>
      </w:r>
    </w:p>
    <w:p>
      <w:pPr>
        <w:spacing w:after="0" w:line="189" w:lineRule="exact"/>
        <w:rPr>
          <w:sz w:val="20"/>
          <w:szCs w:val="20"/>
          <w:color w:val="auto"/>
        </w:rPr>
      </w:pPr>
    </w:p>
    <w:p>
      <w:pPr>
        <w:ind w:left="9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for identical assets or liabilities that the entity has the ability to access at the measurement</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date</w:t>
      </w:r>
    </w:p>
    <w:p>
      <w:pPr>
        <w:spacing w:after="0" w:line="156" w:lineRule="exact"/>
        <w:rPr>
          <w:sz w:val="20"/>
          <w:szCs w:val="20"/>
          <w:color w:val="auto"/>
        </w:rPr>
      </w:pPr>
    </w:p>
    <w:p>
      <w:pPr>
        <w:ind w:left="64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or liabilities</w:t>
      </w:r>
    </w:p>
    <w:p>
      <w:pPr>
        <w:spacing w:after="0" w:line="120" w:lineRule="exact"/>
        <w:rPr>
          <w:sz w:val="20"/>
          <w:szCs w:val="20"/>
          <w:color w:val="auto"/>
        </w:rPr>
      </w:pPr>
    </w:p>
    <w:p>
      <w:pPr>
        <w:ind w:left="96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7"/>
          <w:szCs w:val="17"/>
          <w:color w:val="auto"/>
        </w:rPr>
        <w:t>Unobservable inputs to the valuation techniques that are significant to the fair value measurements of the assets or liabilities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Company’s short-term investments that are measured and accounted for at fair value on a recurring basis as of June 30, 2025.</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Short-term</w:t>
            </w:r>
          </w:p>
        </w:tc>
      </w:tr>
      <w:tr>
        <w:trPr>
          <w:trHeight w:val="18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1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Investments</w:t>
            </w:r>
          </w:p>
        </w:tc>
      </w:tr>
      <w:tr>
        <w:trPr>
          <w:trHeight w:val="38"/>
        </w:trPr>
        <w:tc>
          <w:tcPr>
            <w:tcW w:w="7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41,775</w:t>
            </w:r>
          </w:p>
        </w:tc>
      </w:tr>
      <w:tr>
        <w:trPr>
          <w:trHeight w:val="25"/>
        </w:trPr>
        <w:tc>
          <w:tcPr>
            <w:tcW w:w="7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Measurements</w:t>
      </w:r>
    </w:p>
    <w:p>
      <w:pPr>
        <w:spacing w:after="0" w:line="19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June 30, 2025 and 2024, the Company’s redeemable noncontrolling interest was recorded at fair value of $25.0 million and $22.2 million, respectively.</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transfers in and out of Level 3 during the fiscal years ended June 30, 2025 and 2024. The Company’s policy is to recognize transfers as of the actual date of the event or change in circumstances.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be subject to claims. The Company regularly evaluates the status of claims and legal proceedings in which it is involved in order to assess whether a loss is probable or there is a reasonable possibility that a loss may have been incurred, and to determine whether accruals are appropriate. The Company expenses legal costs as such costs are incurred.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Civil Investigative Demands</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The Company continues to fully cooperate with the Attorney General. At this time, the Company is unable to estimate the possible losses or range of losses, if any, from this matter.</w:t>
      </w:r>
    </w:p>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requested information and documents regarding audits, billing, orders tracking, and quality and timeliness of patient services in connection with the Company’s PACE programs in the states where the Company operated as of 2022 (California, Colorado, New Mexico, Pennsylvania, and Virginia). In December 2022, the Company received a supplemental civil investigative demand requesting supplemental information on the same matters. The Company and the DOJ have begun discussions to understand their respective positions on this matter. At this time, the Company is unable to estimate the possible losses or range of losses, if any, from this matter.</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October 2024, the Company received a civil investigative demand from the DOJ under the Federal False Claims Act on a similar subject matter. The demand requests information and documents regarding the Company's relationship as a PACE provider with residential care facilities in California, Colorado, Virginia and New Mexico, related housing costs, and enrollment practices. The Company is fully cooperating with the DOJ and has produced the requested information and documentation. At this time, the Company is unable to estimate the possible losses or range of losses, if any, from this matter.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Lawsuits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October 14, 2021,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asserted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w:t>
      </w:r>
    </w:p>
    <w:p>
      <w:pPr>
        <w:spacing w:after="0" w:line="15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June 2025, the Company and the other defendants entered into an agreement with the plaintiffs to settle all claims in exchange for a payment by the Company of $27.0 million. The settlement agreement received preliminary approval from the District Court on June 17, 2025, and a final approval hearing has been set for November 26, 2025. After adjusting for the settlement amounts to be paid directly by the Company's insurers, the Company accrued expenses of $10.1 million representing its share of the settlement amount during fiscal year 2025. Until the District Court grants final approval of the settlement, there can be no assurances that the settlement will be completed on the terms disclosed herein or at all.</w:t>
      </w:r>
    </w:p>
    <w:p>
      <w:pPr>
        <w:spacing w:after="0" w:line="1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April 20, 2022, the Board received a books and records demand pursuant to Section 220 of the Delaware General Corporation Law, from a purported stockholder of the Company, Brian Hall.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January 22, 2024, upon stipulation of the parties, the court entered an order further staying the litigation pending the close of fact discovery in the Securities Action or upon order of the Court granting a motion to lift the stay. On July 11, 2025, the parties informed the Court of the settlement agreement in the Securities Action and requested until September 10, 2025, to provide a further update. The parties are discussing a potential resolution of this matter, including a potential settlement. The Court has not established any further deadlines. At this time, the Company is unable to estimate the possible losses or range of losses, if any, from this matter.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June 16, 2025, Grane Supply, Inc, d/b/a Grane Rx (“Grane Rx”), the Company’s former pharmacy services vendor, filed an amended demand for arbitration before the American Arbitration Association asserting claims for breach of contract and breach of confidentiality in connection with the Company’s non-renewal and termination of its services agreements with Grane Rx resulting from a discrete Company operational initiative. Grane Rx’s demand seeks various forms of relief, including compensatory damages and injunctive relief. An arbitrator has been appointed and the parties are currently engaged in discovery. Initial mediation took place in May 2025. A final merits hearing in front of the arbitrator is expected to occur in early 2026. At this time, the Company is unable to estimate the possible losses or range of losses, if any, from this matter.</w:t>
      </w:r>
    </w:p>
    <w:p>
      <w:pPr>
        <w:spacing w:after="0" w:line="18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results of legal proceedings and claims are inherently unpredictable and uncertain.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summary of our aggregate stock-based compensation expense is set forth below. Stock-based compensation expense is included in corporate, general and administrative expenses on our consolidated 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June 30,</w:t>
            </w:r>
          </w:p>
        </w:tc>
        <w:tc>
          <w:tcPr>
            <w:tcW w:w="90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Borders>
              <w:bottom w:val="single" w:sz="8" w:color="CCEEFF"/>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 interests units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5"/>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r>
      <w:tr>
        <w:trPr>
          <w:trHeight w:val="258"/>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Profits Interests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TCO Group Holdings, L.P. (the “LP”), the Company’s largest shareholder and prior to the IPO, the Company’s parent, maintains the TCO Group Holdings, L.P. Equity Incentive Plan (the “2020 Equity Incentive Plan”) pursuant to which interests in the LP in the form of Class B Units (profits interests) may be granted to employees, directors, consultants, advisers, and other services providers (including partners) of the LP or any of its affiliates, including the Company. A maximum number of 16,162,177 Class B Units are authorized for grant under the 2020 Equity Incentive Plan. Both performance-based and time-based units were issued under the plan. As of June 30, 2025, a total of 15,872,837 profits interests units have been granted under the 2020 Equity Incentive Plan.</w:t>
      </w:r>
    </w:p>
    <w:p>
      <w:pPr>
        <w:spacing w:after="0" w:line="15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used the Monte Carlo option model to determine the fair value of the granted profits interests units at the time of the grant. Expected stock price volatility is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 During the fiscal year ended June 30, 2024, a total of 2,213,700 Class B Units were awarded to the Company's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Chief Executive Officer, Chief Financial Officer, and Chief Legal Officer. The assumptions under the Monte Carlo model related to the profits interests units for fiscal year 2024, presented on a weighted-average basis, are provided below:</w:t>
      </w:r>
    </w:p>
    <w:p>
      <w:pPr>
        <w:spacing w:after="0" w:line="170"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0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4"/>
              </w:rPr>
              <w:t>- 76.0 %</w:t>
            </w:r>
          </w:p>
        </w:tc>
      </w:tr>
      <w:tr>
        <w:trPr>
          <w:trHeight w:val="23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 - time vesting units</w:t>
            </w:r>
          </w:p>
        </w:tc>
        <w:tc>
          <w:tcPr>
            <w:tcW w:w="32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2.7 - 3.1</w:t>
            </w:r>
          </w:p>
        </w:tc>
        <w:tc>
          <w:tcPr>
            <w:tcW w:w="480" w:type="dxa"/>
            <w:vAlign w:val="bottom"/>
          </w:tcPr>
          <w:p>
            <w:pPr>
              <w:spacing w:after="0"/>
              <w:rPr>
                <w:sz w:val="20"/>
                <w:szCs w:val="20"/>
                <w:color w:val="auto"/>
              </w:rPr>
            </w:pPr>
          </w:p>
        </w:tc>
      </w:tr>
      <w:tr>
        <w:trPr>
          <w:trHeight w:val="26"/>
        </w:trPr>
        <w:tc>
          <w:tcPr>
            <w:tcW w:w="60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3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4"/>
              </w:rPr>
              <w:t>- 4.57 %</w:t>
            </w:r>
          </w:p>
        </w:tc>
      </w:tr>
      <w:tr>
        <w:trPr>
          <w:trHeight w:val="23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0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3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- 2.17</w:t>
            </w:r>
          </w:p>
        </w:tc>
        <w:tc>
          <w:tcPr>
            <w:tcW w:w="480" w:type="dxa"/>
            <w:vAlign w:val="bottom"/>
            <w:tcBorders>
              <w:bottom w:val="single" w:sz="8" w:color="CCEEFF"/>
            </w:tcBorders>
            <w:shd w:val="clear" w:color="auto" w:fill="CCEEFF"/>
          </w:tcPr>
          <w:p>
            <w:pPr>
              <w:spacing w:after="0"/>
              <w:rPr>
                <w:sz w:val="21"/>
                <w:szCs w:val="21"/>
                <w:color w:val="auto"/>
              </w:rPr>
            </w:pPr>
          </w:p>
        </w:tc>
      </w:tr>
      <w:tr>
        <w:trPr>
          <w:trHeight w:val="23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underlying stock</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- 7.27</w:t>
            </w:r>
          </w:p>
        </w:tc>
        <w:tc>
          <w:tcPr>
            <w:tcW w:w="480" w:type="dxa"/>
            <w:vAlign w:val="bottom"/>
          </w:tcPr>
          <w:p>
            <w:pPr>
              <w:spacing w:after="0"/>
              <w:rPr>
                <w:sz w:val="20"/>
                <w:szCs w:val="20"/>
                <w:color w:val="auto"/>
              </w:rPr>
            </w:pPr>
          </w:p>
        </w:tc>
      </w:tr>
    </w:tbl>
    <w:p>
      <w:pPr>
        <w:spacing w:after="0" w:line="2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fiscal year ended June 30, 2025, a total of 650,000 Class B Units were awarded to the Company’s President and Chief Operating Officer. The assumptions under the Monte Carlo model related to profit interests units, presented on a weighted-average basis, are provided below:</w:t>
      </w:r>
    </w:p>
    <w:p>
      <w:pPr>
        <w:spacing w:after="0" w:line="170"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63.0 % %</w:t>
            </w:r>
          </w:p>
        </w:tc>
      </w:tr>
      <w:tr>
        <w:trPr>
          <w:trHeight w:val="24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(years) - time vesting units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20"/>
                <w:szCs w:val="20"/>
                <w:color w:val="auto"/>
              </w:rPr>
            </w:pP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4.18   %</w:t>
            </w:r>
          </w:p>
        </w:tc>
      </w:tr>
      <w:tr>
        <w:trPr>
          <w:trHeight w:val="24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80" w:type="dxa"/>
            <w:vAlign w:val="bottom"/>
            <w:tcBorders>
              <w:bottom w:val="single" w:sz="8" w:color="CCEEFF"/>
            </w:tcBorders>
            <w:shd w:val="clear" w:color="auto" w:fill="CCEEFF"/>
          </w:tcPr>
          <w:p>
            <w:pPr>
              <w:spacing w:after="0"/>
              <w:rPr>
                <w:sz w:val="21"/>
                <w:szCs w:val="21"/>
                <w:color w:val="auto"/>
              </w:rPr>
            </w:pPr>
          </w:p>
        </w:tc>
      </w:tr>
      <w:tr>
        <w:trPr>
          <w:trHeight w:val="24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underlying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480" w:type="dxa"/>
            <w:vAlign w:val="bottom"/>
          </w:tcPr>
          <w:p>
            <w:pPr>
              <w:spacing w:after="0"/>
              <w:rPr>
                <w:sz w:val="20"/>
                <w:szCs w:val="20"/>
                <w:color w:val="auto"/>
              </w:rPr>
            </w:pPr>
          </w:p>
        </w:tc>
      </w:tr>
      <w:tr>
        <w:trPr>
          <w:trHeight w:val="503"/>
        </w:trPr>
        <w:tc>
          <w:tcPr>
            <w:tcW w:w="8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 summary of profits interests activity for the year ended June 30, 2025, was as follows: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Time-based unit awards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8"/>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1,287,113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(433,917)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5"/>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r>
      <w:tr>
        <w:trPr>
          <w:trHeight w:val="28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1,178,196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r>
      <w:tr>
        <w:trPr>
          <w:trHeight w:val="425"/>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Performance-based unit awards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8"/>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1,371,671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5"/>
        </w:trPr>
        <w:tc>
          <w:tcPr>
            <w:tcW w:w="81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18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r>
      <w:tr>
        <w:trPr>
          <w:trHeight w:val="28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1,696,671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total unrecognized compensation cost related to profits interests units outstanding as of June 30, 2025 was $4.0 million, comprised (i) $1.5 million related to time-based unit awards expected to be recognized over a weighted-average period of 2.9 years and (ii) $2.5 million related to performance-based unit awards, which will be recorded when it is probable that the performance-based criteria will be met.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Omnibus Incentive Plan</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March 2021, the Compensation Committee of the Board approved the InnovAge Holding Corp. 2021 Omnibus Incentive Plan (“2021 Omnibus Incentive Plan”), pursuant to which various stock-based awards may be granted to</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employees, directors, consultants, and advisers. The total number of shares of the Company’s common stock authorized under the 2021 Omnibus Incentive Plan is 14,700,000. The Company has issued time-based restricted stock units under this plan to its employees which generally vest over a three-year period with one-third vesting on each anniversary of the date of grant. Certain other vesting periods have also been used. The grant date fair value of restricted stock units with time-based vesting is based on the closing market price of our common stock on the date of grant. Certain other awards, including units and stock options under this plan vest upon achieving specific share price performance criteria and are determined to have performance-based vesting conditions. The Company has also issued time-based vesting stock options under this plan to its employees which generally vest in equal parts over a three-year period.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time-based vesting restricted stock units activity for the year ended June 30, 2025,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59"/>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337"/>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grant-date fair</w:t>
            </w:r>
          </w:p>
        </w:tc>
      </w:tr>
      <w:tr>
        <w:trPr>
          <w:trHeight w:val="19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 - time based</w:t>
            </w:r>
          </w:p>
        </w:tc>
        <w:tc>
          <w:tcPr>
            <w:tcW w:w="14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38"/>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2,864,319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(511,454)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(1,153,471)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9"/>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228,598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6"/>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1,427,992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unrecognized compensation cost related to time-based restricted stock units outstanding as of June 30, 2025, was $5.0 million and is expected to be recognized over a weighted-average period of 1.4 years.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performance-based vesting restricted stock units activity for the year ended June 30, 2025,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grant-date fair</w:t>
            </w:r>
          </w:p>
        </w:tc>
        <w:tc>
          <w:tcPr>
            <w:tcW w:w="0" w:type="dxa"/>
            <w:vAlign w:val="bottom"/>
          </w:tcPr>
          <w:p>
            <w:pPr>
              <w:spacing w:after="0"/>
              <w:rPr>
                <w:sz w:val="1"/>
                <w:szCs w:val="1"/>
                <w:color w:val="auto"/>
              </w:rPr>
            </w:pPr>
          </w:p>
        </w:tc>
      </w:tr>
      <w:tr>
        <w:trPr>
          <w:trHeight w:val="199"/>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 - performance based</w:t>
            </w: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4"/>
        </w:trPr>
        <w:tc>
          <w:tcPr>
            <w:tcW w:w="40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5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40"/>
        </w:trPr>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0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4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06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5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27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0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6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restricted stock units outstanding as of June 30, 2025, was $0.1 million and is expected to be recognized over a weighted-average period of 1.8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time-based vesting stock option activity for the year ended June 30, 2025,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59"/>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336"/>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58"/>
              <w:spacing w:after="0" w:line="159" w:lineRule="exact"/>
              <w:rPr>
                <w:sz w:val="20"/>
                <w:szCs w:val="20"/>
                <w:color w:val="auto"/>
              </w:rPr>
            </w:pPr>
            <w:r>
              <w:rPr>
                <w:rFonts w:ascii="Times New Roman" w:cs="Times New Roman" w:eastAsia="Times New Roman" w:hAnsi="Times New Roman"/>
                <w:sz w:val="14"/>
                <w:szCs w:val="14"/>
                <w:b w:val="1"/>
                <w:bCs w:val="1"/>
                <w:color w:val="auto"/>
                <w:w w:val="99"/>
              </w:rPr>
              <w:t>grant-date fair</w:t>
            </w:r>
          </w:p>
        </w:tc>
      </w:tr>
      <w:tr>
        <w:trPr>
          <w:trHeight w:val="19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options - time based</w:t>
            </w:r>
          </w:p>
        </w:tc>
        <w:tc>
          <w:tcPr>
            <w:tcW w:w="14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38"/>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r>
      <w:tr>
        <w:trPr>
          <w:trHeight w:val="232"/>
        </w:trPr>
        <w:tc>
          <w:tcPr>
            <w:tcW w:w="8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balance, June 30,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485,184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2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unrecognized compensation costs related to time-based vesting stock options outstanding as of June 30, 2025, was $0.01 million and is expected to be recognized over a weighted-average period of 0.2 years.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performance-based vesting stock option activity for the year ended June 30, 2025,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59"/>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grant-date fair</w:t>
            </w:r>
          </w:p>
        </w:tc>
        <w:tc>
          <w:tcPr>
            <w:tcW w:w="0" w:type="dxa"/>
            <w:vAlign w:val="bottom"/>
          </w:tcPr>
          <w:p>
            <w:pPr>
              <w:spacing w:after="0"/>
              <w:rPr>
                <w:sz w:val="1"/>
                <w:szCs w:val="1"/>
                <w:color w:val="auto"/>
              </w:rPr>
            </w:pPr>
          </w:p>
        </w:tc>
      </w:tr>
      <w:tr>
        <w:trPr>
          <w:trHeight w:val="19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options - performance based</w:t>
            </w:r>
          </w:p>
        </w:tc>
        <w:tc>
          <w:tcPr>
            <w:tcW w:w="14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4"/>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stock options outstanding as of June 30, 2025, was $0.2 million and is expected to be recognized over a weighted-average period of 1.5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Concerto</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December 1, 2023, the Company acquired all of the issued and outstanding membership interests of two California-based PACE programs, ConcertoCare PACE of Bakersfield, LLC and ConcertoHealth PACE of Los Angeles, LLC (collectively "Concerto"), from Perfect Health, Inc. d/b/a ConcertoCare, a tech-enabled, value-based provider of at-home, comprehensive care for seniors and other adults with unmet health and social needs, for $23.9 million. We believe the Concerto acquisition complements our California PACE centers. The acquisition was funded through cash on hand. Results of operations from the acquired centers are included in our consolidated statements of operations for the year ended June 30, 2024 beginning with the date of acquisition and were not significant to our results. We incurred costs related to the acquisition of approximately $0.1 million during the year ended June 30, 2024. Acquisition related costs were expensed as incurred and have been recorded in corporate, general and administrative expenses in our consolidated statements of operations.</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Concerto acquisition was accounted for using the purchase method of accounting. The purchase price has been preliminarily allocated to the assets acquired and liabilities assumed based on their estimated fair values at the date of acquisition. During the measurement period, which is up to one year from the acquisition date, we may adjust provisional amounts that were recognized at the acquisition date to reflect new information obtained about facts and circumstances that</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existed as of the acquisition date. The fair values of assets acquired and liabilities assumed may change as the valuation of intangible assets, working capital adjustments, and overall purchase price allocation are being finalized. Goodwill represents the excess of the purchase price over the fair value of net assets acquired. Goodwill recognized represents the estimated future economic benefits arising from expected growth opportunities for the Company and is not deductible for income tax purposes.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finalized allocation of the purchase price to the assets acquired and liabilities assumed as of the acquisition date: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Measurement period</w:t>
            </w:r>
          </w:p>
        </w:tc>
        <w:tc>
          <w:tcPr>
            <w:tcW w:w="420" w:type="dxa"/>
            <w:vAlign w:val="bottom"/>
          </w:tcPr>
          <w:p>
            <w:pPr>
              <w:spacing w:after="0"/>
              <w:rPr>
                <w:sz w:val="18"/>
                <w:szCs w:val="18"/>
                <w:color w:val="auto"/>
              </w:rPr>
            </w:pP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w:t>
            </w:r>
          </w:p>
        </w:tc>
      </w:tr>
      <w:tr>
        <w:trPr>
          <w:trHeight w:val="233"/>
        </w:trPr>
        <w:tc>
          <w:tcPr>
            <w:tcW w:w="4760" w:type="dxa"/>
            <w:vAlign w:val="bottom"/>
          </w:tcPr>
          <w:p>
            <w:pPr>
              <w:spacing w:after="0"/>
              <w:rPr>
                <w:sz w:val="20"/>
                <w:szCs w:val="20"/>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420" w:type="dxa"/>
            <w:vAlign w:val="bottom"/>
          </w:tcPr>
          <w:p>
            <w:pPr>
              <w:spacing w:after="0"/>
              <w:rPr>
                <w:sz w:val="20"/>
                <w:szCs w:val="20"/>
                <w:color w:val="auto"/>
              </w:rPr>
            </w:pP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5"/>
        </w:trPr>
        <w:tc>
          <w:tcPr>
            <w:tcW w:w="47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3"/>
        </w:trPr>
        <w:tc>
          <w:tcPr>
            <w:tcW w:w="4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center"/>
              <w:ind w:right="112"/>
              <w:spacing w:after="0"/>
              <w:rPr>
                <w:sz w:val="20"/>
                <w:szCs w:val="20"/>
                <w:color w:val="auto"/>
              </w:rPr>
            </w:pPr>
            <w:r>
              <w:rPr>
                <w:rFonts w:ascii="Times New Roman" w:cs="Times New Roman" w:eastAsia="Times New Roman" w:hAnsi="Times New Roman"/>
                <w:sz w:val="16"/>
                <w:szCs w:val="16"/>
                <w:i w:val="1"/>
                <w:iCs w:val="1"/>
                <w:color w:val="auto"/>
                <w:w w:val="98"/>
              </w:rPr>
              <w:t>in thousands</w:t>
            </w: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74"/>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1560" w:type="dxa"/>
            <w:vAlign w:val="bottom"/>
            <w:tcBorders>
              <w:bottom w:val="single" w:sz="8" w:color="CCEEFF"/>
            </w:tcBorders>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CCEEFF"/>
            </w:tcBorders>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58"/>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1560" w:type="dxa"/>
            <w:vAlign w:val="bottom"/>
            <w:tcBorders>
              <w:top w:val="single" w:sz="8" w:color="auto"/>
              <w:bottom w:val="single" w:sz="8" w:color="auto"/>
            </w:tcBorders>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2"/>
        </w:trPr>
        <w:tc>
          <w:tcPr>
            <w:tcW w:w="47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4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560" w:type="dxa"/>
            <w:vAlign w:val="bottom"/>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5"/>
        </w:trPr>
        <w:tc>
          <w:tcPr>
            <w:tcW w:w="4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4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r>
      <w:tr>
        <w:trPr>
          <w:trHeight w:val="25"/>
        </w:trPr>
        <w:tc>
          <w:tcPr>
            <w:tcW w:w="4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w:t>
            </w:r>
          </w:p>
        </w:tc>
      </w:tr>
      <w:tr>
        <w:trPr>
          <w:trHeight w:val="26"/>
        </w:trPr>
        <w:tc>
          <w:tcPr>
            <w:tcW w:w="4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6"/>
        </w:trPr>
        <w:tc>
          <w:tcPr>
            <w:tcW w:w="4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and estimated claims</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4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r>
      <w:tr>
        <w:trPr>
          <w:trHeight w:val="25"/>
        </w:trPr>
        <w:tc>
          <w:tcPr>
            <w:tcW w:w="4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8"/>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assets and liabilities</w:t>
            </w:r>
          </w:p>
        </w:tc>
        <w:tc>
          <w:tcPr>
            <w:tcW w:w="1560" w:type="dxa"/>
            <w:vAlign w:val="bottom"/>
            <w:tcBorders>
              <w:top w:val="single" w:sz="8" w:color="auto"/>
              <w:bottom w:val="single" w:sz="8" w:color="auto"/>
            </w:tcBorders>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2024, we recognized a measurement period adjustment for lease incentives related to tenant improvements. The adjustment resulted in an increase of $0.7 million to prepaid expenses and $0.9 million to operating lease assets, a decrease of $0.1 million to accounts receivable and $0.1 million to accounts payable and accrued expenses, and a corresponding decrease of $1.6 million to goodwill.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TRHC</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January 2, 2025, the Company completed the acquisition of certain pharmacy assets from Tabula Rasa Healthcare Group, Inc. (“TRHC”), a leading pharmacy care management company, for a total purchase price of $4.8 million. The acquisition was funded through cash on hand.</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TRHC acquisition was accounted for using the purchase method of accounting. The purchase price has been allocated to the assets and liabilities assumed based on their estimated fair values at the date of acquisition. Goodwill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represents the excess of the purchase price over the fair value of net assets acquired and the estimated future economic benefits arising from expected growth opportunities for the Company and is not deductible for income tax purposes.</w:t>
      </w:r>
    </w:p>
    <w:p>
      <w:pPr>
        <w:spacing w:after="0" w:line="163"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represents the preliminary allocation of the purchase price to the assets acquired and liabilities assumed as of the acquisition date, measurement period adjustments and the allocation as of the acquisition date: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560" w:type="dxa"/>
            <w:vAlign w:val="bottom"/>
          </w:tcPr>
          <w:p>
            <w:pPr>
              <w:spacing w:after="0"/>
              <w:rPr>
                <w:sz w:val="18"/>
                <w:szCs w:val="18"/>
                <w:color w:val="auto"/>
              </w:rPr>
            </w:pPr>
          </w:p>
        </w:tc>
        <w:tc>
          <w:tcPr>
            <w:tcW w:w="1900" w:type="dxa"/>
            <w:vAlign w:val="bottom"/>
          </w:tcPr>
          <w:p>
            <w:pPr>
              <w:jc w:val="center"/>
              <w:ind w:left="173"/>
              <w:spacing w:after="0"/>
              <w:rPr>
                <w:sz w:val="20"/>
                <w:szCs w:val="20"/>
                <w:color w:val="auto"/>
              </w:rPr>
            </w:pPr>
            <w:r>
              <w:rPr>
                <w:rFonts w:ascii="Times New Roman" w:cs="Times New Roman" w:eastAsia="Times New Roman" w:hAnsi="Times New Roman"/>
                <w:sz w:val="18"/>
                <w:szCs w:val="18"/>
                <w:b w:val="1"/>
                <w:bCs w:val="1"/>
                <w:color w:val="auto"/>
                <w:w w:val="97"/>
              </w:rPr>
              <w:t>Measurement period</w:t>
            </w:r>
          </w:p>
        </w:tc>
        <w:tc>
          <w:tcPr>
            <w:tcW w:w="680" w:type="dxa"/>
            <w:vAlign w:val="bottom"/>
          </w:tcPr>
          <w:p>
            <w:pPr>
              <w:spacing w:after="0"/>
              <w:rPr>
                <w:sz w:val="18"/>
                <w:szCs w:val="18"/>
                <w:color w:val="auto"/>
              </w:rPr>
            </w:pP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w:t>
            </w:r>
          </w:p>
        </w:tc>
      </w:tr>
      <w:tr>
        <w:trPr>
          <w:trHeight w:val="233"/>
        </w:trPr>
        <w:tc>
          <w:tcPr>
            <w:tcW w:w="4760" w:type="dxa"/>
            <w:vAlign w:val="bottom"/>
          </w:tcPr>
          <w:p>
            <w:pPr>
              <w:spacing w:after="0"/>
              <w:rPr>
                <w:sz w:val="20"/>
                <w:szCs w:val="20"/>
                <w:color w:val="auto"/>
              </w:rPr>
            </w:pPr>
          </w:p>
        </w:tc>
        <w:tc>
          <w:tcPr>
            <w:tcW w:w="16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560" w:type="dxa"/>
            <w:vAlign w:val="bottom"/>
          </w:tcPr>
          <w:p>
            <w:pPr>
              <w:spacing w:after="0"/>
              <w:rPr>
                <w:sz w:val="20"/>
                <w:szCs w:val="20"/>
                <w:color w:val="auto"/>
              </w:rPr>
            </w:pPr>
          </w:p>
        </w:tc>
        <w:tc>
          <w:tcPr>
            <w:tcW w:w="1900" w:type="dxa"/>
            <w:vAlign w:val="bottom"/>
          </w:tcPr>
          <w:p>
            <w:pPr>
              <w:jc w:val="center"/>
              <w:ind w:left="173"/>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680" w:type="dxa"/>
            <w:vAlign w:val="bottom"/>
          </w:tcPr>
          <w:p>
            <w:pPr>
              <w:spacing w:after="0"/>
              <w:rPr>
                <w:sz w:val="20"/>
                <w:szCs w:val="20"/>
                <w:color w:val="auto"/>
              </w:rPr>
            </w:pP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5"/>
        </w:trPr>
        <w:tc>
          <w:tcPr>
            <w:tcW w:w="47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3"/>
        </w:trPr>
        <w:tc>
          <w:tcPr>
            <w:tcW w:w="4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tcPr>
          <w:p>
            <w:pPr>
              <w:jc w:val="center"/>
              <w:ind w:left="173"/>
              <w:spacing w:after="0"/>
              <w:rPr>
                <w:sz w:val="20"/>
                <w:szCs w:val="20"/>
                <w:color w:val="auto"/>
              </w:rPr>
            </w:pPr>
            <w:r>
              <w:rPr>
                <w:rFonts w:ascii="Times New Roman" w:cs="Times New Roman" w:eastAsia="Times New Roman" w:hAnsi="Times New Roman"/>
                <w:sz w:val="16"/>
                <w:szCs w:val="16"/>
                <w:i w:val="1"/>
                <w:iCs w:val="1"/>
                <w:color w:val="auto"/>
                <w:w w:val="98"/>
              </w:rPr>
              <w:t>in thousands</w:t>
            </w:r>
          </w:p>
        </w:tc>
        <w:tc>
          <w:tcPr>
            <w:tcW w:w="6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74"/>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1600" w:type="dxa"/>
            <w:vAlign w:val="bottom"/>
            <w:tcBorders>
              <w:bottom w:val="single" w:sz="8" w:color="CCEEFF"/>
            </w:tcBorders>
            <w:shd w:val="clear" w:color="auto" w:fill="CCEEFF"/>
          </w:tcPr>
          <w:p>
            <w:pPr>
              <w:jc w:val="right"/>
              <w:ind w:right="14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900" w:type="dxa"/>
            <w:vAlign w:val="bottom"/>
            <w:tcBorders>
              <w:bottom w:val="single" w:sz="8" w:color="CCEEFF"/>
            </w:tcBorders>
            <w:shd w:val="clear" w:color="auto" w:fill="CCEEFF"/>
          </w:tcPr>
          <w:p>
            <w:pPr>
              <w:jc w:val="right"/>
              <w:ind w:right="17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58"/>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1600" w:type="dxa"/>
            <w:vAlign w:val="bottom"/>
            <w:tcBorders>
              <w:top w:val="single" w:sz="8" w:color="auto"/>
              <w:bottom w:val="single" w:sz="8" w:color="auto"/>
            </w:tcBorders>
          </w:tcPr>
          <w:p>
            <w:pPr>
              <w:jc w:val="right"/>
              <w:ind w:right="14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900" w:type="dxa"/>
            <w:vAlign w:val="bottom"/>
            <w:tcBorders>
              <w:top w:val="single" w:sz="8" w:color="auto"/>
              <w:bottom w:val="single" w:sz="8" w:color="auto"/>
            </w:tcBorders>
          </w:tcPr>
          <w:p>
            <w:pPr>
              <w:jc w:val="right"/>
              <w:ind w:right="17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2"/>
        </w:trPr>
        <w:tc>
          <w:tcPr>
            <w:tcW w:w="47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0" w:type="dxa"/>
            <w:vAlign w:val="bottom"/>
          </w:tcPr>
          <w:p>
            <w:pPr>
              <w:jc w:val="right"/>
              <w:ind w:right="14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900" w:type="dxa"/>
            <w:vAlign w:val="bottom"/>
          </w:tcPr>
          <w:p>
            <w:pPr>
              <w:jc w:val="right"/>
              <w:ind w:right="17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6"/>
        </w:trPr>
        <w:tc>
          <w:tcPr>
            <w:tcW w:w="4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90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6"/>
        </w:trPr>
        <w:tc>
          <w:tcPr>
            <w:tcW w:w="4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and other</w:t>
            </w:r>
          </w:p>
        </w:tc>
        <w:tc>
          <w:tcPr>
            <w:tcW w:w="16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90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
        </w:trPr>
        <w:tc>
          <w:tcPr>
            <w:tcW w:w="4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1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obligation</w:t>
            </w:r>
          </w:p>
        </w:tc>
        <w:tc>
          <w:tcPr>
            <w:tcW w:w="16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90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6"/>
        </w:trPr>
        <w:tc>
          <w:tcPr>
            <w:tcW w:w="47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3"/>
        </w:trPr>
        <w:tc>
          <w:tcPr>
            <w:tcW w:w="4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of assets and liabilities</w:t>
            </w:r>
          </w:p>
        </w:tc>
        <w:tc>
          <w:tcPr>
            <w:tcW w:w="1600" w:type="dxa"/>
            <w:vAlign w:val="bottom"/>
            <w:tcBorders>
              <w:bottom w:val="single" w:sz="8" w:color="auto"/>
            </w:tcBorders>
            <w:shd w:val="clear" w:color="auto" w:fill="CCEEFF"/>
          </w:tcPr>
          <w:p>
            <w:pPr>
              <w:jc w:val="right"/>
              <w:ind w:right="14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900" w:type="dxa"/>
            <w:vAlign w:val="bottom"/>
            <w:tcBorders>
              <w:bottom w:val="single" w:sz="8" w:color="auto"/>
            </w:tcBorders>
            <w:shd w:val="clear" w:color="auto" w:fill="CCEEFF"/>
          </w:tcPr>
          <w:p>
            <w:pPr>
              <w:jc w:val="right"/>
              <w:ind w:right="17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effective income tax rate for the years ended June 30, 2025 and 2024 was (3.9)% and (6.4)%, respectively, which differed from the amount computed by applying the applicable U.S. federal statutory corporate income tax rate of 21% in each period as a result of the following factors: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June 30,</w:t>
            </w:r>
          </w:p>
        </w:tc>
        <w:tc>
          <w:tcPr>
            <w:tcW w:w="9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900" w:type="dxa"/>
            <w:vAlign w:val="bottom"/>
            <w:tcBorders>
              <w:bottom w:val="single" w:sz="8" w:color="CCEEFF"/>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IRC Section 162(m) limitation (a)</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5"/>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adjustments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5"/>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true-up and other</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entities not subject to taxation</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5"/>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58"/>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5" w:lineRule="exact"/>
        <w:rPr>
          <w:sz w:val="20"/>
          <w:szCs w:val="20"/>
          <w:color w:val="auto"/>
        </w:rPr>
      </w:pPr>
    </w:p>
    <w:p>
      <w:pPr>
        <w:ind w:left="320" w:hanging="314"/>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permanent addback for the IRC Section 162(m) limitation, which limits the deduction of compensation for the five highest paid officers to $1.0 million per officer.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Provision (benefit) for income taxes consisted of the following for the years ended June 30, 2025 and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June 30,</w:t>
            </w:r>
          </w:p>
        </w:tc>
        <w:tc>
          <w:tcPr>
            <w:tcW w:w="90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9"/>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6"/>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58"/>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significant components of deferred tax assets and liabilities were as follows for the years ended June 30, 2025 and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8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0"/>
                <w:szCs w:val="20"/>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22,873</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uncollectible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vacation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Reported and estimated claims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bonuses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settlement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48,122</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w:t>
            </w:r>
          </w:p>
        </w:tc>
      </w:tr>
      <w:tr>
        <w:trPr>
          <w:trHeight w:val="25"/>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32,174</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r>
      <w:tr>
        <w:trPr>
          <w:trHeight w:val="23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6"/>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ROU asset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r>
      <w:tr>
        <w:trPr>
          <w:trHeight w:val="23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6"/>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(39,634)</w:t>
            </w:r>
          </w:p>
        </w:tc>
      </w:tr>
      <w:tr>
        <w:trPr>
          <w:trHeight w:val="258"/>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Carryforwards</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had state net operating loss carryforwards of $230.1 million and $185.8 million at June 30, 2025 and 2024, respectively, which will begin to expire in 2037 if not utilized. Additionally, the Company has federal net operating loss carryforwards of $117.3 million and $108.9 million as of June 30, 2025 and 2024, respectively which do not expire.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provided $23.0 million and $15.9 million at June 30, 2025 and June 30, 2024, respectively, as a valuation allowance against its deferred tax assets for federal and state net operating losses and state IRC 163(j) interest expense limitations where there is not sufficient positive evidence to substantiate that these deferred tax assets will be realized at a more-likely-than-not level of assurance.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had no uncertain tax positions at June 30, 2025 and 2024.</w:t>
      </w:r>
    </w:p>
    <w:p>
      <w:pPr>
        <w:spacing w:after="0" w:line="191"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The Company files income tax returns as a consolidated group, excluding SH1, InnovAge Sacramento, and InnovAge Orlando, in the U.S. federal jurisdiction and various states and is subject to examination by taxing authorities in all of those jurisdictions. From time to time, the Company’s tax returns are reviewed or audited by U.S. federal and various U.S. state-taxing authorities.</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believes that adjustments, if any, resulting from these reviews or audits would not be material, individually or in the aggregate, to the Company’s consolidated financial position, results of operations, or liquidity. The Company is subject to income tax examinations by U.S. federal and state jurisdictions for the period ended June 30, 2022 and forward. The Company is subject to income tax examinations by California, Colorado and New Mexico state jurisdictions for the period ended June 30, 2021 and forward.</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One Big Beautiful Bill Act</w:t>
      </w:r>
    </w:p>
    <w:p>
      <w:pPr>
        <w:spacing w:after="0" w:line="17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net effect of OBBBA did not have a material impact on the Company’s effective tax rate for the year ended June 30, 2025. The Company continues to evaluate the impact of OBBBA on its consolidated financial statements and will update its estimates as additional guidance becomes available.</w:t>
      </w:r>
    </w:p>
    <w:p>
      <w:pPr>
        <w:spacing w:after="0" w:line="1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17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PWD VIE</w:t>
      </w:r>
      <w:r>
        <w:rPr>
          <w:rFonts w:ascii="Times New Roman" w:cs="Times New Roman" w:eastAsia="Times New Roman" w:hAnsi="Times New Roman"/>
          <w:sz w:val="18"/>
          <w:szCs w:val="18"/>
          <w:color w:val="auto"/>
        </w:rPr>
        <w:t>. On March 13, 2024, PWD entered into a Purchase and Sale Agreement for the sale of all of PWD's property, including the Senior Housing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On May 2, 2024, PWD closed on the sale of its Senior Housing property for $9.5 million. Upon completion of the sale, PWD ceased providing senior housing services and was dissolved. Following the dissolution, the remaining proceeds from the sale were distributed in accordance with the partnership agreement and as otherwise agreed by the partners. The Company received net proceeds of $4.8 million in connection with the dissolution.</w:t>
      </w:r>
    </w:p>
    <w:p>
      <w:pPr>
        <w:spacing w:after="0" w:line="1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As of June 30, 2025, the Company has three operating segments, two of which are related to the Company’s PACE offering. The PACE-related operating segments are based on two geographic divisions, which are East and West. Due to the similar economic characteristics, nature of services, and customers, we have aggregated our East and West operating segments into one reportable segment for PACE. The Company’s remaining operating segment primarily related to Senior Housing, which is an immaterial operating segment, and shown below as “Other” along with certain corporate unallocated expenses.</w:t>
      </w:r>
    </w:p>
    <w:p>
      <w:pPr>
        <w:spacing w:after="0" w:line="19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CODM uses Center-Level Contribution Margin as the measure for assessing performance of its operating segments and allocating resources, predominantly in the annual budget and forecasting process. The Company evaluates performance and allocates capital resources to each segment based on an operating model that is designed to maximize the quality of care provided and profitability. The CODM considers forecast-to-actual Center-Level Contribution Margin variances on a monthly basis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38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when making decisions about allocating capital and personnel to the segments. Center-Level Contribution Margin is defined as total segment revenues less external provider costs and cost of care (excluding depreciation and amortization).</w:t>
      </w:r>
    </w:p>
    <w:p>
      <w:pPr>
        <w:spacing w:after="0" w:line="190"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does not review assets by segment and therefore assets by segment are not disclosed below. For the periods presented, all of the Company’s long-lived assets were located in the United States and all revenue was earned in the United States.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segment for the years ended June 30, 2025 and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38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PACE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PACE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8"/>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852,353</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762,570</w:t>
            </w:r>
          </w:p>
        </w:tc>
        <w:tc>
          <w:tcPr>
            <w:tcW w:w="0" w:type="dxa"/>
            <w:vAlign w:val="bottom"/>
          </w:tcPr>
          <w:p>
            <w:pPr>
              <w:spacing w:after="0"/>
              <w:rPr>
                <w:sz w:val="1"/>
                <w:szCs w:val="1"/>
                <w:color w:val="auto"/>
              </w:rPr>
            </w:pPr>
          </w:p>
        </w:tc>
      </w:tr>
      <w:tr>
        <w:trPr>
          <w:trHeight w:val="240"/>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5"/>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853,699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763,855</w:t>
            </w:r>
          </w:p>
        </w:tc>
        <w:tc>
          <w:tcPr>
            <w:tcW w:w="0" w:type="dxa"/>
            <w:vAlign w:val="bottom"/>
          </w:tcPr>
          <w:p>
            <w:pPr>
              <w:spacing w:after="0"/>
              <w:rPr>
                <w:sz w:val="1"/>
                <w:szCs w:val="1"/>
                <w:color w:val="auto"/>
              </w:rPr>
            </w:pPr>
          </w:p>
        </w:tc>
      </w:tr>
      <w:tr>
        <w:trPr>
          <w:trHeight w:val="239"/>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403,010</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228,781</w:t>
            </w:r>
          </w:p>
        </w:tc>
        <w:tc>
          <w:tcPr>
            <w:tcW w:w="0" w:type="dxa"/>
            <w:vAlign w:val="bottom"/>
          </w:tcPr>
          <w:p>
            <w:pPr>
              <w:spacing w:after="0"/>
              <w:rPr>
                <w:sz w:val="1"/>
                <w:szCs w:val="1"/>
                <w:color w:val="auto"/>
              </w:rPr>
            </w:pPr>
          </w:p>
        </w:tc>
      </w:tr>
      <w:tr>
        <w:trPr>
          <w:trHeight w:val="23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153,639</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132,064</w:t>
            </w:r>
          </w:p>
        </w:tc>
        <w:tc>
          <w:tcPr>
            <w:tcW w:w="0" w:type="dxa"/>
            <w:vAlign w:val="bottom"/>
          </w:tcPr>
          <w:p>
            <w:pPr>
              <w:spacing w:after="0"/>
              <w:rPr>
                <w:sz w:val="1"/>
                <w:szCs w:val="1"/>
                <w:color w:val="auto"/>
              </w:rPr>
            </w:pPr>
          </w:p>
        </w:tc>
      </w:tr>
      <w:tr>
        <w:trPr>
          <w:trHeight w:val="26"/>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111,337</w:t>
            </w:r>
          </w:p>
        </w:tc>
        <w:tc>
          <w:tcPr>
            <w:tcW w:w="0" w:type="dxa"/>
            <w:vAlign w:val="bottom"/>
          </w:tcPr>
          <w:p>
            <w:pPr>
              <w:spacing w:after="0"/>
              <w:rPr>
                <w:sz w:val="1"/>
                <w:szCs w:val="1"/>
                <w:color w:val="auto"/>
              </w:rPr>
            </w:pPr>
          </w:p>
        </w:tc>
      </w:tr>
      <w:tr>
        <w:trPr>
          <w:trHeight w:val="24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 and loss on assets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w:t>
            </w:r>
          </w:p>
        </w:tc>
        <w:tc>
          <w:tcPr>
            <w:tcW w:w="0" w:type="dxa"/>
            <w:vAlign w:val="bottom"/>
          </w:tcPr>
          <w:p>
            <w:pPr>
              <w:spacing w:after="0"/>
              <w:rPr>
                <w:sz w:val="1"/>
                <w:szCs w:val="1"/>
                <w:color w:val="auto"/>
              </w:rPr>
            </w:pPr>
          </w:p>
        </w:tc>
      </w:tr>
      <w:tr>
        <w:trPr>
          <w:trHeight w:val="25"/>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5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0" w:type="dxa"/>
            <w:vAlign w:val="bottom"/>
          </w:tcPr>
          <w:p>
            <w:pPr>
              <w:spacing w:after="0"/>
              <w:rPr>
                <w:sz w:val="1"/>
                <w:szCs w:val="1"/>
                <w:color w:val="auto"/>
              </w:rPr>
            </w:pPr>
          </w:p>
        </w:tc>
      </w:tr>
      <w:tr>
        <w:trPr>
          <w:trHeight w:val="503"/>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4"/>
        <w:spacing w:after="0" w:line="274" w:lineRule="auto"/>
        <w:tabs>
          <w:tab w:leader="none" w:pos="3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Center-level Contribution Margin from a segment below the quantitative thresholds was attributable to the Senior Housing operating segment of the Company as of June 30, 2025. This segment has never met any of the quantitative thresholds for determining reportable segments.</w:t>
      </w:r>
    </w:p>
    <w:p>
      <w:pPr>
        <w:spacing w:after="0" w:line="13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Basic earnings (loss) per share (“EPS”) is computed using the weighted-average number of common shares outstanding during the period. Diluted earnings per share is computed using the weighted-average number of common shares outstanding during the period, plus the dilutive effect of outstanding options and other equity awards,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EPS. When net income from continuing operations exists, performance-based units, are omitted from the calculation of diluted EPS until it is determined that the performance criteria has been met at the end of the reporting period. For the year ended June 30, 2025 and 2024, 344,713 and 105,482 potentially dilutive securities were excluded from the weighted-average shares used to calculate the diluted net loss per common share, respectively, as they would have an anti-dilutive effect.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values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InnovAge Holding Corp.</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135,387,555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135,902,214</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(basic)</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shares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135,387,555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135,902,214</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(diluted)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 Repurchase Program</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June 14, 2024, our Board authorized up to $5.0 million of share repurchases. On September 26, 2024, the Company announced the Board’s authorization to increase the share repurchase program by an additional $2.5 million of the Company’s common stock. During the year ended June 30, 2024, the Company repurchased 45,023 shares of its common stock for approximately $0.2 million, of which 36,559 were placed in Treasury. During the year ended June 30, 2025, the Company repurchased 1,426,420 shares of its common stock for approximately $7.3 million, all of which were placed in Treasury. As of June 30, 2025, the repurchase authorization under the program was complete.</w:t>
      </w:r>
    </w:p>
    <w:p>
      <w:pPr>
        <w:spacing w:after="0" w:line="15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Subsequent Event</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evaluated subsequent events through September 9, 2025, the date on which the consolidated financial statements were issued, and noted there were none except the Company entered into Amendment No. 2 to the Credit Agreement as disclosed in Note 7, “Long-term Debt” and the Company entered into a Joint Venture Agreement with Tampa General Hospital to develop the Company’s PACE center serving the communities in Tampa, Florida as disclosed in Note 4, “Cost and Equity Method Investments.”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as of June 30,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93"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 xml:space="preserve">Management is responsible for establishing and maintaining adequate internal control over financial reporting for the Company. In order to evaluate the effectiveness of the Company’s internal control over financial reporting, management has conducted an assessment, including testing, using the criteria set forth by the Committee of Sponsoring Organizations (COSO) of the Treadway Commission in </w:t>
      </w:r>
      <w:r>
        <w:rPr>
          <w:rFonts w:ascii="Times New Roman" w:cs="Times New Roman" w:eastAsia="Times New Roman" w:hAnsi="Times New Roman"/>
          <w:sz w:val="17"/>
          <w:szCs w:val="17"/>
          <w:i w:val="1"/>
          <w:iCs w:val="1"/>
          <w:color w:val="auto"/>
        </w:rPr>
        <w:t>Internal Control — Integrated Framework (2013 Framework)</w:t>
      </w:r>
      <w:r>
        <w:rPr>
          <w:rFonts w:ascii="Times New Roman" w:cs="Times New Roman" w:eastAsia="Times New Roman" w:hAnsi="Times New Roman"/>
          <w:sz w:val="17"/>
          <w:szCs w:val="17"/>
          <w:color w:val="auto"/>
        </w:rPr>
        <w:t>. The Company’s internal control over financial reporting, as defined in Rule 13a-15(f) and 15d-15(f) under the Exchange Act, is a process designed to provide reasonable assurance regarding the reliability of our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Based on our assessment under the criteria established in </w:t>
      </w:r>
      <w:r>
        <w:rPr>
          <w:rFonts w:ascii="Times New Roman" w:cs="Times New Roman" w:eastAsia="Times New Roman" w:hAnsi="Times New Roman"/>
          <w:sz w:val="18"/>
          <w:szCs w:val="18"/>
          <w:i w:val="1"/>
          <w:iCs w:val="1"/>
          <w:color w:val="auto"/>
        </w:rPr>
        <w:t>Internal Control — Integrated Framework (2013 Framework)</w:t>
      </w:r>
      <w:r>
        <w:rPr>
          <w:rFonts w:ascii="Times New Roman" w:cs="Times New Roman" w:eastAsia="Times New Roman" w:hAnsi="Times New Roman"/>
          <w:sz w:val="18"/>
          <w:szCs w:val="18"/>
          <w:color w:val="auto"/>
        </w:rPr>
        <w:t xml:space="preserve"> issued by the COSO, management has concluded that the Company maintained effective internal control over financial reporting as of June 30, 2025.</w:t>
      </w:r>
    </w:p>
    <w:p>
      <w:pPr>
        <w:spacing w:after="0" w:line="1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Form 10-K does not include an attestation report on internal controls over financial reporting of the Company's registered public accounting firm. Additionally, our auditors will not be required to formally opine on the effectiveness of our internal control over financial reporting pursuant to Section 404 until we are no longer an “emerging growth company” as defined in the JOBS 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our Internal Control over Financial Reporting</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2025 that have materially affected, or are reasonably likely to materially affect, our internal control over financial reporting.</w:t>
      </w:r>
    </w:p>
    <w:p>
      <w:pPr>
        <w:spacing w:after="0" w:line="1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18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During the fiscal quarter ended June 30, 2025, no director or executive officer of the Company adopted or terminated a “Rule 10b5-1 trading arrangement” or “non-Rule 10b5-1 trading arrangement,” as each term is defined in Item 408(a) of Regulation S-K of the Exchange Act.</w:t>
      </w:r>
    </w:p>
    <w:p>
      <w:pPr>
        <w:spacing w:after="0" w:line="1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regarding the code of ethics and business conduct set forth below, will be set forth in the Proxy Statement relating to our upcoming Annual Meeting of Stockholders (the “Proxy Statement”), which is expected to be filed with the Securities and Exchange Commission (the “SEC”) within 120 days of the fiscal year ended June 30, 2025, and is incorporated in herein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adopted a written Code of Ethics that applies to our directors, executive officers and employees, including our Chief Executive Officer, Chief Financial Officer and officers responsible for financial reporting. A current copy of the code is publicly available under “Governance” on the Investor Relations section of our website, https://investor.innovage.com. We intend to satisfy the disclosure requirements under Item 5.05 of Form 8-K regarding any substantive amendments to or waivers from the Code of Ethics (to the extent applicable to our Chief Executive Officer, Chief Financial Officer or officers responsible for financial reporting) on this page of the Company’s website.</w:t>
      </w:r>
    </w:p>
    <w:p>
      <w:pPr>
        <w:spacing w:after="0" w:line="1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2025, and is incorporated herein by reference.</w:t>
      </w:r>
    </w:p>
    <w:p>
      <w:pPr>
        <w:spacing w:after="0" w:line="122" w:lineRule="exact"/>
        <w:rPr>
          <w:sz w:val="20"/>
          <w:szCs w:val="20"/>
          <w:color w:val="auto"/>
        </w:rPr>
      </w:pPr>
    </w:p>
    <w:p>
      <w:pPr>
        <w:ind w:left="720" w:right="740" w:hanging="714"/>
        <w:spacing w:after="0" w:line="276"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2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2025, and is incorporated herein by reference.</w:t>
      </w:r>
    </w:p>
    <w:p>
      <w:pPr>
        <w:spacing w:after="0" w:line="1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2025, and is incorporated herein by reference.</w:t>
      </w:r>
    </w:p>
    <w:p>
      <w:pPr>
        <w:spacing w:after="0" w:line="1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9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2025, and is incorporated herein by reference.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91"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(a) (1)</w:t>
      </w:r>
      <w:r>
        <w:rPr>
          <w:sz w:val="20"/>
          <w:szCs w:val="20"/>
          <w:color w:val="auto"/>
        </w:rPr>
        <w:tab/>
      </w:r>
      <w:r>
        <w:rPr>
          <w:rFonts w:ascii="Times New Roman" w:cs="Times New Roman" w:eastAsia="Times New Roman" w:hAnsi="Times New Roman"/>
          <w:sz w:val="17"/>
          <w:szCs w:val="17"/>
          <w:color w:val="auto"/>
        </w:rPr>
        <w:t>FINANCIAL STATEMENTS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financial statements required under this Item begin on page 69 of this Annual Report.</w:t>
      </w:r>
    </w:p>
    <w:p>
      <w:pPr>
        <w:spacing w:after="0" w:line="177"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(a) (2)</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9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All schedules are omitted because the required information is either inapplicable or presented within the consolidated financial statements or related notes.</w:t>
      </w:r>
    </w:p>
    <w:p>
      <w:pPr>
        <w:spacing w:after="0" w:line="124"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(a) (3)</w:t>
      </w:r>
      <w:r>
        <w:rPr>
          <w:sz w:val="20"/>
          <w:szCs w:val="20"/>
          <w:color w:val="auto"/>
        </w:rPr>
        <w:tab/>
      </w:r>
      <w:r>
        <w:rPr>
          <w:rFonts w:ascii="Times New Roman" w:cs="Times New Roman" w:eastAsia="Times New Roman" w:hAnsi="Times New Roman"/>
          <w:sz w:val="17"/>
          <w:szCs w:val="17"/>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Exhibits not filed herewith are incorporated by reference to exhibits previously filed with the SEC, as reflected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5"/>
        </w:trPr>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2"/>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Second Amended and Restated Certificate of Incorporation of InnovAge Holding Corp., filed March 3, 2021 (incorporated by reference to</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12"/>
          </w:tcPr>
          <w:p>
            <w:pPr>
              <w:spacing w:after="0" w:line="192"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Exhibit 3.1 to the Company’s Current Report on Form 8-K filed with the SEC on March 8, 2021).</w:t>
              </w:r>
            </w:hyperlink>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Certificate of Amendment to the Second Amended and Restated Certificate of Incorporation of InnovAge Holding Corp. (incorporated by</w:t>
              </w:r>
            </w:hyperlink>
          </w:p>
        </w:tc>
        <w:tc>
          <w:tcPr>
            <w:tcW w:w="20" w:type="dxa"/>
            <w:vAlign w:val="bottom"/>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12"/>
          </w:tcPr>
          <w:p>
            <w:pPr>
              <w:spacing w:after="0" w:line="192"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reference to Exhibit 3.2 to the Company’s Quarterly Report on Form 10-Q filed with the SEC on February 2, 2025).</w:t>
              </w:r>
            </w:hyperlink>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1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Amended and Restated Bylaws of InnovAge Holding Corp., effective March 3, 2021 (incorporated by reference to Exhibit 3.2 to the</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40" w:type="dxa"/>
            <w:vAlign w:val="bottom"/>
            <w:tcBorders>
              <w:top w:val="single" w:sz="8" w:color="0000FF"/>
              <w:bottom w:val="single" w:sz="8" w:color="0000FF"/>
            </w:tcBorders>
            <w:gridSpan w:val="4"/>
          </w:tcPr>
          <w:p>
            <w:pPr>
              <w:spacing w:after="0" w:line="192" w:lineRule="exact"/>
              <w:rPr>
                <w:rFonts w:ascii="Times New Roman" w:cs="Times New Roman" w:eastAsia="Times New Roman" w:hAnsi="Times New Roman"/>
                <w:sz w:val="18"/>
                <w:szCs w:val="18"/>
                <w:color w:val="0000FF"/>
                <w:w w:val="97"/>
              </w:rPr>
            </w:pPr>
            <w:hyperlink r:id="rId126">
              <w:r>
                <w:rPr>
                  <w:rFonts w:ascii="Times New Roman" w:cs="Times New Roman" w:eastAsia="Times New Roman" w:hAnsi="Times New Roman"/>
                  <w:sz w:val="18"/>
                  <w:szCs w:val="18"/>
                  <w:color w:val="0000FF"/>
                  <w:w w:val="97"/>
                </w:rPr>
                <w:t>Company’s Current Report on Form 8-K filed with the SEC on March 8, 2021).</w:t>
              </w:r>
            </w:hyperlink>
          </w:p>
        </w:tc>
        <w:tc>
          <w:tcPr>
            <w:tcW w:w="4220" w:type="dxa"/>
            <w:vAlign w:val="bottom"/>
            <w:tcBorders>
              <w:top w:val="single" w:sz="8" w:color="0000FF"/>
            </w:tcBorders>
            <w:gridSpan w:val="7"/>
          </w:tcPr>
          <w:p>
            <w:pPr>
              <w:spacing w:after="0"/>
              <w:rPr>
                <w:sz w:val="16"/>
                <w:szCs w:val="16"/>
                <w:color w:val="auto"/>
              </w:rPr>
            </w:pPr>
          </w:p>
        </w:tc>
        <w:tc>
          <w:tcPr>
            <w:tcW w:w="20" w:type="dxa"/>
            <w:vAlign w:val="bottom"/>
          </w:tcPr>
          <w:p>
            <w:pPr>
              <w:spacing w:after="0"/>
              <w:rPr>
                <w:sz w:val="16"/>
                <w:szCs w:val="16"/>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Registration Rights Agreement, dated as of March 8, 2021, by and among the Company and the other signatories party thereto</w:t>
              </w:r>
            </w:hyperlink>
          </w:p>
        </w:tc>
        <w:tc>
          <w:tcPr>
            <w:tcW w:w="20" w:type="dxa"/>
            <w:vAlign w:val="bottom"/>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12"/>
          </w:tcPr>
          <w:p>
            <w:pPr>
              <w:spacing w:after="0" w:line="192"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by reference to Exhibit 4.1 to the Company’s Current Report on Form 8-K filed with the SEC on March 8, 2021).</w:t>
              </w:r>
            </w:hyperlink>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Director Nomination Agreement, dated as of March 8, 2021, by and among the Company and the other signatories party thereto</w:t>
              </w:r>
            </w:hyperlink>
          </w:p>
        </w:tc>
        <w:tc>
          <w:tcPr>
            <w:tcW w:w="20" w:type="dxa"/>
            <w:vAlign w:val="bottom"/>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00" w:type="dxa"/>
            <w:vAlign w:val="bottom"/>
            <w:tcBorders>
              <w:bottom w:val="single" w:sz="8" w:color="0000FF"/>
            </w:tcBorders>
            <w:gridSpan w:val="8"/>
          </w:tcPr>
          <w:p>
            <w:pPr>
              <w:spacing w:after="0" w:line="192"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(incorporated by reference to Exhibit 10.1 to the Company’s Current Report on Form 8-K filed with the SEC on March 8, 2021).</w:t>
              </w:r>
            </w:hyperlink>
          </w:p>
        </w:tc>
        <w:tc>
          <w:tcPr>
            <w:tcW w:w="780" w:type="dxa"/>
            <w:vAlign w:val="bottom"/>
            <w:gridSpan w:val="4"/>
          </w:tcPr>
          <w:p>
            <w:pPr>
              <w:spacing w:after="0"/>
              <w:rPr>
                <w:sz w:val="16"/>
                <w:szCs w:val="16"/>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Credit Agreement, dated as of March 8, 2021, by and among Total Community Options, Inc., the Borrower, JPMorgan Chase Bank, N.A.,</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60" w:type="dxa"/>
            <w:vAlign w:val="bottom"/>
            <w:tcBorders>
              <w:bottom w:val="single" w:sz="8" w:color="0000FF"/>
            </w:tcBorders>
            <w:gridSpan w:val="11"/>
          </w:tcPr>
          <w:p>
            <w:pPr>
              <w:spacing w:after="0" w:line="192"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as administrative agent, and the other parties thereto (incorporated by reference to Exhibit 10.1 to the Company’s Current Report on Form</w:t>
              </w:r>
            </w:hyperlink>
          </w:p>
        </w:tc>
        <w:tc>
          <w:tcPr>
            <w:tcW w:w="20" w:type="dxa"/>
            <w:vAlign w:val="bottom"/>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12"/>
          </w:tcPr>
          <w:p>
            <w:pPr>
              <w:spacing w:after="0" w:line="192"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8-K filed with the SEC on March 12, 2021).</w:t>
              </w:r>
            </w:hyperlink>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No. 1 to the Credit Agreement, dated as of June 14, 2023, among TCO Intermediate Holdings, Inc., Total Community</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tcBorders>
              <w:bottom w:val="single" w:sz="8" w:color="0000FF"/>
            </w:tcBorders>
            <w:gridSpan w:val="12"/>
          </w:tcPr>
          <w:p>
            <w:pPr>
              <w:spacing w:after="0" w:line="19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Options, Inc., each subsidiary loan party thereto, and JPMorgan Chase Bank, N.A., as administrative agent and as collateral agent</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12"/>
          </w:tcPr>
          <w:p>
            <w:pPr>
              <w:spacing w:after="0" w:line="19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(incorporated by reference to Exhibit 10.3 to the Company’s Annual Report on Form 10-K filed with the SEC on September 12, 2023).</w:t>
              </w:r>
            </w:hyperlink>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7060" w:type="dxa"/>
            <w:vAlign w:val="bottom"/>
            <w:gridSpan w:val="7"/>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Amendment No. 2 to the Credit Agreement, dated as of August 8, 2025, by and among Total Community Options, Inc., TCO Intermediate</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60" w:type="dxa"/>
            <w:vAlign w:val="bottom"/>
            <w:tcBorders>
              <w:bottom w:val="single" w:sz="8" w:color="0000FF"/>
            </w:tcBorders>
            <w:gridSpan w:val="11"/>
          </w:tcPr>
          <w:p>
            <w:pPr>
              <w:spacing w:after="0" w:line="19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Holdings, Inc., JPMorgan Chase Bank, N.A., as administrative agent, and the other parties thereto (including Exhibit A, which is a</w:t>
              </w:r>
            </w:hyperlink>
          </w:p>
        </w:tc>
        <w:tc>
          <w:tcPr>
            <w:tcW w:w="20" w:type="dxa"/>
            <w:vAlign w:val="bottom"/>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60" w:type="dxa"/>
            <w:vAlign w:val="bottom"/>
            <w:tcBorders>
              <w:bottom w:val="single" w:sz="8" w:color="0000FF"/>
            </w:tcBorders>
            <w:gridSpan w:val="11"/>
          </w:tcPr>
          <w:p>
            <w:pPr>
              <w:spacing w:after="0" w:line="192"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conformed copy of the Credit Agreement) (incorporated by reference to Exhibit 10.1 to the Company’s Current Report on Form 8-K filed</w:t>
              </w:r>
            </w:hyperlink>
          </w:p>
        </w:tc>
        <w:tc>
          <w:tcPr>
            <w:tcW w:w="20" w:type="dxa"/>
            <w:vAlign w:val="bottom"/>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tcBorders>
              <w:bottom w:val="single" w:sz="8" w:color="0000FF"/>
            </w:tcBorders>
            <w:gridSpan w:val="2"/>
          </w:tcPr>
          <w:p>
            <w:pPr>
              <w:spacing w:after="0" w:line="192" w:lineRule="exact"/>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with the SEC on August 11, 2025).</w:t>
              </w:r>
            </w:hyperlink>
          </w:p>
        </w:tc>
        <w:tc>
          <w:tcPr>
            <w:tcW w:w="7400" w:type="dxa"/>
            <w:vAlign w:val="bottom"/>
            <w:gridSpan w:val="10"/>
          </w:tcPr>
          <w:p>
            <w:pPr>
              <w:spacing w:after="0"/>
              <w:rPr>
                <w:sz w:val="16"/>
                <w:szCs w:val="16"/>
                <w:color w:val="auto"/>
              </w:rPr>
            </w:pPr>
          </w:p>
        </w:tc>
      </w:tr>
      <w:tr>
        <w:trPr>
          <w:trHeight w:val="245"/>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1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Director and Officer Indemnification Agreement between the Company and each of its directors and executive officers</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tcBorders>
              <w:top w:val="single" w:sz="8" w:color="0000FF"/>
              <w:bottom w:val="single" w:sz="8" w:color="0000FF"/>
            </w:tcBorders>
            <w:gridSpan w:val="10"/>
          </w:tcPr>
          <w:p>
            <w:pPr>
              <w:spacing w:after="0" w:line="192" w:lineRule="exact"/>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(incorporated by reference to Exhibit 10.2 to the Company’s Registration Statement on Form S-1 filed with the SEC on February 8, 2021).</w:t>
              </w:r>
            </w:hyperlink>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Employment Agreement, effective as of December 1, 2021, by and between InnovAge Holding Corp. and Patrick Blair (incorporated by</w:t>
              </w:r>
            </w:hyperlink>
          </w:p>
        </w:tc>
        <w:tc>
          <w:tcPr>
            <w:tcW w:w="20" w:type="dxa"/>
            <w:vAlign w:val="bottom"/>
          </w:tcPr>
          <w:p>
            <w:pPr>
              <w:spacing w:after="0"/>
              <w:rPr>
                <w:sz w:val="17"/>
                <w:szCs w:val="17"/>
                <w:color w:val="auto"/>
              </w:rPr>
            </w:pPr>
          </w:p>
        </w:tc>
      </w:tr>
      <w:tr>
        <w:trPr>
          <w:trHeight w:val="192"/>
        </w:trPr>
        <w:tc>
          <w:tcPr>
            <w:tcW w:w="1420" w:type="dxa"/>
            <w:vAlign w:val="bottom"/>
          </w:tcPr>
          <w:p>
            <w:pPr>
              <w:spacing w:after="0"/>
              <w:rPr>
                <w:sz w:val="16"/>
                <w:szCs w:val="16"/>
                <w:color w:val="auto"/>
              </w:rPr>
            </w:pPr>
          </w:p>
        </w:tc>
        <w:tc>
          <w:tcPr>
            <w:tcW w:w="8200" w:type="dxa"/>
            <w:vAlign w:val="bottom"/>
            <w:tcBorders>
              <w:bottom w:val="single" w:sz="8" w:color="0000FF"/>
            </w:tcBorders>
            <w:gridSpan w:val="12"/>
          </w:tcPr>
          <w:p>
            <w:pPr>
              <w:spacing w:after="0" w:line="192"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reference to Exhibit 10.1 to the Company’s Current Report on Form 8-K filed with the SEC on November 12, 2021).</w:t>
              </w:r>
            </w:hyperlink>
          </w:p>
        </w:tc>
        <w:tc>
          <w:tcPr>
            <w:tcW w:w="1620" w:type="dxa"/>
            <w:vAlign w:val="bottom"/>
            <w:gridSpan w:val="9"/>
          </w:tcPr>
          <w:p>
            <w:pPr>
              <w:spacing w:after="0"/>
              <w:rPr>
                <w:sz w:val="16"/>
                <w:szCs w:val="16"/>
                <w:color w:val="auto"/>
              </w:rPr>
            </w:pPr>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Amended Employment Agreement, dated as of October 31, 2024, by and between Total Community Options, Inc. and Patrick Blair</w:t>
              </w:r>
            </w:hyperlink>
          </w:p>
        </w:tc>
      </w:tr>
      <w:tr>
        <w:trPr>
          <w:trHeight w:val="192"/>
        </w:trPr>
        <w:tc>
          <w:tcPr>
            <w:tcW w:w="1420" w:type="dxa"/>
            <w:vAlign w:val="bottom"/>
          </w:tcPr>
          <w:p>
            <w:pPr>
              <w:spacing w:after="0"/>
              <w:rPr>
                <w:sz w:val="16"/>
                <w:szCs w:val="16"/>
                <w:color w:val="auto"/>
              </w:rPr>
            </w:pPr>
          </w:p>
        </w:tc>
        <w:tc>
          <w:tcPr>
            <w:tcW w:w="9820" w:type="dxa"/>
            <w:vAlign w:val="bottom"/>
            <w:gridSpan w:val="21"/>
          </w:tcPr>
          <w:p>
            <w:pPr>
              <w:spacing w:after="0" w:line="19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(incorporated by reference to Exhibit 10.4 to the Company’s Current Report on Form 8-K filed with the SEC on November 4, 2024).</w:t>
              </w:r>
            </w:hyperlink>
          </w:p>
        </w:tc>
      </w:tr>
      <w:tr>
        <w:trPr>
          <w:trHeight w:val="20"/>
        </w:trPr>
        <w:tc>
          <w:tcPr>
            <w:tcW w:w="142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Class B Unit Award Agreement, effective August 30, 2023, by and between TCO Group Holdings, L.P. and Patrick Blair (incorporated by</w:t>
              </w:r>
            </w:hyperlink>
          </w:p>
        </w:tc>
      </w:tr>
      <w:tr>
        <w:trPr>
          <w:trHeight w:val="192"/>
        </w:trPr>
        <w:tc>
          <w:tcPr>
            <w:tcW w:w="1420" w:type="dxa"/>
            <w:vAlign w:val="bottom"/>
          </w:tcPr>
          <w:p>
            <w:pPr>
              <w:spacing w:after="0"/>
              <w:rPr>
                <w:sz w:val="16"/>
                <w:szCs w:val="16"/>
                <w:color w:val="auto"/>
              </w:rPr>
            </w:pPr>
          </w:p>
        </w:tc>
        <w:tc>
          <w:tcPr>
            <w:tcW w:w="8120" w:type="dxa"/>
            <w:vAlign w:val="bottom"/>
            <w:tcBorders>
              <w:bottom w:val="single" w:sz="8" w:color="0000FF"/>
            </w:tcBorders>
            <w:gridSpan w:val="11"/>
          </w:tcPr>
          <w:p>
            <w:pPr>
              <w:spacing w:after="0" w:line="192" w:lineRule="exact"/>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reference to Exhibit 10.1 to the Company’s Current Report on Form 8-K filed with the SEC on September 1, 2023).</w:t>
              </w:r>
            </w:hyperlink>
          </w:p>
        </w:tc>
        <w:tc>
          <w:tcPr>
            <w:tcW w:w="1700" w:type="dxa"/>
            <w:vAlign w:val="bottom"/>
            <w:gridSpan w:val="10"/>
          </w:tcPr>
          <w:p>
            <w:pPr>
              <w:spacing w:after="0"/>
              <w:rPr>
                <w:sz w:val="16"/>
                <w:szCs w:val="16"/>
                <w:color w:val="auto"/>
              </w:rPr>
            </w:pPr>
          </w:p>
        </w:tc>
      </w:tr>
      <w:tr>
        <w:trPr>
          <w:trHeight w:val="39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Class B Unit Award Agreement, dated as of September 5, 2025, by and between TCO Group Holdings, L.P. and Patrick Blair.</w:t>
            </w:r>
          </w:p>
        </w:tc>
      </w:tr>
      <w:tr>
        <w:trPr>
          <w:trHeight w:val="20"/>
        </w:trPr>
        <w:tc>
          <w:tcPr>
            <w:tcW w:w="142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Employment Agreement, dated October 31, 2024, by and between Total Community Options, Inc. and Michael Scarbrough (incorporated</w:t>
              </w:r>
            </w:hyperlink>
          </w:p>
        </w:tc>
      </w:tr>
      <w:tr>
        <w:trPr>
          <w:trHeight w:val="192"/>
        </w:trPr>
        <w:tc>
          <w:tcPr>
            <w:tcW w:w="1420" w:type="dxa"/>
            <w:vAlign w:val="bottom"/>
          </w:tcPr>
          <w:p>
            <w:pPr>
              <w:spacing w:after="0"/>
              <w:rPr>
                <w:sz w:val="16"/>
                <w:szCs w:val="16"/>
                <w:color w:val="auto"/>
              </w:rPr>
            </w:pPr>
          </w:p>
        </w:tc>
        <w:tc>
          <w:tcPr>
            <w:tcW w:w="9820" w:type="dxa"/>
            <w:vAlign w:val="bottom"/>
            <w:gridSpan w:val="21"/>
          </w:tcPr>
          <w:p>
            <w:pPr>
              <w:spacing w:after="0" w:line="192"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by reference to Exhibit 10.1 to the Company's Current Report on Form 8-K filed with the SEC on November 4, 2024).</w:t>
              </w:r>
            </w:hyperlink>
          </w:p>
        </w:tc>
      </w:tr>
      <w:tr>
        <w:trPr>
          <w:trHeight w:val="20"/>
        </w:trPr>
        <w:tc>
          <w:tcPr>
            <w:tcW w:w="142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Class B Unit Award Agreement, effective November 4, 2024, by and between TCO Group Holdings, L.P. and Michael Scarbrough</w:t>
              </w:r>
            </w:hyperlink>
          </w:p>
        </w:tc>
      </w:tr>
      <w:tr>
        <w:trPr>
          <w:trHeight w:val="192"/>
        </w:trPr>
        <w:tc>
          <w:tcPr>
            <w:tcW w:w="1420" w:type="dxa"/>
            <w:vAlign w:val="bottom"/>
          </w:tcPr>
          <w:p>
            <w:pPr>
              <w:spacing w:after="0"/>
              <w:rPr>
                <w:sz w:val="16"/>
                <w:szCs w:val="16"/>
                <w:color w:val="auto"/>
              </w:rPr>
            </w:pPr>
          </w:p>
        </w:tc>
        <w:tc>
          <w:tcPr>
            <w:tcW w:w="9820" w:type="dxa"/>
            <w:vAlign w:val="bottom"/>
            <w:gridSpan w:val="21"/>
          </w:tcPr>
          <w:p>
            <w:pPr>
              <w:spacing w:after="0" w:line="192"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(incorporated by reference to Exhibit 10.2 to the Company's Current Report on Form 8-K filed with the SEC on November 4, 2024).</w:t>
              </w:r>
            </w:hyperlink>
          </w:p>
        </w:tc>
      </w:tr>
      <w:tr>
        <w:trPr>
          <w:trHeight w:val="20"/>
        </w:trPr>
        <w:tc>
          <w:tcPr>
            <w:tcW w:w="142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Employment Agreement, dated as of July 3, 2023, by and between Total Community Options, Inc. and Benjamin C. Adams (incorporated</w:t>
              </w:r>
            </w:hyperlink>
          </w:p>
        </w:tc>
        <w:tc>
          <w:tcPr>
            <w:tcW w:w="20" w:type="dxa"/>
            <w:vAlign w:val="bottom"/>
          </w:tcPr>
          <w:p>
            <w:pPr>
              <w:spacing w:after="0"/>
              <w:rPr>
                <w:sz w:val="24"/>
                <w:szCs w:val="24"/>
                <w:color w:val="auto"/>
              </w:rPr>
            </w:pPr>
          </w:p>
        </w:tc>
      </w:tr>
      <w:tr>
        <w:trPr>
          <w:trHeight w:val="192"/>
        </w:trPr>
        <w:tc>
          <w:tcPr>
            <w:tcW w:w="1420" w:type="dxa"/>
            <w:vAlign w:val="bottom"/>
          </w:tcPr>
          <w:p>
            <w:pPr>
              <w:spacing w:after="0"/>
              <w:rPr>
                <w:sz w:val="16"/>
                <w:szCs w:val="16"/>
                <w:color w:val="auto"/>
              </w:rPr>
            </w:pPr>
          </w:p>
        </w:tc>
        <w:tc>
          <w:tcPr>
            <w:tcW w:w="7880" w:type="dxa"/>
            <w:vAlign w:val="bottom"/>
            <w:tcBorders>
              <w:bottom w:val="single" w:sz="8" w:color="0000FF"/>
            </w:tcBorders>
            <w:gridSpan w:val="10"/>
          </w:tcPr>
          <w:p>
            <w:pPr>
              <w:spacing w:after="0" w:line="192"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by reference to Exhibit 10.1 to the Company’s Current Report on Form 8-K filed with the SEC on July 5, 2023).</w:t>
              </w:r>
            </w:hyperlink>
          </w:p>
        </w:tc>
        <w:tc>
          <w:tcPr>
            <w:tcW w:w="1940" w:type="dxa"/>
            <w:vAlign w:val="bottom"/>
            <w:gridSpan w:val="11"/>
          </w:tcPr>
          <w:p>
            <w:pPr>
              <w:spacing w:after="0"/>
              <w:rPr>
                <w:sz w:val="16"/>
                <w:szCs w:val="16"/>
                <w:color w:val="auto"/>
              </w:rPr>
            </w:pPr>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Class B Unit Award Agreement, effective as of July 10, 2023, by and between TCO Group Holdings, L.P. and Benjamin C. Adams</w:t>
              </w:r>
            </w:hyperlink>
          </w:p>
        </w:tc>
      </w:tr>
      <w:tr>
        <w:trPr>
          <w:trHeight w:val="192"/>
        </w:trPr>
        <w:tc>
          <w:tcPr>
            <w:tcW w:w="1420" w:type="dxa"/>
            <w:vAlign w:val="bottom"/>
          </w:tcPr>
          <w:p>
            <w:pPr>
              <w:spacing w:after="0"/>
              <w:rPr>
                <w:sz w:val="16"/>
                <w:szCs w:val="16"/>
                <w:color w:val="auto"/>
              </w:rPr>
            </w:pPr>
          </w:p>
        </w:tc>
        <w:tc>
          <w:tcPr>
            <w:tcW w:w="9820" w:type="dxa"/>
            <w:vAlign w:val="bottom"/>
            <w:gridSpan w:val="21"/>
          </w:tcPr>
          <w:p>
            <w:pPr>
              <w:spacing w:after="0" w:line="19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(incorporated by reference to Exhibit 10.2 to the Company’s Current Report on Form 8-K filed with the SEC on July 5, 2023).</w:t>
              </w:r>
            </w:hyperlink>
          </w:p>
        </w:tc>
      </w:tr>
      <w:tr>
        <w:trPr>
          <w:trHeight w:val="20"/>
        </w:trPr>
        <w:tc>
          <w:tcPr>
            <w:tcW w:w="142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3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6"/>
              </w:rPr>
              <w:t>Class B Unit Award Agreement, dated as of September 5, 2025, by and between TCO Group Holdings, L.P. and Benjamin C. Adams.</w:t>
            </w:r>
          </w:p>
        </w:tc>
        <w:tc>
          <w:tcPr>
            <w:tcW w:w="440" w:type="dxa"/>
            <w:vAlign w:val="bottom"/>
            <w:gridSpan w:val="3"/>
          </w:tcPr>
          <w:p>
            <w:pPr>
              <w:spacing w:after="0"/>
              <w:rPr>
                <w:sz w:val="24"/>
                <w:szCs w:val="24"/>
                <w:color w:val="auto"/>
              </w:rPr>
            </w:pPr>
          </w:p>
        </w:tc>
      </w:tr>
      <w:tr>
        <w:trPr>
          <w:trHeight w:val="24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Employment Agreement, dated as of November 30, 2021, by and between Nicole D’Amato and Total Community Options, Inc.</w:t>
              </w:r>
            </w:hyperlink>
          </w:p>
        </w:tc>
      </w:tr>
      <w:tr>
        <w:trPr>
          <w:trHeight w:val="192"/>
        </w:trPr>
        <w:tc>
          <w:tcPr>
            <w:tcW w:w="1420" w:type="dxa"/>
            <w:vAlign w:val="bottom"/>
          </w:tcPr>
          <w:p>
            <w:pPr>
              <w:spacing w:after="0"/>
              <w:rPr>
                <w:sz w:val="16"/>
                <w:szCs w:val="16"/>
                <w:color w:val="auto"/>
              </w:rPr>
            </w:pPr>
          </w:p>
        </w:tc>
        <w:tc>
          <w:tcPr>
            <w:tcW w:w="9820" w:type="dxa"/>
            <w:vAlign w:val="bottom"/>
            <w:gridSpan w:val="21"/>
          </w:tcPr>
          <w:p>
            <w:pPr>
              <w:spacing w:after="0" w:line="192"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(incorporated by reference to Exhibit 10.6 to the Company’s Annual Report on Form 10-K filed with the SEC on September 13, 2022).</w:t>
              </w:r>
            </w:hyperlink>
          </w:p>
        </w:tc>
      </w:tr>
      <w:tr>
        <w:trPr>
          <w:trHeight w:val="20"/>
        </w:trPr>
        <w:tc>
          <w:tcPr>
            <w:tcW w:w="142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Class B Unit Award Agreement, dated as of December 18, 2023, by and between TCO Group Holdings, L.P. and Nicole D’Amato</w:t>
              </w:r>
            </w:hyperlink>
          </w:p>
        </w:tc>
      </w:tr>
      <w:tr>
        <w:trPr>
          <w:trHeight w:val="192"/>
        </w:trPr>
        <w:tc>
          <w:tcPr>
            <w:tcW w:w="1420" w:type="dxa"/>
            <w:vAlign w:val="bottom"/>
          </w:tcPr>
          <w:p>
            <w:pPr>
              <w:spacing w:after="0"/>
              <w:rPr>
                <w:sz w:val="16"/>
                <w:szCs w:val="16"/>
                <w:color w:val="auto"/>
              </w:rPr>
            </w:pPr>
          </w:p>
        </w:tc>
        <w:tc>
          <w:tcPr>
            <w:tcW w:w="9820" w:type="dxa"/>
            <w:vAlign w:val="bottom"/>
            <w:gridSpan w:val="21"/>
          </w:tcPr>
          <w:p>
            <w:pPr>
              <w:spacing w:after="0" w:line="192"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by reference to Exhibit 10.1 to the Company’s Current Report on Form 8-K filed with the SEC on December 19, 2023).</w:t>
              </w:r>
            </w:hyperlink>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3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Class B Unit Award Agreement, dated as of September 5, 2025, by and between TCO Group Holdings, L.P. and Nicole D’Amato.</w:t>
            </w:r>
          </w:p>
        </w:tc>
        <w:tc>
          <w:tcPr>
            <w:tcW w:w="440" w:type="dxa"/>
            <w:vAlign w:val="bottom"/>
            <w:gridSpan w:val="3"/>
          </w:tcPr>
          <w:p>
            <w:pPr>
              <w:spacing w:after="0"/>
              <w:rPr>
                <w:sz w:val="24"/>
                <w:szCs w:val="24"/>
                <w:color w:val="auto"/>
              </w:rPr>
            </w:pPr>
          </w:p>
        </w:tc>
      </w:tr>
      <w:tr>
        <w:trPr>
          <w:trHeight w:val="20"/>
        </w:trPr>
        <w:tc>
          <w:tcPr>
            <w:tcW w:w="142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InnovAge Holding Corp. 2021 Omnibus Incentive Plan (incorporated by reference to Exhibit 10.1 to the Company’s Registration</w:t>
              </w:r>
            </w:hyperlink>
          </w:p>
        </w:tc>
      </w:tr>
      <w:tr>
        <w:trPr>
          <w:trHeight w:val="192"/>
        </w:trPr>
        <w:tc>
          <w:tcPr>
            <w:tcW w:w="1420" w:type="dxa"/>
            <w:vAlign w:val="bottom"/>
          </w:tcPr>
          <w:p>
            <w:pPr>
              <w:spacing w:after="0"/>
              <w:rPr>
                <w:sz w:val="16"/>
                <w:szCs w:val="16"/>
                <w:color w:val="auto"/>
              </w:rPr>
            </w:pPr>
          </w:p>
        </w:tc>
        <w:tc>
          <w:tcPr>
            <w:tcW w:w="9820" w:type="dxa"/>
            <w:vAlign w:val="bottom"/>
            <w:gridSpan w:val="21"/>
          </w:tcPr>
          <w:p>
            <w:pPr>
              <w:spacing w:after="0" w:line="19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Statement on Form S-8 filed with the SEC on March 5, 2021).</w:t>
              </w:r>
            </w:hyperlink>
          </w:p>
        </w:tc>
      </w:tr>
      <w:tr>
        <w:trPr>
          <w:trHeight w:val="20"/>
        </w:trPr>
        <w:tc>
          <w:tcPr>
            <w:tcW w:w="142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TCO Group Holdings, L.P. 2020 Equity Incentive Plan (incorporated by reference to Exhibit 10.20 to the Company’s Annual Report on</w:t>
              </w:r>
            </w:hyperlink>
          </w:p>
        </w:tc>
      </w:tr>
      <w:tr>
        <w:trPr>
          <w:trHeight w:val="192"/>
        </w:trPr>
        <w:tc>
          <w:tcPr>
            <w:tcW w:w="1420" w:type="dxa"/>
            <w:vAlign w:val="bottom"/>
          </w:tcPr>
          <w:p>
            <w:pPr>
              <w:spacing w:after="0"/>
              <w:rPr>
                <w:sz w:val="16"/>
                <w:szCs w:val="16"/>
                <w:color w:val="auto"/>
              </w:rPr>
            </w:pPr>
          </w:p>
        </w:tc>
        <w:tc>
          <w:tcPr>
            <w:tcW w:w="3880" w:type="dxa"/>
            <w:vAlign w:val="bottom"/>
            <w:tcBorders>
              <w:bottom w:val="single" w:sz="8" w:color="0000FF"/>
            </w:tcBorders>
            <w:gridSpan w:val="5"/>
          </w:tcPr>
          <w:p>
            <w:pPr>
              <w:spacing w:after="0" w:line="192" w:lineRule="exact"/>
              <w:rPr>
                <w:rFonts w:ascii="Times New Roman" w:cs="Times New Roman" w:eastAsia="Times New Roman" w:hAnsi="Times New Roman"/>
                <w:sz w:val="18"/>
                <w:szCs w:val="18"/>
                <w:color w:val="0000FF"/>
                <w:w w:val="96"/>
              </w:rPr>
            </w:pPr>
            <w:hyperlink r:id="rId144">
              <w:r>
                <w:rPr>
                  <w:rFonts w:ascii="Times New Roman" w:cs="Times New Roman" w:eastAsia="Times New Roman" w:hAnsi="Times New Roman"/>
                  <w:sz w:val="18"/>
                  <w:szCs w:val="18"/>
                  <w:color w:val="0000FF"/>
                  <w:w w:val="96"/>
                </w:rPr>
                <w:t>Form 10-K filed with the SEC on September 12, 2023).</w:t>
              </w:r>
            </w:hyperlink>
          </w:p>
        </w:tc>
        <w:tc>
          <w:tcPr>
            <w:tcW w:w="5940" w:type="dxa"/>
            <w:vAlign w:val="bottom"/>
            <w:gridSpan w:val="16"/>
          </w:tcPr>
          <w:p>
            <w:pPr>
              <w:spacing w:after="0"/>
              <w:rPr>
                <w:sz w:val="16"/>
                <w:szCs w:val="16"/>
                <w:color w:val="auto"/>
              </w:rPr>
            </w:pPr>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Form of Stock Option Grant Notice and Agreement (incorporated by reference to Exhibit 10.9 to the Company’s Registration Statement on</w:t>
              </w:r>
            </w:hyperlink>
          </w:p>
        </w:tc>
      </w:tr>
      <w:tr>
        <w:trPr>
          <w:trHeight w:val="192"/>
        </w:trPr>
        <w:tc>
          <w:tcPr>
            <w:tcW w:w="1420" w:type="dxa"/>
            <w:vAlign w:val="bottom"/>
          </w:tcPr>
          <w:p>
            <w:pPr>
              <w:spacing w:after="0"/>
              <w:rPr>
                <w:sz w:val="16"/>
                <w:szCs w:val="16"/>
                <w:color w:val="auto"/>
              </w:rPr>
            </w:pPr>
          </w:p>
        </w:tc>
        <w:tc>
          <w:tcPr>
            <w:tcW w:w="3820" w:type="dxa"/>
            <w:vAlign w:val="bottom"/>
            <w:tcBorders>
              <w:bottom w:val="single" w:sz="8" w:color="0000FF"/>
            </w:tcBorders>
            <w:gridSpan w:val="4"/>
          </w:tcPr>
          <w:p>
            <w:pPr>
              <w:spacing w:after="0" w:line="192" w:lineRule="exact"/>
              <w:rPr>
                <w:rFonts w:ascii="Times New Roman" w:cs="Times New Roman" w:eastAsia="Times New Roman" w:hAnsi="Times New Roman"/>
                <w:sz w:val="18"/>
                <w:szCs w:val="18"/>
                <w:color w:val="0000FF"/>
                <w:w w:val="96"/>
              </w:rPr>
            </w:pPr>
            <w:hyperlink r:id="rId145">
              <w:r>
                <w:rPr>
                  <w:rFonts w:ascii="Times New Roman" w:cs="Times New Roman" w:eastAsia="Times New Roman" w:hAnsi="Times New Roman"/>
                  <w:sz w:val="18"/>
                  <w:szCs w:val="18"/>
                  <w:color w:val="0000FF"/>
                  <w:w w:val="96"/>
                </w:rPr>
                <w:t>Form S-1/A filed with the SEC on February 24, 2021).</w:t>
              </w:r>
            </w:hyperlink>
          </w:p>
        </w:tc>
        <w:tc>
          <w:tcPr>
            <w:tcW w:w="6000" w:type="dxa"/>
            <w:vAlign w:val="bottom"/>
            <w:gridSpan w:val="17"/>
          </w:tcPr>
          <w:p>
            <w:pPr>
              <w:spacing w:after="0"/>
              <w:rPr>
                <w:sz w:val="16"/>
                <w:szCs w:val="16"/>
                <w:color w:val="auto"/>
              </w:rPr>
            </w:pPr>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Form of Restricted Stock Unit Grant Notice and Agreement (incorporated by reference to Exhibit 10.19 to the Company's Annual Report</w:t>
              </w:r>
            </w:hyperlink>
          </w:p>
        </w:tc>
        <w:tc>
          <w:tcPr>
            <w:tcW w:w="20" w:type="dxa"/>
            <w:vAlign w:val="bottom"/>
          </w:tcPr>
          <w:p>
            <w:pPr>
              <w:spacing w:after="0"/>
              <w:rPr>
                <w:sz w:val="24"/>
                <w:szCs w:val="24"/>
                <w:color w:val="auto"/>
              </w:rPr>
            </w:pPr>
          </w:p>
        </w:tc>
      </w:tr>
      <w:tr>
        <w:trPr>
          <w:trHeight w:val="192"/>
        </w:trPr>
        <w:tc>
          <w:tcPr>
            <w:tcW w:w="1420" w:type="dxa"/>
            <w:vAlign w:val="bottom"/>
          </w:tcPr>
          <w:p>
            <w:pPr>
              <w:spacing w:after="0"/>
              <w:rPr>
                <w:sz w:val="16"/>
                <w:szCs w:val="16"/>
                <w:color w:val="auto"/>
              </w:rPr>
            </w:pPr>
          </w:p>
        </w:tc>
        <w:tc>
          <w:tcPr>
            <w:tcW w:w="4100" w:type="dxa"/>
            <w:vAlign w:val="bottom"/>
            <w:tcBorders>
              <w:bottom w:val="single" w:sz="8" w:color="0000FF"/>
            </w:tcBorders>
            <w:gridSpan w:val="6"/>
          </w:tcPr>
          <w:p>
            <w:pPr>
              <w:spacing w:after="0" w:line="192" w:lineRule="exact"/>
              <w:rPr>
                <w:rFonts w:ascii="Times New Roman" w:cs="Times New Roman" w:eastAsia="Times New Roman" w:hAnsi="Times New Roman"/>
                <w:sz w:val="18"/>
                <w:szCs w:val="18"/>
                <w:color w:val="0000FF"/>
                <w:w w:val="96"/>
              </w:rPr>
            </w:pPr>
            <w:hyperlink r:id="rId146">
              <w:r>
                <w:rPr>
                  <w:rFonts w:ascii="Times New Roman" w:cs="Times New Roman" w:eastAsia="Times New Roman" w:hAnsi="Times New Roman"/>
                  <w:sz w:val="18"/>
                  <w:szCs w:val="18"/>
                  <w:color w:val="0000FF"/>
                  <w:w w:val="96"/>
                </w:rPr>
                <w:t>on Form 10-K filed with the SEC on September 10, 2024).</w:t>
              </w:r>
            </w:hyperlink>
          </w:p>
        </w:tc>
        <w:tc>
          <w:tcPr>
            <w:tcW w:w="5720" w:type="dxa"/>
            <w:vAlign w:val="bottom"/>
            <w:gridSpan w:val="15"/>
          </w:tcPr>
          <w:p>
            <w:pPr>
              <w:spacing w:after="0"/>
              <w:rPr>
                <w:sz w:val="16"/>
                <w:szCs w:val="16"/>
                <w:color w:val="auto"/>
              </w:rPr>
            </w:pPr>
          </w:p>
        </w:tc>
      </w:tr>
      <w:tr>
        <w:trPr>
          <w:trHeight w:val="24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u w:val="single" w:color="auto"/>
                <w:color w:val="0000FF"/>
              </w:rPr>
              <w:t>Insider</w:t>
            </w:r>
            <w:r>
              <w:rPr>
                <w:rFonts w:ascii="Times New Roman" w:cs="Times New Roman" w:eastAsia="Times New Roman" w:hAnsi="Times New Roman"/>
                <w:sz w:val="18"/>
                <w:szCs w:val="18"/>
                <w:color w:val="0000FF"/>
              </w:rPr>
              <w:t xml:space="preserve"> Trading Policy</w:t>
            </w:r>
          </w:p>
        </w:tc>
      </w:tr>
      <w:tr>
        <w:trPr>
          <w:trHeight w:val="20"/>
        </w:trPr>
        <w:tc>
          <w:tcPr>
            <w:tcW w:w="14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12"/>
          </w:tcPr>
          <w:p>
            <w:pPr>
              <w:spacing w:after="0" w:line="20" w:lineRule="exact"/>
              <w:rPr>
                <w:sz w:val="1"/>
                <w:szCs w:val="1"/>
                <w:color w:val="auto"/>
              </w:rPr>
            </w:pPr>
          </w:p>
        </w:tc>
      </w:tr>
      <w:tr>
        <w:trPr>
          <w:trHeight w:val="24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Subsidiaries of InnovAge Holding Corp.</w:t>
            </w:r>
          </w:p>
        </w:tc>
        <w:tc>
          <w:tcPr>
            <w:tcW w:w="7000" w:type="dxa"/>
            <w:vAlign w:val="bottom"/>
            <w:gridSpan w:val="18"/>
          </w:tcPr>
          <w:p>
            <w:pPr>
              <w:spacing w:after="0"/>
              <w:rPr>
                <w:sz w:val="21"/>
                <w:szCs w:val="21"/>
                <w:color w:val="auto"/>
              </w:rPr>
            </w:pPr>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1420" w:type="dxa"/>
            <w:vAlign w:val="bottom"/>
            <w:tcBorders>
              <w:right w:val="single" w:sz="8" w:color="0000FF"/>
            </w:tcBorders>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12"/>
          </w:tcPr>
          <w:p>
            <w:pPr>
              <w:spacing w:after="0" w:line="20" w:lineRule="exact"/>
              <w:rPr>
                <w:sz w:val="1"/>
                <w:szCs w:val="1"/>
                <w:color w:val="auto"/>
              </w:rPr>
            </w:pPr>
          </w:p>
        </w:tc>
      </w:tr>
      <w:tr>
        <w:trPr>
          <w:trHeight w:val="339"/>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Powers of Attorney (included on signature page)</w:t>
            </w:r>
          </w:p>
        </w:tc>
      </w:tr>
      <w:tr>
        <w:trPr>
          <w:trHeight w:val="277"/>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9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70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 the Sarbanes-Oxley Act of 2002</w:t>
            </w:r>
          </w:p>
        </w:tc>
        <w:tc>
          <w:tcPr>
            <w:tcW w:w="2820" w:type="dxa"/>
            <w:vAlign w:val="bottom"/>
            <w:gridSpan w:val="12"/>
          </w:tcPr>
          <w:p>
            <w:pPr>
              <w:spacing w:after="0"/>
              <w:rPr>
                <w:sz w:val="24"/>
                <w:szCs w:val="24"/>
                <w:color w:val="auto"/>
              </w:rPr>
            </w:pPr>
          </w:p>
        </w:tc>
      </w:tr>
      <w:tr>
        <w:trPr>
          <w:trHeight w:val="975"/>
        </w:trPr>
        <w:tc>
          <w:tcPr>
            <w:tcW w:w="1420" w:type="dxa"/>
            <w:vAlign w:val="bottom"/>
          </w:tcPr>
          <w:p>
            <w:pPr>
              <w:spacing w:after="0"/>
              <w:rPr>
                <w:sz w:val="24"/>
                <w:szCs w:val="24"/>
                <w:color w:val="auto"/>
              </w:rPr>
            </w:pPr>
          </w:p>
        </w:tc>
        <w:tc>
          <w:tcPr>
            <w:tcW w:w="4340" w:type="dxa"/>
            <w:vAlign w:val="bottom"/>
            <w:tcBorders>
              <w:top w:val="single" w:sz="8" w:color="0000FF"/>
            </w:tcBorders>
            <w:gridSpan w:val="7"/>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4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18 U.S.C. Section 1350, as adopted pursuant to Section 906 of the Sarbanes-Oxley Act</w:t>
            </w:r>
          </w:p>
        </w:tc>
      </w:tr>
      <w:tr>
        <w:trPr>
          <w:trHeight w:val="192"/>
        </w:trPr>
        <w:tc>
          <w:tcPr>
            <w:tcW w:w="1340" w:type="dxa"/>
            <w:vAlign w:val="bottom"/>
          </w:tcPr>
          <w:p>
            <w:pPr>
              <w:spacing w:after="0"/>
              <w:rPr>
                <w:sz w:val="16"/>
                <w:szCs w:val="16"/>
                <w:color w:val="auto"/>
              </w:rPr>
            </w:pPr>
          </w:p>
        </w:tc>
        <w:tc>
          <w:tcPr>
            <w:tcW w:w="986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r>
      <w:tr>
        <w:trPr>
          <w:trHeight w:val="29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18 U.S.C. Section 1350, as adopted pursuant to Section 906 of the Sarbanes-Oxley Act</w:t>
            </w:r>
          </w:p>
        </w:tc>
      </w:tr>
      <w:tr>
        <w:trPr>
          <w:trHeight w:val="192"/>
        </w:trPr>
        <w:tc>
          <w:tcPr>
            <w:tcW w:w="1340" w:type="dxa"/>
            <w:vAlign w:val="bottom"/>
          </w:tcPr>
          <w:p>
            <w:pPr>
              <w:spacing w:after="0"/>
              <w:rPr>
                <w:sz w:val="16"/>
                <w:szCs w:val="16"/>
                <w:color w:val="auto"/>
              </w:rPr>
            </w:pPr>
          </w:p>
        </w:tc>
        <w:tc>
          <w:tcPr>
            <w:tcW w:w="986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r>
    </w:tbl>
    <w:p>
      <w:pPr>
        <w:spacing w:after="0" w:line="61" w:lineRule="exact"/>
        <w:rPr>
          <w:sz w:val="20"/>
          <w:szCs w:val="20"/>
          <w:color w:val="auto"/>
        </w:rPr>
      </w:pPr>
    </w:p>
    <w:p>
      <w:pPr>
        <w:ind w:left="1360" w:hanging="1336"/>
        <w:spacing w:after="0" w:line="274" w:lineRule="auto"/>
        <w:tabs>
          <w:tab w:leader="none" w:pos="1360" w:val="left"/>
        </w:tabs>
        <w:numPr>
          <w:ilvl w:val="0"/>
          <w:numId w:val="46"/>
        </w:numPr>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Clawback Policy (incorporated by reference to Exhibit 97 to the Company’s Annual Report on Form 10-K filed with the SEC on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September 10, 2024).</w:t>
        </w:r>
      </w:hyperlink>
    </w:p>
    <w:p>
      <w:pPr>
        <w:sectPr>
          <w:pgSz w:w="11900" w:h="16838" w:orient="portrait"/>
          <w:cols w:equalWidth="0" w:num="1">
            <w:col w:w="11220"/>
          </w:cols>
          <w:pgMar w:left="320" w:top="293" w:right="359" w:bottom="1440" w:gutter="0" w:footer="0" w:header="0"/>
        </w:sectPr>
      </w:pPr>
    </w:p>
    <w:p>
      <w:pPr>
        <w:spacing w:after="0" w:line="4"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7"/>
          <w:szCs w:val="17"/>
          <w:color w:val="auto"/>
        </w:rPr>
        <w:t>101.INS*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74" w:lineRule="auto"/>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57" w:lineRule="exact"/>
        <w:rPr>
          <w:rFonts w:ascii="Times New Roman" w:cs="Times New Roman" w:eastAsia="Times New Roman" w:hAnsi="Times New Roman"/>
          <w:sz w:val="18"/>
          <w:szCs w:val="18"/>
          <w:color w:val="auto"/>
        </w:rPr>
      </w:pPr>
    </w:p>
    <w:p>
      <w:pPr>
        <w:sectPr>
          <w:pgSz w:w="11900" w:h="16838" w:orient="portrait"/>
          <w:cols w:equalWidth="0" w:num="2">
            <w:col w:w="700" w:space="660"/>
            <w:col w:w="9860"/>
          </w:cols>
          <w:pgMar w:left="320" w:top="293"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123" w:lineRule="exact"/>
        <w:rPr>
          <w:rFonts w:ascii="Times New Roman" w:cs="Times New Roman" w:eastAsia="Times New Roman" w:hAnsi="Times New Roman"/>
          <w:sz w:val="18"/>
          <w:szCs w:val="18"/>
          <w:color w:val="auto"/>
        </w:rPr>
      </w:pPr>
    </w:p>
    <w:p>
      <w:pPr>
        <w:sectPr>
          <w:pgSz w:w="11900" w:h="16838" w:orient="portrait"/>
          <w:cols w:equalWidth="0" w:num="2">
            <w:col w:w="760" w:space="600"/>
            <w:col w:w="9860"/>
          </w:cols>
          <w:pgMar w:left="320" w:top="293"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p>
      <w:pPr>
        <w:spacing w:after="0" w:line="123" w:lineRule="exact"/>
        <w:rPr>
          <w:rFonts w:ascii="Times New Roman" w:cs="Times New Roman" w:eastAsia="Times New Roman" w:hAnsi="Times New Roman"/>
          <w:sz w:val="18"/>
          <w:szCs w:val="18"/>
          <w:color w:val="auto"/>
        </w:rPr>
      </w:pPr>
    </w:p>
    <w:p>
      <w:pPr>
        <w:sectPr>
          <w:pgSz w:w="11900" w:h="16838" w:orient="portrait"/>
          <w:cols w:equalWidth="0" w:num="2">
            <w:col w:w="780" w:space="580"/>
            <w:col w:w="9860"/>
          </w:cols>
          <w:pgMar w:left="320" w:top="293"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123" w:lineRule="exact"/>
        <w:rPr>
          <w:rFonts w:ascii="Times New Roman" w:cs="Times New Roman" w:eastAsia="Times New Roman" w:hAnsi="Times New Roman"/>
          <w:sz w:val="18"/>
          <w:szCs w:val="18"/>
          <w:color w:val="auto"/>
        </w:rPr>
      </w:pPr>
    </w:p>
    <w:p>
      <w:pPr>
        <w:sectPr>
          <w:pgSz w:w="11900" w:h="16838" w:orient="portrait"/>
          <w:cols w:equalWidth="0" w:num="2">
            <w:col w:w="760" w:space="600"/>
            <w:col w:w="9860"/>
          </w:cols>
          <w:pgMar w:left="320" w:top="293"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p>
      <w:pPr>
        <w:spacing w:after="0" w:line="123" w:lineRule="exact"/>
        <w:rPr>
          <w:rFonts w:ascii="Times New Roman" w:cs="Times New Roman" w:eastAsia="Times New Roman" w:hAnsi="Times New Roman"/>
          <w:sz w:val="18"/>
          <w:szCs w:val="18"/>
          <w:color w:val="auto"/>
        </w:rPr>
      </w:pPr>
    </w:p>
    <w:p>
      <w:pPr>
        <w:sectPr>
          <w:pgSz w:w="11900" w:h="16838" w:orient="portrait"/>
          <w:cols w:equalWidth="0" w:num="2">
            <w:col w:w="780" w:space="580"/>
            <w:col w:w="9860"/>
          </w:cols>
          <w:pgMar w:left="320" w:top="293"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200" w:lineRule="exact"/>
        <w:rPr>
          <w:rFonts w:ascii="Times New Roman" w:cs="Times New Roman" w:eastAsia="Times New Roman" w:hAnsi="Times New Roman"/>
          <w:sz w:val="18"/>
          <w:szCs w:val="18"/>
          <w:color w:val="auto"/>
        </w:rPr>
      </w:pPr>
    </w:p>
    <w:p>
      <w:pPr>
        <w:sectPr>
          <w:pgSz w:w="11900" w:h="16838" w:orient="portrait"/>
          <w:cols w:equalWidth="0" w:num="2">
            <w:col w:w="640" w:space="720"/>
            <w:col w:w="9860"/>
          </w:cols>
          <w:pgMar w:left="320" w:top="293" w:right="359" w:bottom="1440" w:gutter="0" w:footer="0" w:header="0"/>
          <w:type w:val="continuous"/>
        </w:sectPr>
      </w:pPr>
    </w:p>
    <w:p>
      <w:pPr>
        <w:spacing w:after="0" w:line="1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9" w:lineRule="exact"/>
        <w:rPr>
          <w:rFonts w:ascii="Times New Roman" w:cs="Times New Roman" w:eastAsia="Times New Roman" w:hAnsi="Times New Roman"/>
          <w:sz w:val="18"/>
          <w:szCs w:val="18"/>
          <w:color w:val="auto"/>
        </w:rPr>
      </w:pPr>
    </w:p>
    <w:p>
      <w:pPr>
        <w:ind w:right="6720" w:firstLine="6"/>
        <w:spacing w:after="0" w:line="453" w:lineRule="auto"/>
        <w:tabs>
          <w:tab w:leader="none" w:pos="2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Furnished (and not filed) herewith pursuant to Item 601(b)(32)(ii) of the SEC’s Regulation S-K</w:t>
      </w:r>
    </w:p>
    <w:p>
      <w:pPr>
        <w:spacing w:after="0" w:line="187" w:lineRule="exact"/>
        <w:rPr>
          <w:rFonts w:ascii="Times New Roman" w:cs="Times New Roman" w:eastAsia="Times New Roman" w:hAnsi="Times New Roman"/>
          <w:sz w:val="18"/>
          <w:szCs w:val="18"/>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93" w:lineRule="exact"/>
        <w:rPr>
          <w:rFonts w:ascii="Times New Roman" w:cs="Times New Roman" w:eastAsia="Times New Roman" w:hAnsi="Times New Roman"/>
          <w:sz w:val="18"/>
          <w:szCs w:val="18"/>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38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2025</w:t>
            </w:r>
          </w:p>
        </w:tc>
        <w:tc>
          <w:tcPr>
            <w:tcW w:w="772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INNOVAGE HOLDING CORP.</w:t>
            </w:r>
          </w:p>
        </w:tc>
      </w:tr>
      <w:tr>
        <w:trPr>
          <w:trHeight w:val="265"/>
        </w:trPr>
        <w:tc>
          <w:tcPr>
            <w:tcW w:w="3480" w:type="dxa"/>
            <w:vAlign w:val="bottom"/>
          </w:tcPr>
          <w:p>
            <w:pPr>
              <w:spacing w:after="0"/>
              <w:rPr>
                <w:sz w:val="23"/>
                <w:szCs w:val="23"/>
                <w:color w:val="auto"/>
              </w:rPr>
            </w:pP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Benjamin C. Adams</w:t>
            </w:r>
          </w:p>
        </w:tc>
      </w:tr>
      <w:tr>
        <w:trPr>
          <w:trHeight w:val="26"/>
        </w:trPr>
        <w:tc>
          <w:tcPr>
            <w:tcW w:w="34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3"/>
        </w:trPr>
        <w:tc>
          <w:tcPr>
            <w:tcW w:w="3480" w:type="dxa"/>
            <w:vAlign w:val="bottom"/>
          </w:tcPr>
          <w:p>
            <w:pPr>
              <w:spacing w:after="0"/>
              <w:rPr>
                <w:sz w:val="20"/>
                <w:szCs w:val="20"/>
                <w:color w:val="auto"/>
              </w:rPr>
            </w:pP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Benjamin C. Adams</w:t>
            </w:r>
          </w:p>
        </w:tc>
      </w:tr>
      <w:tr>
        <w:trPr>
          <w:trHeight w:val="265"/>
        </w:trPr>
        <w:tc>
          <w:tcPr>
            <w:tcW w:w="3480" w:type="dxa"/>
            <w:vAlign w:val="bottom"/>
          </w:tcPr>
          <w:p>
            <w:pPr>
              <w:spacing w:after="0"/>
              <w:rPr>
                <w:sz w:val="23"/>
                <w:szCs w:val="23"/>
                <w:color w:val="auto"/>
              </w:rPr>
            </w:pP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Patrick Blair, Benjamin C. Adams and Nicole D’Amato,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any and all exhibits thereto, and other documents in connection therewith, with the Securities and Exchange Commission, and hereby grants to such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1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indicated as of September 9,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8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r>
        <w:trPr>
          <w:trHeight w:val="37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Patrick Blair</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Blair</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Benjamin C. Adams</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 accounting officer)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C. Adams</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58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Ellis Bush</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Ellis Bush</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Carlson</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Chair of the Board</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Carlson</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Andrew Cavanna</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Cavanna</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Patricia Fontneau</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Fontneau</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Edward Kennedy, Jr.</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Kennedy, Jr.</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Scully</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6"/>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Scully</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Teresa Sparks</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Sparks</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1013"/>
        </w:trPr>
        <w:tc>
          <w:tcPr>
            <w:tcW w:w="3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Marilyn Tavenner</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Marilyn Tavenner</w:t>
            </w:r>
          </w:p>
        </w:tc>
        <w:tc>
          <w:tcPr>
            <w:tcW w:w="7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Zoretic</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Zoretic</w:t>
            </w:r>
          </w:p>
        </w:tc>
        <w:tc>
          <w:tcPr>
            <w:tcW w:w="700" w:type="dxa"/>
            <w:vAlign w:val="bottom"/>
          </w:tcPr>
          <w:p>
            <w:pPr>
              <w:spacing w:after="0"/>
              <w:rPr>
                <w:sz w:val="20"/>
                <w:szCs w:val="20"/>
                <w:color w:val="auto"/>
              </w:rPr>
            </w:pPr>
          </w:p>
        </w:tc>
      </w:tr>
    </w:tbl>
    <w:p>
      <w:pPr>
        <w:sectPr>
          <w:pgSz w:w="11900" w:h="16838" w:orient="portrait"/>
          <w:cols w:equalWidth="0" w:num="1">
            <w:col w:w="10139"/>
          </w:cols>
          <w:pgMar w:left="320" w:top="293" w:right="1440" w:bottom="1440" w:gutter="0" w:footer="0" w:header="0"/>
        </w:sectPr>
      </w:pPr>
    </w:p>
    <w:bookmarkStart w:id="111" w:name="page112"/>
    <w:bookmarkEnd w:id="111"/>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 OF THE SECURITIES AND EXCHANGE ACT OF 1934</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InnovAge Holding Corp. (the “Company,” “we,” “our,” and “us”) has one class of securities, our common stock, par value $0.001 per share, registered under Section 12 of the Securities Exchange Act of 1934, as amended.</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following summary of terms of our common stock is based upon our Second Amended and Restated Certificate of Incorporation, as amended (the “certificate of incorporation”) and Amended and Restated Bylaws (the “bylaws) currently in effect under Delaware law. This summary is not complete and is subject to, and qualified in its entirety by reference to, the certificate of incorporation and bylaws, which are filed as Exhibits 3.1, 3.2 and 3.3 to our Annual Report on Form 10-K, of which this Exhibit 4.1 is a part. We encourage you to read these documents and the applicable sections of the Delaware General Corporation Law, as amended (the “DGCL”), carefully.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are authorized to issue 500,000,000 shares of common stock, par value $0.001 per share (“common stock”) and 50,000,000 shares of undesignated preferred stock, par value $0.001 per share (“preferred stock”).</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Subject to preferences that may apply to shares of stock outstanding at the time, holders of outstanding shares of common stock are entitled to receive dividends out of assets legally available at the times and in the amounts as our board of directors (the “Board”) may determine from time to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 xml:space="preserve">Each outstanding share of common stock is entitled to one vote on all matters submitted to a vote of shareholders;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as otherwise required by law, holders of common stock shall not be entitled to vote on any amendment to the certificate of incorporation that relates solely to the terms of one or more outstanding series of preferred stock, if the holders of such affected series are entitled to vote thereon. Holders of shares of our common stock have no cumulative voting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and to the other provisions of the certificate of incorporation, our common stock is not entitled to preemptive or other similar subscription rights to purchase any of our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or redemption rights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and to the other provisions of the certificate of incorporation, our common stock is neither convertible nor redeemable.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Upon our liquidation, the holders of our common stock will be entitled to receive pro rata our assets that are legally available for distribution, after payment of all debts and other liabilities and subject to the prior rights of any holders of preferred stock then outstanding.</w:t>
      </w:r>
    </w:p>
    <w:p>
      <w:pPr>
        <w:sectPr>
          <w:pgSz w:w="11900" w:h="16838" w:orient="portrait"/>
          <w:cols w:equalWidth="0" w:num="1">
            <w:col w:w="11240"/>
          </w:cols>
          <w:pgMar w:left="320" w:top="144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our bylaws</w:t>
      </w:r>
    </w:p>
    <w:p>
      <w:pPr>
        <w:spacing w:after="0" w:line="219"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Our certificate of incorporation, bylaws and the DGCL contain provisions, which are summarized in the following paragraphs,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the Company by means of a tender offer, a proxy contest or other takeover attempt that a shareholder might consider in its best interest, including those attempts that might result in a premium over the prevailing market price for the shares of common stock held by shareholders. These provisions include:</w:t>
      </w:r>
    </w:p>
    <w:p>
      <w:pPr>
        <w:spacing w:after="0" w:line="398"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Our certificate of incorporation provides that our Board is divided into three classes of directors, with the classes as nearly equal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as possible, and with the directors serving three-year terms. As a result, approximately one-third of our Board will be elected each year. The classification of directors has the effect of making it more difficult for shareholders to change the composition of our Board. Our certificate of incorporation also provides that, subject to any rights of holders of preferred stock to elect additional directors under specified circumstances, the number of directors will be fixed exclusively pursuant to a resolution adopted by our Board.</w:t>
      </w:r>
    </w:p>
    <w:p>
      <w:pPr>
        <w:spacing w:after="0" w:line="177"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r>
        <w:rPr>
          <w:rFonts w:ascii="Times New Roman" w:cs="Times New Roman" w:eastAsia="Times New Roman" w:hAnsi="Times New Roman"/>
          <w:sz w:val="18"/>
          <w:szCs w:val="18"/>
          <w:color w:val="auto"/>
        </w:rPr>
        <w:t>. Our certificate of incorporation precludes shareholder action by written consent at any time when Apax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L.P. (“Apax”) and Welsh, Carson, Anderson and Stowe (“WCAS” and, together with Apax, the “Principal Shareholders”) beneficially own, in the aggregate, less than 35% in voting power of our outstanding common stock.</w:t>
      </w:r>
    </w:p>
    <w:p>
      <w:pPr>
        <w:spacing w:after="0" w:line="17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Special meetings of shareholders</w:t>
      </w:r>
      <w:r>
        <w:rPr>
          <w:rFonts w:ascii="Times New Roman" w:cs="Times New Roman" w:eastAsia="Times New Roman" w:hAnsi="Times New Roman"/>
          <w:sz w:val="18"/>
          <w:szCs w:val="18"/>
          <w:color w:val="auto"/>
        </w:rPr>
        <w:t>. Our certificate of incorporation and bylaws provide that, except as required by law, special meetings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may be called at any time only by or at the direction of our Board or the chair of our Board; provided, however, at any time when the Principal Shareholders beneficially own, in the aggregate, at least 35% in voting power of our outstanding common stock, special meetings of our shareholders shall also be called by our Board or the chair of our Board at the request of the Principal Shareholders. Our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8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Advance notice procedures</w:t>
      </w:r>
      <w:r>
        <w:rPr>
          <w:rFonts w:ascii="Times New Roman" w:cs="Times New Roman" w:eastAsia="Times New Roman" w:hAnsi="Times New Roman"/>
          <w:sz w:val="18"/>
          <w:szCs w:val="18"/>
          <w:color w:val="auto"/>
        </w:rPr>
        <w:t>. Our bylaws establish advance-notice procedures with respect to shareholder proposals and the nomination of candidates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election as directors, other than nominations made by or at the direction of our Board or a committee of our board of directors, provided, however, that at any time when the Principal Shareholders beneficially own, in the aggregate, at least 5% in voting power of our outstanding common stock, such advance notice procedure will not apply to the Principal Shareholders. Shareholders at an annual meeting will only be able to consider proposals or nominations specified in the notice of meeting or brought before the meeting by or at the direction of our Board or by a shareholder who was a shareholder of record on the record date for the meeting, who is entitled to vote at the meeting and who has given our Secretary timely written notice while a shareholder of record, in proper form, of the shareholder’s intention to bring that business before the meeting. Although the bylaws do not give our Board the power to approve or disapprove shareholder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These provisions do not apply to nominations by the Principal Shareholders pursuant to the Director Nomination Agreement dated March 8, 2021 (the “Director Nomination Agreement”).</w:t>
      </w:r>
    </w:p>
    <w:p>
      <w:pPr>
        <w:spacing w:after="0" w:line="189" w:lineRule="exact"/>
        <w:rPr>
          <w:sz w:val="20"/>
          <w:szCs w:val="20"/>
          <w:color w:val="auto"/>
        </w:rPr>
      </w:pPr>
    </w:p>
    <w:p>
      <w:pPr>
        <w:jc w:val="both"/>
        <w:ind w:firstLine="636"/>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Removal of directors; vacancies</w:t>
      </w:r>
      <w:r>
        <w:rPr>
          <w:rFonts w:ascii="Times New Roman" w:cs="Times New Roman" w:eastAsia="Times New Roman" w:hAnsi="Times New Roman"/>
          <w:sz w:val="17"/>
          <w:szCs w:val="17"/>
          <w:color w:val="auto"/>
        </w:rPr>
        <w:t>. Our certificate of incorporation provides that, subject to the rights granted to one or more series of preferred stock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then outstanding, prior to the first date on which the Principal Shareholders cease to beneficially own, in the aggregate, 40% or more of our outstanding common stock, a director may be removed with or without cause by the by the affirmative vote of at least a majority of the voting power of the then-</w:t>
      </w:r>
    </w:p>
    <w:p>
      <w:pPr>
        <w:sectPr>
          <w:pgSz w:w="11900" w:h="16838" w:orient="portrait"/>
          <w:cols w:equalWidth="0" w:num="1">
            <w:col w:w="11240"/>
          </w:cols>
          <w:pgMar w:left="320" w:top="1391" w:right="339" w:bottom="1440" w:gutter="0" w:footer="0" w:header="0"/>
        </w:sectPr>
      </w:pPr>
    </w:p>
    <w:bookmarkStart w:id="113" w:name="page114"/>
    <w:bookmarkEnd w:id="113"/>
    <w:p>
      <w:pPr>
        <w:jc w:val="both"/>
        <w:spacing w:after="0" w:line="242" w:lineRule="auto"/>
        <w:rPr>
          <w:sz w:val="20"/>
          <w:szCs w:val="20"/>
          <w:color w:val="auto"/>
        </w:rPr>
      </w:pPr>
      <w:r>
        <w:rPr>
          <w:rFonts w:ascii="Times New Roman" w:cs="Times New Roman" w:eastAsia="Times New Roman" w:hAnsi="Times New Roman"/>
          <w:sz w:val="18"/>
          <w:szCs w:val="18"/>
          <w:color w:val="auto"/>
        </w:rPr>
        <w:t>outstanding shares of stock, voting together as a single class; provided, however, that at any time when the Principal Shareholders beneficially own, in the aggregate, less than 40% of our outstanding common stock, all directors, including those nominated by the Principal Shareholders, may only be removed for cause, and only by the affirmative vote of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in voting power of all the then-outstanding shares of stock of the Company entitled to vote thereon, voting together as a single class. In addition, our certificate of incorporation also provides that, subject to the rights granted to one or more series of preferred stock then outstanding, any newly created directorship on our Board that results from an increase in the number of directors and any vacancy occurring on our Board may only be filled by a majority of the directors then in office, even if less than a quorum, or by a sole remaining director (and not by the shareholders). At any time the Principal Shareholders own, in the aggregate, over 40% of the voting power of our common stock then outstanding, or either Principal Shareholder individually owns over 20% of the voting power of our common stock then outstanding, a majority of the Board, including at least one director nominated by each of the Principal Shareholders, is required to constitute a quorum.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Supermajority approval requirements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7"/>
          <w:szCs w:val="17"/>
          <w:color w:val="auto"/>
        </w:rPr>
        <w:t>Our certificate of incorporation and bylaws provide that our Board is expressly authorized to make, alter, amend, change, add to, rescind or repeal, in whole or in part, our bylaws without a shareholder vote in any matter not inconsistent with the laws of the State of Delaware and our certificate of incorporation. At any time the Principal Shareholders beneficially own, in the aggregate, at least 50% of our common stock then outstanding, the affirmative vote of the holders of a majority of our common stock, voting together as a single class, is required to amend, alter, rescind or repeal our bylaws. From and after the date on which the Principal Shareholders beneficially own less than 50% of our common stock then outstanding, the affirmative vote of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7"/>
          <w:szCs w:val="17"/>
          <w:color w:val="auto"/>
        </w:rPr>
        <w:t>% of our common stock, voting together as a single class, is required for any amendment, alteration, rescission or repeal of our bylaws.</w:t>
      </w:r>
    </w:p>
    <w:p>
      <w:pPr>
        <w:spacing w:after="0" w:line="16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63" w:lineRule="exact"/>
        <w:rPr>
          <w:sz w:val="20"/>
          <w:szCs w:val="20"/>
          <w:color w:val="auto"/>
        </w:rPr>
      </w:pPr>
    </w:p>
    <w:p>
      <w:pPr>
        <w:jc w:val="both"/>
        <w:ind w:firstLine="636"/>
        <w:spacing w:after="0" w:line="238" w:lineRule="auto"/>
        <w:rPr>
          <w:sz w:val="20"/>
          <w:szCs w:val="20"/>
          <w:color w:val="auto"/>
        </w:rPr>
      </w:pPr>
      <w:r>
        <w:rPr>
          <w:rFonts w:ascii="Times New Roman" w:cs="Times New Roman" w:eastAsia="Times New Roman" w:hAnsi="Times New Roman"/>
          <w:sz w:val="18"/>
          <w:szCs w:val="18"/>
          <w:color w:val="auto"/>
        </w:rPr>
        <w:t>Our certificate of incorporation provides that, from and after the date on which the Principal Shareholders beneficially own less than 50% of our common stock then outstanding, the following provisions in our certificate of incorporation may be amended, altered, repealed or rescinded only by the affirmative vote of the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in voting power of all the then-outstanding shares of stock of the Company entitled to vote thereon, voting together as a single class:</w:t>
      </w:r>
    </w:p>
    <w:p>
      <w:pPr>
        <w:spacing w:after="0" w:line="183" w:lineRule="exact"/>
        <w:rPr>
          <w:sz w:val="20"/>
          <w:szCs w:val="20"/>
          <w:color w:val="auto"/>
        </w:rPr>
      </w:pPr>
    </w:p>
    <w:p>
      <w:pPr>
        <w:ind w:left="1340" w:hanging="442"/>
        <w:spacing w:after="0"/>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supermajority vote for shareholders to amend our bylaws;</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1340" w:hanging="442"/>
        <w:spacing w:after="0"/>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362" w:lineRule="exact"/>
        <w:rPr>
          <w:rFonts w:ascii="Times New Roman" w:cs="Times New Roman" w:eastAsia="Times New Roman" w:hAnsi="Times New Roman"/>
          <w:sz w:val="18"/>
          <w:szCs w:val="18"/>
          <w:color w:val="auto"/>
        </w:rPr>
      </w:pPr>
    </w:p>
    <w:p>
      <w:pPr>
        <w:ind w:left="1340" w:hanging="442"/>
        <w:spacing w:after="0"/>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376" w:lineRule="exact"/>
        <w:rPr>
          <w:rFonts w:ascii="Times New Roman" w:cs="Times New Roman" w:eastAsia="Times New Roman" w:hAnsi="Times New Roman"/>
          <w:sz w:val="18"/>
          <w:szCs w:val="18"/>
          <w:color w:val="auto"/>
        </w:rPr>
      </w:pPr>
    </w:p>
    <w:p>
      <w:pPr>
        <w:ind w:left="1340" w:hanging="442"/>
        <w:spacing w:after="0"/>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shareholders;</w:t>
      </w:r>
    </w:p>
    <w:p>
      <w:pPr>
        <w:spacing w:after="0" w:line="376" w:lineRule="exact"/>
        <w:rPr>
          <w:rFonts w:ascii="Times New Roman" w:cs="Times New Roman" w:eastAsia="Times New Roman" w:hAnsi="Times New Roman"/>
          <w:sz w:val="18"/>
          <w:szCs w:val="18"/>
          <w:color w:val="auto"/>
        </w:rPr>
      </w:pPr>
    </w:p>
    <w:p>
      <w:pPr>
        <w:ind w:left="1340" w:hanging="442"/>
        <w:spacing w:after="0"/>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shareholder action by written consent;</w:t>
      </w:r>
    </w:p>
    <w:p>
      <w:pPr>
        <w:spacing w:after="0" w:line="362" w:lineRule="exact"/>
        <w:rPr>
          <w:rFonts w:ascii="Times New Roman" w:cs="Times New Roman" w:eastAsia="Times New Roman" w:hAnsi="Times New Roman"/>
          <w:sz w:val="18"/>
          <w:szCs w:val="18"/>
          <w:color w:val="auto"/>
        </w:rPr>
      </w:pPr>
    </w:p>
    <w:p>
      <w:pPr>
        <w:ind w:left="1340" w:hanging="442"/>
        <w:spacing w:after="0"/>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shareholders;</w:t>
      </w:r>
    </w:p>
    <w:p>
      <w:pPr>
        <w:spacing w:after="0" w:line="376" w:lineRule="exact"/>
        <w:rPr>
          <w:rFonts w:ascii="Times New Roman" w:cs="Times New Roman" w:eastAsia="Times New Roman" w:hAnsi="Times New Roman"/>
          <w:sz w:val="18"/>
          <w:szCs w:val="18"/>
          <w:color w:val="auto"/>
        </w:rPr>
      </w:pPr>
    </w:p>
    <w:p>
      <w:pPr>
        <w:ind w:left="1340" w:hanging="442"/>
        <w:spacing w:after="0"/>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and newly created directorships;</w:t>
      </w:r>
    </w:p>
    <w:p>
      <w:pPr>
        <w:sectPr>
          <w:pgSz w:w="11900" w:h="16838" w:orient="portrait"/>
          <w:cols w:equalWidth="0" w:num="1">
            <w:col w:w="11240"/>
          </w:cols>
          <w:pgMar w:left="320" w:top="1393" w:right="339" w:bottom="1440" w:gutter="0" w:footer="0" w:header="0"/>
        </w:sectPr>
      </w:pPr>
    </w:p>
    <w:bookmarkStart w:id="114" w:name="page115"/>
    <w:bookmarkEnd w:id="114"/>
    <w:p>
      <w:pPr>
        <w:ind w:left="1340" w:hanging="442"/>
        <w:spacing w:after="0"/>
        <w:tabs>
          <w:tab w:leader="none" w:pos="1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and</w:t>
      </w:r>
    </w:p>
    <w:p>
      <w:pPr>
        <w:spacing w:after="0" w:line="325" w:lineRule="exact"/>
        <w:rPr>
          <w:rFonts w:ascii="Times New Roman" w:cs="Times New Roman" w:eastAsia="Times New Roman" w:hAnsi="Times New Roman"/>
          <w:sz w:val="18"/>
          <w:szCs w:val="18"/>
          <w:color w:val="auto"/>
        </w:rPr>
      </w:pPr>
    </w:p>
    <w:p>
      <w:pPr>
        <w:ind w:left="1340" w:hanging="442"/>
        <w:spacing w:after="0"/>
        <w:tabs>
          <w:tab w:leader="none" w:pos="1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supermajority vote.</w:t>
      </w:r>
    </w:p>
    <w:p>
      <w:pPr>
        <w:spacing w:after="0" w:line="34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the provision that deals with corporate opportunity may be amended only with an 80% supermajority vote. The combination of the classification of our Board, the lack of cumulative voting and the supermajority voting requirements will make it more difficult for our existing shareholders to replace our Board as well as for another party to obtain control of us by replacing our Board. Because our Board has the power to retain and discharge our officers, these provisions could also make it more difficult for existing shareholders or another party to effect a change in management.</w:t>
      </w:r>
    </w:p>
    <w:p>
      <w:pPr>
        <w:spacing w:after="0" w:line="17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r>
        <w:rPr>
          <w:rFonts w:ascii="Times New Roman" w:cs="Times New Roman" w:eastAsia="Times New Roman" w:hAnsi="Times New Roman"/>
          <w:sz w:val="18"/>
          <w:szCs w:val="18"/>
          <w:color w:val="auto"/>
        </w:rPr>
        <w:t>. Our authorized but unissued shares of common stock and preferred stock will be available for future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shareholder approval, subject to stock exchange rules. These additional shares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shareholders of opportunities to sell their shares of common stock at prices higher than prevailing market prices.</w:t>
      </w:r>
    </w:p>
    <w:p>
      <w:pPr>
        <w:spacing w:after="0" w:line="18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color w:val="auto"/>
        </w:rPr>
        <w:t>. We are not subject to the provisions of Section 203 of the DGCL. In general, Section 203 prohibits a publicly held Delaware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8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90"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41" w:lineRule="exact"/>
        <w:rPr>
          <w:sz w:val="20"/>
          <w:szCs w:val="20"/>
          <w:color w:val="auto"/>
        </w:rPr>
      </w:pPr>
    </w:p>
    <w:p>
      <w:pPr>
        <w:ind w:right="220" w:firstLine="636"/>
        <w:spacing w:after="0" w:line="259" w:lineRule="auto"/>
        <w:rPr>
          <w:sz w:val="20"/>
          <w:szCs w:val="20"/>
          <w:color w:val="auto"/>
        </w:rPr>
      </w:pPr>
      <w:r>
        <w:rPr>
          <w:rFonts w:ascii="Times New Roman" w:cs="Times New Roman" w:eastAsia="Times New Roman" w:hAnsi="Times New Roman"/>
          <w:sz w:val="18"/>
          <w:szCs w:val="18"/>
          <w:color w:val="auto"/>
        </w:rPr>
        <w:t>We opted out of Section 203; however, our certificate of incorporation contains similar provisions providing that we may not engage in certain “business combinations” with any “interested shareholder” for a three-year period following the time that the shareholder became an interested shareholder, unless:</w:t>
      </w:r>
    </w:p>
    <w:p>
      <w:pPr>
        <w:sectPr>
          <w:pgSz w:w="11900" w:h="16838" w:orient="portrait"/>
          <w:cols w:equalWidth="0" w:num="1">
            <w:col w:w="11240"/>
          </w:cols>
          <w:pgMar w:left="320" w:top="1433" w:right="339" w:bottom="1440" w:gutter="0" w:footer="0" w:header="0"/>
        </w:sectPr>
      </w:pPr>
    </w:p>
    <w:bookmarkStart w:id="115" w:name="page116"/>
    <w:bookmarkEnd w:id="115"/>
    <w:p>
      <w:pPr>
        <w:ind w:left="1340" w:right="260" w:hanging="442"/>
        <w:spacing w:after="0" w:line="183" w:lineRule="auto"/>
        <w:tabs>
          <w:tab w:leader="none" w:pos="1340" w:val="left"/>
        </w:tabs>
        <w:numPr>
          <w:ilvl w:val="0"/>
          <w:numId w:val="50"/>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prior to such time, our Board approved either the business combination or the transaction which resulted in the shareholder becoming an interested shareholder;</w:t>
      </w:r>
    </w:p>
    <w:p>
      <w:pPr>
        <w:spacing w:after="0" w:line="365" w:lineRule="exact"/>
        <w:rPr>
          <w:rFonts w:ascii="Times New Roman" w:cs="Times New Roman" w:eastAsia="Times New Roman" w:hAnsi="Times New Roman"/>
          <w:sz w:val="30"/>
          <w:szCs w:val="30"/>
          <w:color w:val="auto"/>
          <w:vertAlign w:val="subscript"/>
        </w:rPr>
      </w:pPr>
    </w:p>
    <w:p>
      <w:pPr>
        <w:ind w:left="1340" w:right="520" w:hanging="442"/>
        <w:spacing w:after="0" w:line="183" w:lineRule="auto"/>
        <w:tabs>
          <w:tab w:leader="none" w:pos="1340" w:val="left"/>
        </w:tabs>
        <w:numPr>
          <w:ilvl w:val="0"/>
          <w:numId w:val="50"/>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301" w:lineRule="exact"/>
        <w:rPr>
          <w:rFonts w:ascii="Times New Roman" w:cs="Times New Roman" w:eastAsia="Times New Roman" w:hAnsi="Times New Roman"/>
          <w:sz w:val="30"/>
          <w:szCs w:val="30"/>
          <w:color w:val="auto"/>
          <w:vertAlign w:val="subscript"/>
        </w:rPr>
      </w:pPr>
    </w:p>
    <w:p>
      <w:pPr>
        <w:ind w:left="1340" w:right="40" w:hanging="442"/>
        <w:spacing w:after="0" w:line="185" w:lineRule="auto"/>
        <w:tabs>
          <w:tab w:leader="none" w:pos="1340" w:val="left"/>
        </w:tabs>
        <w:numPr>
          <w:ilvl w:val="0"/>
          <w:numId w:val="50"/>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of our outstanding voting stock that is not owned by the interested shareholder.</w:t>
      </w:r>
    </w:p>
    <w:p>
      <w:pPr>
        <w:spacing w:after="0" w:line="102"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shareholder” to effect various business combinations with the Company for a three-year period. This provision may encourage companies interested in acquiring the Company to negotiate in advance with our Board because the shareholder approval requirement would be avoided if our Board approves either the business combination or the transaction which results in the shareholder becoming an interested shareholder. These provisions also may have the effect of preventing changes in our Board and may make it more difficult to accomplish transactions which shareholders may otherwise deem to be in their best interests.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certificate of incorporation provides that the Principal Shareholders, and any of their direct or indirect transferees and any group as to which such persons are a party, do not constitute “interested shareholders” for purposes of this provision.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Under the DGCL, with certain exceptions, our shareholders have appraisal rights in connection with a merger or consolidation of us. Pursuant to the DGCL, shareholders who properly request and perfect appraisal rights in connection with such merger or consolidation have the right to receive payment of the fair value of their shares as determined by the Delaware Court of Chancery.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derivative actions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Under the DGCL, any of our shareholders may bring an action in our name to procure a judgment in our favor, also known as a derivative action, provided that the shareholder bringing the action is a holder of our shares at the time of the transaction to which the action relates or such shareholder’s stock thereafter devolved by operation of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19"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w:t>
      </w:r>
    </w:p>
    <w:p>
      <w:pPr>
        <w:sectPr>
          <w:pgSz w:w="11900" w:h="16838" w:orient="portrait"/>
          <w:cols w:equalWidth="0" w:num="1">
            <w:col w:w="11240"/>
          </w:cols>
          <w:pgMar w:left="320" w:top="1433" w:right="339" w:bottom="1440" w:gutter="0" w:footer="0" w:header="0"/>
        </w:sectPr>
      </w:pPr>
    </w:p>
    <w:bookmarkStart w:id="116" w:name="page117"/>
    <w:bookmarkEnd w:id="116"/>
    <w:p>
      <w:pPr>
        <w:jc w:val="both"/>
        <w:spacing w:after="0" w:line="249" w:lineRule="auto"/>
        <w:rPr>
          <w:sz w:val="20"/>
          <w:szCs w:val="20"/>
          <w:color w:val="auto"/>
        </w:rPr>
      </w:pPr>
      <w:r>
        <w:rPr>
          <w:rFonts w:ascii="Times New Roman" w:cs="Times New Roman" w:eastAsia="Times New Roman" w:hAnsi="Times New Roman"/>
          <w:sz w:val="18"/>
          <w:szCs w:val="18"/>
          <w:color w:val="auto"/>
        </w:rPr>
        <w:t>district courts of the United States shall be the exclusive forum for the resolution of any complaint asserting a cause of action under the Securities Act. Any person or entity purchasing or otherwise acquiring any interest in shares of our capital stock will be deemed to have notice of and to have consented to the provisions of our certificate of incorporation described above.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our directors and officers. Alternatively, if a court were to find any of the forum selection provisions contained in our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board of directors.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19"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shareholders.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certain of our officers, directors or shareholders or their respective affiliates, other than those officers, directors, shareholders or affiliates who are our or our subsidiaries’ employees. Our certificate of incorporation provides that, to the fullest extent permitted by law, neither the Principal Shareholders or any director who is not employed by us (including any non-employee director who serves as one of our officers in both her or his director and officer capacities) or his or her affiliates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the Principal Shareholders or any non-employee director acquires knowledge of a potential transaction or other business opportunity which may be a corporate opportunity for itself, herself or himself or its or her or his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officers to corporations and their shareholders for monetary damages for breaches of directors’ or officers’ fiduciary duties, subject to certain exceptions. Our certificate of incorporation includes a provision that eliminates the personal liability of directors and officers for monetary damages for breaches of fiduciary duty as a director or officer, as applicable, except to the extent such exemption from liability or limitation thereof is not permitted under the DGCL. The effect of these provisions is to eliminate our rights and those of our shareholders, through shareholders’ derivative suits on our behalf, to recover monetary damages from a director for breach of fiduciary duty as a director, and to eliminate the rights of our shareholders to recover monetary damages directly (not through shareholders’ derivative suits) from an officer for breach of fiduciary duty as an officer, in each case, including breaches resulting from grossly negligent behavior. However, exculpation will not apply to any director or officer, if the director or officer has acted in bad faith, knowingly or intentionally violated the law, authorized illegal dividends or redemptions, in the case of a director, or derived an improper benefit from his or her actions as a director or officer, as applicable.</w:t>
      </w:r>
    </w:p>
    <w:p>
      <w:pPr>
        <w:sectPr>
          <w:pgSz w:w="11900" w:h="16838" w:orient="portrait"/>
          <w:cols w:equalWidth="0" w:num="1">
            <w:col w:w="11240"/>
          </w:cols>
          <w:pgMar w:left="320" w:top="1393" w:right="339" w:bottom="1440" w:gutter="0" w:footer="0" w:header="0"/>
        </w:sectPr>
      </w:pPr>
    </w:p>
    <w:bookmarkStart w:id="117" w:name="page118"/>
    <w:bookmarkEnd w:id="117"/>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that are included in our certificate of incorporation and bylaws may discourage shareholders from bringing a lawsuit against directors or officers for breaches of their fiduciary duties. These provisions also may have the effect of reducing the likelihood of derivative litigation against directors, even though such an action, if successful, might otherwise benefit us and our shareholders. In addition, your investment may be adversely affected to the extent we pay the costs of settlement and damage awards against directors and officers pursuant to these indemnification provisions.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“INNV.”</w:t>
      </w:r>
    </w:p>
    <w:p>
      <w:pPr>
        <w:sectPr>
          <w:pgSz w:w="11900" w:h="16838" w:orient="portrait"/>
          <w:cols w:equalWidth="0" w:num="1">
            <w:col w:w="11240"/>
          </w:cols>
          <w:pgMar w:left="320" w:top="139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1"/>
          <w:szCs w:val="21"/>
          <w:b w:val="1"/>
          <w:bCs w:val="1"/>
          <w:color w:val="auto"/>
        </w:rPr>
        <w:t>TCO GROUP HOLDINGS, L.P.</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INCENTIVE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CLASS B UNIT AWARD AGREEMENT</w:t>
      </w:r>
    </w:p>
    <w:p>
      <w:pPr>
        <w:spacing w:after="0" w:line="2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21"/>
          <w:szCs w:val="21"/>
          <w:color w:val="auto"/>
        </w:rPr>
        <w:t>THIS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evidences an award of Class B Units granted pursuant to the TCO Group Holdings, L.P. Equity Incentive Plan (as from time to time amended and in effect,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on September 5, 2025 (the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and is entered into between TCO Group Holdings, L.P., a Delaware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 and the undersigned Participant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All capitalized terms that are used but not defined in this Agreement (including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attached hereto) have the meanings ascribed to them in the Plan.</w:t>
      </w:r>
    </w:p>
    <w:p>
      <w:pPr>
        <w:spacing w:after="0" w:line="181" w:lineRule="exact"/>
        <w:rPr>
          <w:sz w:val="20"/>
          <w:szCs w:val="20"/>
          <w:color w:val="auto"/>
        </w:rPr>
      </w:pPr>
    </w:p>
    <w:p>
      <w:pPr>
        <w:jc w:val="both"/>
        <w:ind w:firstLine="6"/>
        <w:spacing w:after="0" w:line="261" w:lineRule="auto"/>
        <w:tabs>
          <w:tab w:leader="none" w:pos="63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Subject to the terms and conditions set forth in this Agreement, the Plan and the LP Agreement, the Partnership hereby grants to the Participant on the Grant Date 3,867,318 Class B Units, each with a Hurdle Amount of $3.68 (this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It is intended that this Award qualify as a “profits interest” for U.S. federal income tax purposes and this Agreement will be interpreted in accordance with that intent.</w:t>
      </w:r>
    </w:p>
    <w:p>
      <w:pPr>
        <w:spacing w:after="0" w:line="168" w:lineRule="exact"/>
        <w:rPr>
          <w:rFonts w:ascii="Times New Roman" w:cs="Times New Roman" w:eastAsia="Times New Roman" w:hAnsi="Times New Roman"/>
          <w:sz w:val="21"/>
          <w:szCs w:val="21"/>
          <w:color w:val="auto"/>
        </w:rPr>
      </w:pPr>
    </w:p>
    <w:p>
      <w:pPr>
        <w:jc w:val="both"/>
        <w:ind w:firstLine="6"/>
        <w:spacing w:after="0" w:line="262" w:lineRule="auto"/>
        <w:tabs>
          <w:tab w:leader="none" w:pos="63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xml:space="preserve"> For purposes of this Agreement, the Class B Units subject to this Award that are or become vested, in each case, in accordance with the provisions of this Agreement, are referred to as “</w:t>
      </w:r>
      <w:r>
        <w:rPr>
          <w:rFonts w:ascii="Times New Roman" w:cs="Times New Roman" w:eastAsia="Times New Roman" w:hAnsi="Times New Roman"/>
          <w:sz w:val="21"/>
          <w:szCs w:val="21"/>
          <w:u w:val="single" w:color="auto"/>
          <w:color w:val="auto"/>
        </w:rPr>
        <w:t>Vested</w:t>
      </w:r>
      <w:r>
        <w:rPr>
          <w:rFonts w:ascii="Times New Roman" w:cs="Times New Roman" w:eastAsia="Times New Roman" w:hAnsi="Times New Roman"/>
          <w:sz w:val="21"/>
          <w:szCs w:val="21"/>
          <w:color w:val="auto"/>
        </w:rPr>
        <w:t>” and the Class B Units subject to this Award that have not become vested in accordance with the provisions of this Agreement are referred to as “</w:t>
      </w:r>
      <w:r>
        <w:rPr>
          <w:rFonts w:ascii="Times New Roman" w:cs="Times New Roman" w:eastAsia="Times New Roman" w:hAnsi="Times New Roman"/>
          <w:sz w:val="21"/>
          <w:szCs w:val="21"/>
          <w:u w:val="single" w:color="auto"/>
          <w:color w:val="auto"/>
        </w:rPr>
        <w:t>Unvested</w:t>
      </w:r>
      <w:r>
        <w:rPr>
          <w:rFonts w:ascii="Times New Roman" w:cs="Times New Roman" w:eastAsia="Times New Roman" w:hAnsi="Times New Roman"/>
          <w:sz w:val="21"/>
          <w:szCs w:val="21"/>
          <w:color w:val="auto"/>
        </w:rPr>
        <w:t xml:space="preserve">”. Class B Units subject to this Award shall vest under this Agreement in accordance with the terms of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attached hereto if, and only if, the Participant remains in Service on the applicable vesting date(s).</w:t>
      </w:r>
    </w:p>
    <w:p>
      <w:pPr>
        <w:spacing w:after="0" w:line="165"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Cessation of Service; Forfeiture</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320" w:firstLine="958"/>
        <w:spacing w:after="0" w:line="257" w:lineRule="auto"/>
        <w:tabs>
          <w:tab w:leader="none" w:pos="1907"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below, if the Participant’s Service ceases for any reason, (i) no additional portion of this Award will become Vested at or after the time of such cessation of Service, (ii) the portion of this Award that is then Unvested will be immediately and automatically forfeited for no consideration payable to the Participant, and (iii) except as provided in this Agreement, the Vested portion of this Award will remain outstanding and subject to the terms and conditions of the Plan, this Agreement and the LP Agreement, including the repurchase provisions set forth in Section 10.1 and Section 10.4 of the LP Agreement. Following the cessation of the Participant’s Service for any reason, the Participant’s retention of the Vested portion of this Award will in all cases be conditioned upon the Participant (or, if applicable, the Participant’s estate or beneficiary) signing and returning to the Partnership (without revoking) a timely and effective general release of claims in a form provided by the Partnership by the deadline specified therein, which in all events shall become effective and irrevocable not later than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calendar day following the date the Participant’s Service ceases.</w:t>
      </w:r>
    </w:p>
    <w:p>
      <w:pPr>
        <w:spacing w:after="0" w:line="96" w:lineRule="exact"/>
        <w:rPr>
          <w:rFonts w:ascii="Times New Roman" w:cs="Times New Roman" w:eastAsia="Times New Roman" w:hAnsi="Times New Roman"/>
          <w:sz w:val="21"/>
          <w:szCs w:val="21"/>
          <w:color w:val="auto"/>
        </w:rPr>
      </w:pPr>
    </w:p>
    <w:p>
      <w:pPr>
        <w:jc w:val="both"/>
        <w:ind w:left="320" w:firstLine="958"/>
        <w:spacing w:after="0" w:line="274" w:lineRule="auto"/>
        <w:tabs>
          <w:tab w:leader="none" w:pos="1905"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 Breach of Restrictive Covenants</w:t>
      </w:r>
      <w:r>
        <w:rPr>
          <w:rFonts w:ascii="Times New Roman" w:cs="Times New Roman" w:eastAsia="Times New Roman" w:hAnsi="Times New Roman"/>
          <w:sz w:val="21"/>
          <w:szCs w:val="21"/>
          <w:color w:val="auto"/>
        </w:rPr>
        <w:t xml:space="preserve">. Notwithstanding anything in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to the contrary, in the event that the Participant’s Service is terminated for Cause (as defined in the Employment Agreement between Total Community Options, Inc., d/b/a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93" w:right="339" w:bottom="1440" w:gutter="0" w:footer="0" w:header="0"/>
        </w:sectPr>
      </w:pPr>
    </w:p>
    <w:bookmarkStart w:id="119" w:name="page120"/>
    <w:bookmarkEnd w:id="119"/>
    <w:p>
      <w:pPr>
        <w:jc w:val="both"/>
        <w:ind w:left="320"/>
        <w:spacing w:after="0" w:line="266" w:lineRule="auto"/>
        <w:rPr>
          <w:sz w:val="20"/>
          <w:szCs w:val="20"/>
          <w:color w:val="auto"/>
        </w:rPr>
      </w:pPr>
      <w:r>
        <w:rPr>
          <w:rFonts w:ascii="Times New Roman" w:cs="Times New Roman" w:eastAsia="Times New Roman" w:hAnsi="Times New Roman"/>
          <w:sz w:val="21"/>
          <w:szCs w:val="21"/>
          <w:color w:val="auto"/>
        </w:rPr>
        <w:t>InnovAge, and the Participant, dated as of December 1, 2021 (as amended from time to time,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(or at a time when the Administrator determines the Partnership or any of its Affiliates could have terminated the Participant’s Service for Cause) or the Participant breaches any Restrictive Covenant (as defined below), all Class B Units subject to this Award (whether Vested or Unvested) will be immediately forfeited for no consideration payable to the Participant.</w:t>
      </w:r>
    </w:p>
    <w:p>
      <w:pPr>
        <w:spacing w:after="0" w:line="162" w:lineRule="exact"/>
        <w:rPr>
          <w:sz w:val="20"/>
          <w:szCs w:val="20"/>
          <w:color w:val="auto"/>
        </w:rPr>
      </w:pPr>
    </w:p>
    <w:p>
      <w:pPr>
        <w:jc w:val="both"/>
        <w:ind w:firstLine="6"/>
        <w:spacing w:after="0" w:line="256" w:lineRule="auto"/>
        <w:tabs>
          <w:tab w:leader="none" w:pos="63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The Participant acknowledges and agrees that the Participant will execute, no later than the date hereof, and shall be bound by, the restrictive covenants set forth in the Employment Agreement, in addition to any confidentiality, non-competition, non-solicitation, no-hire, non-disparagement, invention assignment, cooperation or other similar obligations of the Participant to the Partnership or any of its Affiliates (such obligations, collectively, the “</w:t>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which Restrictive Covenants shall survive any termination, expiration, forfeiture, transfer or other disposition of this Award in accordance with its terms. In addition to any remedies that may be available to the Partnership or any of its Affiliates, the Administrator may cause this Award (whether or not Vested) to be forfeited and the proceeds from the any disposition and/or distributions or other amounts received in respect of this Award to be disgorged to the Partnership, with interest and related earnings, if at any time the Participant is not in compliance with all of the provisions of the Restrictive Covenants.</w:t>
      </w:r>
    </w:p>
    <w:p>
      <w:pPr>
        <w:spacing w:after="0" w:line="172" w:lineRule="exact"/>
        <w:rPr>
          <w:rFonts w:ascii="Times New Roman" w:cs="Times New Roman" w:eastAsia="Times New Roman" w:hAnsi="Times New Roman"/>
          <w:sz w:val="21"/>
          <w:szCs w:val="21"/>
          <w:color w:val="auto"/>
        </w:rPr>
      </w:pPr>
    </w:p>
    <w:p>
      <w:pPr>
        <w:jc w:val="both"/>
        <w:ind w:firstLine="6"/>
        <w:spacing w:after="0" w:line="274" w:lineRule="auto"/>
        <w:tabs>
          <w:tab w:leader="none" w:pos="63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3" w:lineRule="exact"/>
        <w:rPr>
          <w:rFonts w:ascii="Times New Roman" w:cs="Times New Roman" w:eastAsia="Times New Roman" w:hAnsi="Times New Roman"/>
          <w:sz w:val="21"/>
          <w:szCs w:val="21"/>
          <w:color w:val="auto"/>
        </w:rPr>
      </w:pPr>
    </w:p>
    <w:p>
      <w:pPr>
        <w:ind w:firstLine="6"/>
        <w:spacing w:after="0" w:line="285" w:lineRule="auto"/>
        <w:tabs>
          <w:tab w:leader="none" w:pos="63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be binding upon and inure to the benefit of the Partnership and the Participant and their respective heirs, executors, administrators, legal representatives, successors and assigns.</w:t>
      </w:r>
    </w:p>
    <w:p>
      <w:pPr>
        <w:spacing w:after="0" w:line="141" w:lineRule="exact"/>
        <w:rPr>
          <w:rFonts w:ascii="Times New Roman" w:cs="Times New Roman" w:eastAsia="Times New Roman" w:hAnsi="Times New Roman"/>
          <w:sz w:val="21"/>
          <w:szCs w:val="21"/>
          <w:color w:val="auto"/>
        </w:rPr>
      </w:pPr>
    </w:p>
    <w:p>
      <w:pPr>
        <w:ind w:firstLine="6"/>
        <w:spacing w:after="0" w:line="298" w:lineRule="auto"/>
        <w:tabs>
          <w:tab w:leader="none" w:pos="63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Service</w:t>
      </w:r>
      <w:r>
        <w:rPr>
          <w:rFonts w:ascii="Times New Roman" w:cs="Times New Roman" w:eastAsia="Times New Roman" w:hAnsi="Times New Roman"/>
          <w:sz w:val="21"/>
          <w:szCs w:val="21"/>
          <w:color w:val="auto"/>
        </w:rPr>
        <w:t>. Nothing contained in this Agreement shall be construed as giving the Participant any right to be retained, in any position, as an employee or other service provider of the Partnership or any of its Affiliates.</w:t>
      </w:r>
    </w:p>
    <w:p>
      <w:pPr>
        <w:spacing w:after="0" w:line="129"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1278"/>
        <w:spacing w:after="0" w:line="257" w:lineRule="auto"/>
        <w:tabs>
          <w:tab w:leader="none" w:pos="1905"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 under Section 83(b)</w:t>
      </w:r>
      <w:r>
        <w:rPr>
          <w:rFonts w:ascii="Times New Roman" w:cs="Times New Roman" w:eastAsia="Times New Roman" w:hAnsi="Times New Roman"/>
          <w:sz w:val="21"/>
          <w:szCs w:val="21"/>
          <w:color w:val="auto"/>
        </w:rPr>
        <w:t xml:space="preserve">. The Participant shall execute and deliver to the Partnership with a copy of the Election Pursuant to Section 83(b) of the Code,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Election Pursuant to Section 83(b) of the Code shall be filed by the Participant with the appropriate Internal Revenue Service office not later than thirty (30) days after the Grant Date. The Participant should consult the Participant’s tax advisor to determine if there is a comparable election to file in the state of the Participant’s residence and whether such filing is desirable under the circumstances. The Participant acknowledges that it is the sole responsibility of the Participant, and not the Partnership (or its Affiliates or Partnership Representative), to file the election under Section 83(b) of the Code even if the Participant requests that the Partnership (or its Affiliates or Partnership Representative) assist the Participant in making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7" w:right="339" w:bottom="1440" w:gutter="0" w:footer="0" w:header="0"/>
        </w:sectPr>
      </w:pPr>
    </w:p>
    <w:bookmarkStart w:id="120" w:name="page121"/>
    <w:bookmarkEnd w:id="120"/>
    <w:p>
      <w:pPr>
        <w:jc w:val="both"/>
        <w:ind w:firstLine="1278"/>
        <w:spacing w:after="0" w:line="258" w:lineRule="auto"/>
        <w:tabs>
          <w:tab w:leader="none" w:pos="1903"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Administrator will make such provision for the withholding of taxes and other legally required withholdings as it deems necessary under applicable law or as required under the LP Agreement. Except to the extent the Administrator permits the Participant to pay by other means, the Participant shall remit cash in an amount sufficient to satisfy any such taxes or withholdings at such time as is directed by the Partnership. By signing this Agreement, the Participant authorizes the Partnership and its Affiliates to withhold any taxes and other legally required withholdings that it determines are required from any other compensation paid or payable to the Participant by the Partnership or any of its Affiliates. Any amounts withheld by the Partnership or any of its Affiliates will be treated as if they were directly paid to the Participant.</w:t>
      </w:r>
    </w:p>
    <w:p>
      <w:pPr>
        <w:spacing w:after="0" w:line="170" w:lineRule="exact"/>
        <w:rPr>
          <w:rFonts w:ascii="Times New Roman" w:cs="Times New Roman" w:eastAsia="Times New Roman" w:hAnsi="Times New Roman"/>
          <w:sz w:val="21"/>
          <w:szCs w:val="21"/>
          <w:color w:val="auto"/>
        </w:rPr>
      </w:pPr>
    </w:p>
    <w:p>
      <w:pPr>
        <w:jc w:val="both"/>
        <w:ind w:firstLine="6"/>
        <w:spacing w:after="0" w:line="274" w:lineRule="auto"/>
        <w:tabs>
          <w:tab w:leader="none" w:pos="63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Consultation with Counsel</w:t>
      </w:r>
      <w:r>
        <w:rPr>
          <w:rFonts w:ascii="Times New Roman" w:cs="Times New Roman" w:eastAsia="Times New Roman" w:hAnsi="Times New Roman"/>
          <w:sz w:val="21"/>
          <w:szCs w:val="21"/>
          <w:color w:val="auto"/>
        </w:rPr>
        <w:t>. The Participant hereby acknowledges and represents that the Participant has had the opportunity to consult with independent legal counsel regarding the Participant’s rights and obligations under this Agreement and that the Participant fully understands the terms and conditions contained herein.</w:t>
      </w:r>
    </w:p>
    <w:p>
      <w:pPr>
        <w:spacing w:after="0" w:line="153" w:lineRule="exact"/>
        <w:rPr>
          <w:rFonts w:ascii="Times New Roman" w:cs="Times New Roman" w:eastAsia="Times New Roman" w:hAnsi="Times New Roman"/>
          <w:sz w:val="21"/>
          <w:szCs w:val="21"/>
          <w:color w:val="auto"/>
        </w:rPr>
      </w:pPr>
    </w:p>
    <w:p>
      <w:pPr>
        <w:jc w:val="both"/>
        <w:ind w:firstLine="6"/>
        <w:spacing w:after="0" w:line="261" w:lineRule="auto"/>
        <w:tabs>
          <w:tab w:leader="none" w:pos="63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All notices required or permitted hereunder shall be in writing and deemed effectively given upon personal delivery or upon deposit in the United States Post Office, by registered or certified mail, postage prepaid, addressed to the other party hereto at the address shown beneath their or its respective signature to this Agreement, or at such other address or addresses as either party shall designate to the other in accordance with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w:t>
      </w:r>
    </w:p>
    <w:p>
      <w:pPr>
        <w:spacing w:after="0" w:line="181" w:lineRule="exact"/>
        <w:rPr>
          <w:rFonts w:ascii="Times New Roman" w:cs="Times New Roman" w:eastAsia="Times New Roman" w:hAnsi="Times New Roman"/>
          <w:sz w:val="21"/>
          <w:szCs w:val="21"/>
          <w:color w:val="auto"/>
        </w:rPr>
      </w:pPr>
    </w:p>
    <w:p>
      <w:pPr>
        <w:jc w:val="both"/>
        <w:ind w:firstLine="6"/>
        <w:spacing w:after="0" w:line="267" w:lineRule="auto"/>
        <w:tabs>
          <w:tab w:leader="none" w:pos="62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Unit Certificate Restrictive Legends</w:t>
      </w:r>
      <w:r>
        <w:rPr>
          <w:rFonts w:ascii="Times New Roman" w:cs="Times New Roman" w:eastAsia="Times New Roman" w:hAnsi="Times New Roman"/>
          <w:sz w:val="21"/>
          <w:szCs w:val="21"/>
          <w:color w:val="auto"/>
        </w:rPr>
        <w:t>. Certificated Class B Units evidencing this Award, to the extent such certificates are issued, may bear such restrictive legends as the Partnership and/or the Partnership’s counsel may deem necessary or advisable under applicable law or pursuant to this Agreement, including, without limitation, the following legends:</w:t>
      </w:r>
    </w:p>
    <w:p>
      <w:pPr>
        <w:spacing w:after="0" w:line="161"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1"/>
          <w:szCs w:val="21"/>
          <w:color w:val="auto"/>
        </w:rPr>
        <w:t>“THE UNITS OR OTHER INTERESTS REPRESENTED BY THIS CERTIFICATE WERE ORIGINALLY ISSUED ON SEPTEMBER 5, 2025, HAVE NOT BEEN REGISTERED UNDER THE SECURITIES ACT OF 1933, AS AMENDED (THE “ACT”), OR APPLICABLE STATE SECURITIES LAWS (“STATE ACTS”) AND MAY NOT BE SOLD OR TRANSFERRED IN THE ABSENCE OF AN EFFECTIVE REGISTRATION STATEMENT UNDER THE ACT OR STATE ACTS OR AN EXEMPTION FROM REGISTRATION THEREUNDER. THE TRANSFER OF THE UNITS REPRESENTED BY THIS CERTIFICATE IS SUBJECT TO THE CONDITIONS SPECIFIED IN THE PARTNERSHIP’S SECOND AMENDED AND RESTATED LIMITED PARTNERSHIP AGREEMENT, DATED AS OF MARCH 3, 2021 AS IT MAY BE AMENDED FROM TIME TO TIME, GOVERNING THE ISSUER (THE “PARTNERSHIP”) AND BY AND AMONG THE MEMBERS. A COPY OF SUCH AGREEMENT SHALL BE FURNISHED BY THE PARTNERSHIP TO THE HOLDER HEREOF UPON WRITTEN REQUEST AND WITHOUT CHARGE.”</w:t>
      </w:r>
    </w:p>
    <w:p>
      <w:pPr>
        <w:spacing w:after="0" w:line="170" w:lineRule="exact"/>
        <w:rPr>
          <w:sz w:val="20"/>
          <w:szCs w:val="20"/>
          <w:color w:val="auto"/>
        </w:rPr>
      </w:pPr>
    </w:p>
    <w:p>
      <w:pPr>
        <w:ind w:firstLine="6"/>
        <w:spacing w:after="0" w:line="285" w:lineRule="auto"/>
        <w:tabs>
          <w:tab w:leader="none" w:pos="63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Amendment</w:t>
      </w:r>
      <w:r>
        <w:rPr>
          <w:rFonts w:ascii="Times New Roman" w:cs="Times New Roman" w:eastAsia="Times New Roman" w:hAnsi="Times New Roman"/>
          <w:sz w:val="21"/>
          <w:szCs w:val="21"/>
          <w:color w:val="auto"/>
        </w:rPr>
        <w:t>. This Agreement, the Plan and the LP Agreement constitute the entire agreement between the parties, and supersede all prior and contemporaneous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7" w:right="339" w:bottom="1440" w:gutter="0" w:footer="0" w:header="0"/>
        </w:sectPr>
      </w:pPr>
    </w:p>
    <w:bookmarkStart w:id="121" w:name="page122"/>
    <w:bookmarkEnd w:id="121"/>
    <w:p>
      <w:pPr>
        <w:spacing w:after="0" w:line="285" w:lineRule="auto"/>
        <w:rPr>
          <w:sz w:val="20"/>
          <w:szCs w:val="20"/>
          <w:color w:val="auto"/>
        </w:rPr>
      </w:pPr>
      <w:r>
        <w:rPr>
          <w:rFonts w:ascii="Times New Roman" w:cs="Times New Roman" w:eastAsia="Times New Roman" w:hAnsi="Times New Roman"/>
          <w:sz w:val="21"/>
          <w:szCs w:val="21"/>
          <w:color w:val="auto"/>
        </w:rPr>
        <w:t>agreements and understandings, relating to the subject matter of this Agreement. This Agreement may be amended in accordance with the Plan.</w:t>
      </w:r>
    </w:p>
    <w:p>
      <w:pPr>
        <w:spacing w:after="0" w:line="142" w:lineRule="exact"/>
        <w:rPr>
          <w:sz w:val="20"/>
          <w:szCs w:val="20"/>
          <w:color w:val="auto"/>
        </w:rPr>
      </w:pPr>
    </w:p>
    <w:p>
      <w:pPr>
        <w:jc w:val="both"/>
        <w:ind w:firstLine="6"/>
        <w:spacing w:after="0" w:line="266" w:lineRule="auto"/>
        <w:tabs>
          <w:tab w:leader="none" w:pos="63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construed, interpreted and enforced in accordance with the laws of the State of Delaware, without regard to otherwise governing principles of conflicts of laws. In the event of any alleged breach or threatened breach of this Agreement, the parties hereby consent and submit to the jurisdiction of the federal and state courts in and of the State of Delaware and to service of legal process in the State of Delaware.</w:t>
      </w:r>
    </w:p>
    <w:p>
      <w:pPr>
        <w:spacing w:after="0" w:line="161" w:lineRule="exact"/>
        <w:rPr>
          <w:rFonts w:ascii="Times New Roman" w:cs="Times New Roman" w:eastAsia="Times New Roman" w:hAnsi="Times New Roman"/>
          <w:sz w:val="21"/>
          <w:szCs w:val="21"/>
          <w:color w:val="auto"/>
        </w:rPr>
      </w:pPr>
    </w:p>
    <w:p>
      <w:pPr>
        <w:jc w:val="both"/>
        <w:ind w:firstLine="6"/>
        <w:spacing w:after="0" w:line="256" w:lineRule="auto"/>
        <w:tabs>
          <w:tab w:leader="none" w:pos="63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 of Attorney</w:t>
      </w:r>
      <w:r>
        <w:rPr>
          <w:rFonts w:ascii="Times New Roman" w:cs="Times New Roman" w:eastAsia="Times New Roman" w:hAnsi="Times New Roman"/>
          <w:sz w:val="21"/>
          <w:szCs w:val="21"/>
          <w:color w:val="auto"/>
        </w:rPr>
        <w:t>. The Participant hereby irrevocably constitutes and appoints each of the Partnership and any of its officers with full power of substitution, acting jointly or severally, as its attorney-in-fact and agent to sign, execute and deliver, in its name and on its behalf, all or any such agreement, deeds, instruments, documents and/or any counterpart thereof or certificates or to take any such action as it deems necessary from time to time or as is required under any applicable law to admit the Participant as a member of the Partnership or to conduct the affairs of the Partnership, including (without limitation) the power and authority to sign, execute and deliver (or attach signature pages to) (i) the LP Agreement; (ii) any amendment to the LP Agreement adopted in accordance with its terms; and (iii) all documentation associated with the repurchase of any Class B Units pursuant to Section 10 of the LP Agreement. This power of attorney is given to secure the obligations of the Participant hereunder and deemed coupled with an interest of the Partnership and is irrevocable. The Participant shall, as a condition to the issuance of this Award hereunder, execute and deliver to the Partnership a signature page to the LP Agreement, agreeing to be bound by the terms thereof as a “Management Investor” thereunder with respect to the Class B Units subject to this Award.</w:t>
      </w:r>
    </w:p>
    <w:p>
      <w:pPr>
        <w:spacing w:after="0" w:line="174" w:lineRule="exact"/>
        <w:rPr>
          <w:rFonts w:ascii="Times New Roman" w:cs="Times New Roman" w:eastAsia="Times New Roman" w:hAnsi="Times New Roman"/>
          <w:sz w:val="21"/>
          <w:szCs w:val="21"/>
          <w:color w:val="auto"/>
        </w:rPr>
      </w:pPr>
    </w:p>
    <w:p>
      <w:pPr>
        <w:jc w:val="both"/>
        <w:ind w:firstLine="6"/>
        <w:spacing w:after="0" w:line="258" w:lineRule="auto"/>
        <w:tabs>
          <w:tab w:leader="none" w:pos="63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Distributions</w:t>
      </w:r>
      <w:r>
        <w:rPr>
          <w:rFonts w:ascii="Times New Roman" w:cs="Times New Roman" w:eastAsia="Times New Roman" w:hAnsi="Times New Roman"/>
          <w:sz w:val="21"/>
          <w:szCs w:val="21"/>
          <w:color w:val="auto"/>
        </w:rPr>
        <w:t xml:space="preserve">. The provisions set forth in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are intended to support the treatment of the Class B Units issued pursuant to this Agreement as “profits interests” within the meaning of Revenue Procedures 93-27 and 2001-43; for the avoidance of doubt, the provisions set forth in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are in limitation of the distribution provisions of the LP Agreement and nothing herein shall expand the right to, or increase the amount of, any distributions to be made to the Class B Units. Notwithstanding anything to the contrary, the Class B Units issued pursuant to this Agreement shall represent an interest in future appreciation of the Partnership, and the Administrator shall have the unilateral ability to make necessary adjustments to such Class B Units and/or to limit distributions made in respect of such Class B Units to support the treatment of the Class B Units issued pursuant to this Agreement as “profits interests” within the meaning of Revenue Procedures 93-27 and 2001-43.</w:t>
      </w:r>
    </w:p>
    <w:p>
      <w:pPr>
        <w:spacing w:after="0" w:line="175"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Representations and Acknowledgements of the Participant</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642"/>
        <w:spacing w:after="0" w:line="267" w:lineRule="auto"/>
        <w:tabs>
          <w:tab w:leader="none" w:pos="1269"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represents that the Participant has read the Plan and the LP Agreement and is familiar with their respective terms. The Participant hereby acknowledges that the Participant has carefully read this Agreement and agrees, on behalf of the Participant and on behalf of the Participant’s beneficiaries, estate and permitted assigns, to be bound by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97" w:right="339" w:bottom="1440" w:gutter="0" w:footer="0" w:header="0"/>
        </w:sectPr>
      </w:pPr>
    </w:p>
    <w:bookmarkStart w:id="122" w:name="page123"/>
    <w:bookmarkEnd w:id="122"/>
    <w:p>
      <w:pPr>
        <w:ind w:right="20"/>
        <w:spacing w:after="0" w:line="285" w:lineRule="auto"/>
        <w:rPr>
          <w:sz w:val="20"/>
          <w:szCs w:val="20"/>
          <w:color w:val="auto"/>
        </w:rPr>
      </w:pPr>
      <w:r>
        <w:rPr>
          <w:rFonts w:ascii="Times New Roman" w:cs="Times New Roman" w:eastAsia="Times New Roman" w:hAnsi="Times New Roman"/>
          <w:sz w:val="21"/>
          <w:szCs w:val="21"/>
          <w:color w:val="auto"/>
        </w:rPr>
        <w:t>provisions set forth herein and that the Class B Units subject to this Award are subject to all of the terms and provisions of this Agreement, the Plan and the LP Agreement.</w:t>
      </w:r>
    </w:p>
    <w:p>
      <w:pPr>
        <w:spacing w:after="0" w:line="142" w:lineRule="exact"/>
        <w:rPr>
          <w:sz w:val="20"/>
          <w:szCs w:val="20"/>
          <w:color w:val="auto"/>
        </w:rPr>
      </w:pPr>
    </w:p>
    <w:p>
      <w:pPr>
        <w:jc w:val="both"/>
        <w:ind w:firstLine="642"/>
        <w:spacing w:after="0" w:line="262" w:lineRule="auto"/>
        <w:tabs>
          <w:tab w:leader="none" w:pos="1267"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that nothing in this Agreement (including exhibits hereto) alters the nature of Service with Partnership or any Affiliate of the Partnership, except that from and after the date hereof, the Participant shall be treated as a partner in the Partnership for U.S. federal income tax purposes. The Participant acknowledges having been afforded a reasonable opportunity to consult with financial or legal advisors regarding the consequences of Participant’s acceptance of the grant on the terms and conditions set forth in this Agreement.</w:t>
      </w:r>
    </w:p>
    <w:p>
      <w:pPr>
        <w:spacing w:after="0" w:line="165" w:lineRule="exact"/>
        <w:rPr>
          <w:rFonts w:ascii="Times New Roman" w:cs="Times New Roman" w:eastAsia="Times New Roman" w:hAnsi="Times New Roman"/>
          <w:sz w:val="21"/>
          <w:szCs w:val="21"/>
          <w:color w:val="auto"/>
        </w:rPr>
      </w:pPr>
    </w:p>
    <w:p>
      <w:pPr>
        <w:jc w:val="both"/>
        <w:ind w:firstLine="642"/>
        <w:spacing w:after="0" w:line="266" w:lineRule="auto"/>
        <w:tabs>
          <w:tab w:leader="none" w:pos="126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Participant hereby represents and warrants to the Partnership that the Participant either (i) is not a married individual or (ii) has caused the Participant’s spouse to execute and deliver to the Partnership the Spousal Consent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If the spouse of the Participant fails to execute the Spousal Consent, such Participant’s Class B Units shall be subject to forfeiture without consideration upon written notice from the Partnership.</w:t>
      </w:r>
    </w:p>
    <w:p>
      <w:pPr>
        <w:spacing w:after="0" w:line="161" w:lineRule="exact"/>
        <w:rPr>
          <w:rFonts w:ascii="Times New Roman" w:cs="Times New Roman" w:eastAsia="Times New Roman" w:hAnsi="Times New Roman"/>
          <w:sz w:val="21"/>
          <w:szCs w:val="21"/>
          <w:color w:val="auto"/>
        </w:rPr>
      </w:pPr>
    </w:p>
    <w:p>
      <w:pPr>
        <w:jc w:val="both"/>
        <w:ind w:firstLine="6"/>
        <w:spacing w:after="0" w:line="267" w:lineRule="auto"/>
        <w:tabs>
          <w:tab w:leader="none" w:pos="63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any of which may be executed and transmitted by facsimile or electronic means (including “pdf”), and each of which will be deemed to be an original, but all of which together will be deemed to be one and the same instrument.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9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day and year first above written.</w:t>
      </w:r>
    </w:p>
    <w:p>
      <w:pPr>
        <w:sectPr>
          <w:pgSz w:w="11900" w:h="16838" w:orient="portrait"/>
          <w:cols w:equalWidth="0" w:num="1">
            <w:col w:w="10000"/>
          </w:cols>
          <w:pgMar w:left="540" w:top="100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TCO Group Holdings, L.P.</w:t>
      </w:r>
    </w:p>
    <w:p>
      <w:pPr>
        <w:spacing w:after="0" w:line="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By TCO Group Holdings, GP, LLC, its</w:t>
      </w:r>
    </w:p>
    <w:p>
      <w:pPr>
        <w:spacing w:after="0" w:line="2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General Partner</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/s/ Andrew Cavanna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-8890</wp:posOffset>
            </wp:positionV>
            <wp:extent cx="15030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1503045" cy="8255"/>
                    </a:xfrm>
                    <a:prstGeom prst="rect">
                      <a:avLst/>
                    </a:prstGeom>
                    <a:noFill/>
                  </pic:spPr>
                </pic:pic>
              </a:graphicData>
            </a:graphic>
          </wp:anchor>
        </w:drawing>
      </w:r>
    </w:p>
    <w:p>
      <w:pPr>
        <w:spacing w:after="0" w:line="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Andrew Cavanna</w:t>
      </w:r>
    </w:p>
    <w:p>
      <w:pPr>
        <w:spacing w:after="0" w:line="200" w:lineRule="exact"/>
        <w:rPr>
          <w:sz w:val="20"/>
          <w:szCs w:val="20"/>
          <w:color w:val="auto"/>
        </w:rPr>
      </w:pPr>
    </w:p>
    <w:p>
      <w:pPr>
        <w:spacing w:after="0" w:line="35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Participant:</w:t>
      </w:r>
    </w:p>
    <w:p>
      <w:pPr>
        <w:spacing w:after="0" w:line="13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-8890</wp:posOffset>
            </wp:positionV>
            <wp:extent cx="9798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spacing w:after="0" w:line="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Patrick Blair</w:t>
      </w:r>
    </w:p>
    <w:p>
      <w:pPr>
        <w:sectPr>
          <w:pgSz w:w="11900" w:h="16838" w:orient="portrait"/>
          <w:cols w:equalWidth="0" w:num="1">
            <w:col w:w="10000"/>
          </w:cols>
          <w:pgMar w:left="540" w:top="1000" w:right="1359" w:bottom="1440"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1"/>
          <w:szCs w:val="21"/>
          <w:color w:val="auto"/>
        </w:rPr>
        <w:t>SCHEDULE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VESTING SCHEDULE</w:t>
      </w:r>
    </w:p>
    <w:p>
      <w:pPr>
        <w:spacing w:after="0" w:line="240" w:lineRule="exact"/>
        <w:rPr>
          <w:sz w:val="20"/>
          <w:szCs w:val="20"/>
          <w:color w:val="auto"/>
        </w:rPr>
      </w:pPr>
    </w:p>
    <w:p>
      <w:pPr>
        <w:ind w:right="80" w:firstLine="636"/>
        <w:spacing w:after="0" w:line="267" w:lineRule="auto"/>
        <w:rPr>
          <w:sz w:val="20"/>
          <w:szCs w:val="20"/>
          <w:color w:val="auto"/>
        </w:rPr>
      </w:pPr>
      <w:r>
        <w:rPr>
          <w:rFonts w:ascii="Times New Roman" w:cs="Times New Roman" w:eastAsia="Times New Roman" w:hAnsi="Times New Roman"/>
          <w:sz w:val="21"/>
          <w:szCs w:val="21"/>
          <w:color w:val="auto"/>
        </w:rPr>
        <w:t xml:space="preserve">The Class B Units shall become Vested in accordance with the vesting schedule set forth on this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All capitalized terms used in this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unless separately defined herein, have the meanings set forth in the Agreement to which this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is attached or, if not defined in such Agreement, in the Plan.</w:t>
      </w:r>
    </w:p>
    <w:p>
      <w:pPr>
        <w:spacing w:after="0" w:line="400" w:lineRule="exact"/>
        <w:rPr>
          <w:sz w:val="20"/>
          <w:szCs w:val="20"/>
          <w:color w:val="auto"/>
        </w:rPr>
      </w:pPr>
    </w:p>
    <w:p>
      <w:pPr>
        <w:jc w:val="both"/>
        <w:ind w:firstLine="6"/>
        <w:spacing w:after="0" w:line="266" w:lineRule="auto"/>
        <w:tabs>
          <w:tab w:leader="none" w:pos="63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Time-Based Units</w:t>
      </w:r>
      <w:r>
        <w:rPr>
          <w:rFonts w:ascii="Times New Roman" w:cs="Times New Roman" w:eastAsia="Times New Roman" w:hAnsi="Times New Roman"/>
          <w:sz w:val="21"/>
          <w:szCs w:val="21"/>
          <w:color w:val="auto"/>
        </w:rPr>
        <w:t>. One-third (33.33%) of the Class B Units subject to this Award (the “</w:t>
      </w:r>
      <w:r>
        <w:rPr>
          <w:rFonts w:ascii="Times New Roman" w:cs="Times New Roman" w:eastAsia="Times New Roman" w:hAnsi="Times New Roman"/>
          <w:sz w:val="21"/>
          <w:szCs w:val="21"/>
          <w:u w:val="single" w:color="auto"/>
          <w:color w:val="auto"/>
        </w:rPr>
        <w:t>Time-Based Units</w:t>
      </w:r>
      <w:r>
        <w:rPr>
          <w:rFonts w:ascii="Times New Roman" w:cs="Times New Roman" w:eastAsia="Times New Roman" w:hAnsi="Times New Roman"/>
          <w:sz w:val="21"/>
          <w:szCs w:val="21"/>
          <w:color w:val="auto"/>
        </w:rPr>
        <w:t>”) shall be eligible to vest over a period of three years from the Grant Date (the “</w:t>
      </w:r>
      <w:r>
        <w:rPr>
          <w:rFonts w:ascii="Times New Roman" w:cs="Times New Roman" w:eastAsia="Times New Roman" w:hAnsi="Times New Roman"/>
          <w:sz w:val="21"/>
          <w:szCs w:val="21"/>
          <w:u w:val="single" w:color="auto"/>
          <w:color w:val="auto"/>
        </w:rPr>
        <w:t>Vesting Commencement Date</w:t>
      </w:r>
      <w:r>
        <w:rPr>
          <w:rFonts w:ascii="Times New Roman" w:cs="Times New Roman" w:eastAsia="Times New Roman" w:hAnsi="Times New Roman"/>
          <w:sz w:val="21"/>
          <w:szCs w:val="21"/>
          <w:color w:val="auto"/>
        </w:rPr>
        <w:t xml:space="preserve">”) as follows, in each case,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Participant remains in continuous Service through the applicable vesting date and, in each case, rounded down to the nearest whole Class B Unit, with any fractional Class B Units carried over to the next vesting 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20" w:type="dxa"/>
            <w:vAlign w:val="bottom"/>
          </w:tcPr>
          <w:p>
            <w:pPr>
              <w:spacing w:after="0"/>
              <w:rPr>
                <w:sz w:val="24"/>
                <w:szCs w:val="24"/>
                <w:color w:val="auto"/>
              </w:rPr>
            </w:pPr>
          </w:p>
        </w:tc>
        <w:tc>
          <w:tcPr>
            <w:tcW w:w="2620" w:type="dxa"/>
            <w:vAlign w:val="bottom"/>
          </w:tcPr>
          <w:p>
            <w:pPr>
              <w:jc w:val="center"/>
              <w:ind w:left="14"/>
              <w:spacing w:after="0"/>
              <w:rPr>
                <w:sz w:val="20"/>
                <w:szCs w:val="20"/>
                <w:color w:val="auto"/>
              </w:rPr>
            </w:pPr>
            <w:r>
              <w:rPr>
                <w:rFonts w:ascii="Times New Roman" w:cs="Times New Roman" w:eastAsia="Times New Roman" w:hAnsi="Times New Roman"/>
                <w:sz w:val="21"/>
                <w:szCs w:val="21"/>
                <w:b w:val="1"/>
                <w:bCs w:val="1"/>
                <w:color w:val="auto"/>
              </w:rPr>
              <w:t>Cumulative</w:t>
            </w:r>
          </w:p>
        </w:tc>
        <w:tc>
          <w:tcPr>
            <w:tcW w:w="6100" w:type="dxa"/>
            <w:vAlign w:val="bottom"/>
          </w:tcPr>
          <w:p>
            <w:pPr>
              <w:spacing w:after="0"/>
              <w:rPr>
                <w:sz w:val="24"/>
                <w:szCs w:val="24"/>
                <w:color w:val="auto"/>
              </w:rPr>
            </w:pPr>
          </w:p>
        </w:tc>
      </w:tr>
      <w:tr>
        <w:trPr>
          <w:trHeight w:val="318"/>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b w:val="1"/>
                <w:bCs w:val="1"/>
                <w:color w:val="auto"/>
              </w:rPr>
              <w:t>Percentage of</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Percentage of</w:t>
            </w:r>
          </w:p>
        </w:tc>
        <w:tc>
          <w:tcPr>
            <w:tcW w:w="6100" w:type="dxa"/>
            <w:vAlign w:val="bottom"/>
          </w:tcPr>
          <w:p>
            <w:pPr>
              <w:spacing w:after="0"/>
              <w:rPr>
                <w:sz w:val="24"/>
                <w:szCs w:val="24"/>
                <w:color w:val="auto"/>
              </w:rPr>
            </w:pPr>
          </w:p>
        </w:tc>
      </w:tr>
      <w:tr>
        <w:trPr>
          <w:trHeight w:val="372"/>
        </w:trPr>
        <w:tc>
          <w:tcPr>
            <w:tcW w:w="25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21"/>
                <w:szCs w:val="21"/>
                <w:b w:val="1"/>
                <w:bCs w:val="1"/>
                <w:color w:val="auto"/>
                <w:w w:val="99"/>
              </w:rPr>
              <w:t>Time-Vesting Units</w:t>
            </w:r>
          </w:p>
        </w:tc>
        <w:tc>
          <w:tcPr>
            <w:tcW w:w="262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21"/>
                <w:szCs w:val="21"/>
                <w:b w:val="1"/>
                <w:bCs w:val="1"/>
                <w:color w:val="auto"/>
                <w:w w:val="99"/>
              </w:rPr>
              <w:t>Time-Vesting Units</w:t>
            </w:r>
          </w:p>
        </w:tc>
        <w:tc>
          <w:tcPr>
            <w:tcW w:w="61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21"/>
                <w:szCs w:val="21"/>
                <w:b w:val="1"/>
                <w:bCs w:val="1"/>
                <w:color w:val="auto"/>
              </w:rPr>
              <w:t>Time Vesting Schedule</w:t>
            </w:r>
          </w:p>
        </w:tc>
      </w:tr>
      <w:tr>
        <w:trPr>
          <w:trHeight w:val="245"/>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color w:val="auto"/>
              </w:rPr>
              <w:t>33.33%</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33.33%</w:t>
            </w:r>
          </w:p>
        </w:tc>
        <w:tc>
          <w:tcPr>
            <w:tcW w:w="61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One-year anniversary of the Vesting Commencement Date</w:t>
            </w:r>
          </w:p>
        </w:tc>
      </w:tr>
      <w:tr>
        <w:trPr>
          <w:trHeight w:val="265"/>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color w:val="auto"/>
              </w:rPr>
              <w:t>33.33%</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66.66%</w:t>
            </w:r>
          </w:p>
        </w:tc>
        <w:tc>
          <w:tcPr>
            <w:tcW w:w="61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Two-year anniversary of the Vesting Commencement Date</w:t>
            </w:r>
          </w:p>
        </w:tc>
      </w:tr>
      <w:tr>
        <w:trPr>
          <w:trHeight w:val="277"/>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color w:val="auto"/>
              </w:rPr>
              <w:t>33.34%</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100%</w:t>
            </w:r>
          </w:p>
        </w:tc>
        <w:tc>
          <w:tcPr>
            <w:tcW w:w="61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Three-year anniversary of the Vesting Commencement Date</w:t>
            </w:r>
          </w:p>
        </w:tc>
      </w:tr>
    </w:tbl>
    <w:p>
      <w:pPr>
        <w:spacing w:after="0" w:line="200" w:lineRule="exact"/>
        <w:rPr>
          <w:sz w:val="20"/>
          <w:szCs w:val="20"/>
          <w:color w:val="auto"/>
        </w:rPr>
      </w:pP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Notwithstanding the foregoing, in the event that the Participant’s Service is terminated without Cause or due to the Participant’s death or Disability, or if the Participant resigns for Good Reason (each, as defined in the Employment Agreement) (in each case pursuant to the terms of the Employment Agreement) prior to the one-year anniversary of the Vesting Commencement Date (the date of such termination, the “</w:t>
      </w:r>
      <w:r>
        <w:rPr>
          <w:rFonts w:ascii="Times New Roman" w:cs="Times New Roman" w:eastAsia="Times New Roman" w:hAnsi="Times New Roman"/>
          <w:sz w:val="21"/>
          <w:szCs w:val="21"/>
          <w:u w:val="single" w:color="auto"/>
          <w:color w:val="auto"/>
        </w:rPr>
        <w:t>Year 1 Termination Date</w:t>
      </w:r>
      <w:r>
        <w:rPr>
          <w:rFonts w:ascii="Times New Roman" w:cs="Times New Roman" w:eastAsia="Times New Roman" w:hAnsi="Times New Roman"/>
          <w:sz w:val="21"/>
          <w:szCs w:val="21"/>
          <w:color w:val="auto"/>
        </w:rPr>
        <w:t>”), the percentage of the Time-Based Units that shall vest will be equal to the product of (I) (A) the number of calendar days between the Vesting Commencement Date and the Year 1 Termination Date, divided by (B) 365, and (II) 33.33%, rounded down to the nearest whole Class B Unit.</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In the event of a Change of Control, all Time-Based Units that are then outstanding and Unvested shall automatically become Vested upon the consummation of such Change of Control, subject to the Participant’s continued Service through such Change of Control. If a Time-Based Unit would not be entitled to receive any distributions at the time of a Change of Control if all the assets of the Partnership were then sold at Fair Market Value and then the proceeds were distributed in a complete liquidation of the Partnership in accordance with Section 4.1 of the LP Agreement and the provisions of this Agreement, such Time-Based Unit will be immediately and</w:t>
      </w:r>
    </w:p>
    <w:p>
      <w:pPr>
        <w:sectPr>
          <w:pgSz w:w="11900" w:h="16838" w:orient="portrait"/>
          <w:cols w:equalWidth="0" w:num="1">
            <w:col w:w="11240"/>
          </w:cols>
          <w:pgMar w:left="320" w:top="1000" w:right="339" w:bottom="1440" w:gutter="0" w:footer="0" w:header="0"/>
        </w:sectPr>
      </w:pPr>
    </w:p>
    <w:bookmarkStart w:id="125" w:name="page126"/>
    <w:bookmarkEnd w:id="125"/>
    <w:p>
      <w:pPr>
        <w:spacing w:after="0" w:line="285" w:lineRule="auto"/>
        <w:rPr>
          <w:sz w:val="20"/>
          <w:szCs w:val="20"/>
          <w:color w:val="auto"/>
        </w:rPr>
      </w:pPr>
      <w:r>
        <w:rPr>
          <w:rFonts w:ascii="Times New Roman" w:cs="Times New Roman" w:eastAsia="Times New Roman" w:hAnsi="Times New Roman"/>
          <w:sz w:val="21"/>
          <w:szCs w:val="21"/>
          <w:color w:val="auto"/>
        </w:rPr>
        <w:t>automatically canceled and terminated upon the consummation of the Change of Control, without payment of any consideration and without any action on the part of the Participant.</w:t>
      </w:r>
    </w:p>
    <w:p>
      <w:pPr>
        <w:spacing w:after="0" w:line="15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1"/>
          <w:szCs w:val="21"/>
          <w:color w:val="auto"/>
        </w:rPr>
        <w:t xml:space="preserve">For the avoidance of doubt, in no event will more than 100% of the Time-Based Units (representing 33.33% of the Class B Units subject to this Award) vest pursuant to this </w:t>
      </w:r>
      <w:r>
        <w:rPr>
          <w:rFonts w:ascii="Times New Roman" w:cs="Times New Roman" w:eastAsia="Times New Roman" w:hAnsi="Times New Roman"/>
          <w:sz w:val="21"/>
          <w:szCs w:val="21"/>
          <w:u w:val="single" w:color="auto"/>
          <w:color w:val="auto"/>
        </w:rPr>
        <w:t>Section A</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6"/>
        <w:spacing w:after="0" w:line="256" w:lineRule="auto"/>
        <w:tabs>
          <w:tab w:leader="none" w:pos="63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Performance-Based Units</w:t>
      </w:r>
      <w:r>
        <w:rPr>
          <w:rFonts w:ascii="Times New Roman" w:cs="Times New Roman" w:eastAsia="Times New Roman" w:hAnsi="Times New Roman"/>
          <w:sz w:val="21"/>
          <w:szCs w:val="21"/>
          <w:color w:val="auto"/>
        </w:rPr>
        <w:t>. Two-third (66.67%) of the Class B Units subject to this Award (the “</w:t>
      </w:r>
      <w:r>
        <w:rPr>
          <w:rFonts w:ascii="Times New Roman" w:cs="Times New Roman" w:eastAsia="Times New Roman" w:hAnsi="Times New Roman"/>
          <w:sz w:val="21"/>
          <w:szCs w:val="21"/>
          <w:u w:val="single" w:color="auto"/>
          <w:color w:val="auto"/>
        </w:rPr>
        <w:t>Performance-Based Units</w:t>
      </w:r>
      <w:r>
        <w:rPr>
          <w:rFonts w:ascii="Times New Roman" w:cs="Times New Roman" w:eastAsia="Times New Roman" w:hAnsi="Times New Roman"/>
          <w:sz w:val="21"/>
          <w:szCs w:val="21"/>
          <w:color w:val="auto"/>
        </w:rPr>
        <w:t>”) shall be eligible to vest (rounded down to the nearest whole Class B Unit) based on Apax Investor’s achievement of the MOIC targets set forth below on a Measurement Date, subject to the Participant’s continued Service through such date. Notwithstanding the foregoing, if the Participant’s Service is terminated without Cause, due to death or Disability, or if the Participant resigns for Good Reason (in each case, as defined in the Employment Agreement), the Performance-Based Units shall remain outstanding for one hundred twenty (120) days following such termination (the “</w:t>
      </w:r>
      <w:r>
        <w:rPr>
          <w:rFonts w:ascii="Times New Roman" w:cs="Times New Roman" w:eastAsia="Times New Roman" w:hAnsi="Times New Roman"/>
          <w:sz w:val="21"/>
          <w:szCs w:val="21"/>
          <w:u w:val="single" w:color="auto"/>
          <w:color w:val="auto"/>
        </w:rPr>
        <w:t>Tail Period</w:t>
      </w:r>
      <w:r>
        <w:rPr>
          <w:rFonts w:ascii="Times New Roman" w:cs="Times New Roman" w:eastAsia="Times New Roman" w:hAnsi="Times New Roman"/>
          <w:sz w:val="21"/>
          <w:szCs w:val="21"/>
          <w:color w:val="auto"/>
        </w:rPr>
        <w:t>”). If a Measurement Date occurs during the Tail Period and the applicable MOIC targets are achieved, the Performance-Based Units shall vest. If no Measurement Date occurs during the Tail Period, or if the applicable MOIC targets are not achieved on such Measurement Date, all outstanding Performance-Based Units shall automatically be forfeited and cancelled without consideration as of the last day of the Tail Period.</w:t>
      </w:r>
    </w:p>
    <w:p>
      <w:pPr>
        <w:spacing w:after="0" w:line="212" w:lineRule="exact"/>
        <w:rPr>
          <w:rFonts w:ascii="Times New Roman" w:cs="Times New Roman" w:eastAsia="Times New Roman" w:hAnsi="Times New Roman"/>
          <w:sz w:val="21"/>
          <w:szCs w:val="21"/>
          <w:color w:val="auto"/>
        </w:rPr>
      </w:pPr>
    </w:p>
    <w:p>
      <w:pPr>
        <w:ind w:firstLine="801"/>
        <w:spacing w:after="0" w:line="285" w:lineRule="auto"/>
        <w:tabs>
          <w:tab w:leader="none" w:pos="12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33.33% of the Performance-Based Units shall vest if the Apax Investor achieves a MOIC equal to 1.04x on a Measurement Date;</w:t>
      </w:r>
    </w:p>
    <w:p>
      <w:pPr>
        <w:spacing w:after="0" w:line="168" w:lineRule="exact"/>
        <w:rPr>
          <w:rFonts w:ascii="Times New Roman" w:cs="Times New Roman" w:eastAsia="Times New Roman" w:hAnsi="Times New Roman"/>
          <w:sz w:val="20"/>
          <w:szCs w:val="20"/>
          <w:color w:val="auto"/>
        </w:rPr>
      </w:pPr>
    </w:p>
    <w:p>
      <w:pPr>
        <w:ind w:firstLine="801"/>
        <w:spacing w:after="0" w:line="298" w:lineRule="auto"/>
        <w:tabs>
          <w:tab w:leader="none" w:pos="126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66.66% of the Performance-Based Units shall vest if the Apax Investor achieves a MOIC equal to 1.36x on a Measurement Date; and</w:t>
      </w:r>
    </w:p>
    <w:p>
      <w:pPr>
        <w:spacing w:after="0" w:line="155" w:lineRule="exact"/>
        <w:rPr>
          <w:rFonts w:ascii="Times New Roman" w:cs="Times New Roman" w:eastAsia="Times New Roman" w:hAnsi="Times New Roman"/>
          <w:sz w:val="20"/>
          <w:szCs w:val="20"/>
          <w:color w:val="auto"/>
        </w:rPr>
      </w:pPr>
    </w:p>
    <w:p>
      <w:pPr>
        <w:ind w:right="20" w:firstLine="801"/>
        <w:spacing w:after="0" w:line="285" w:lineRule="auto"/>
        <w:tabs>
          <w:tab w:leader="none" w:pos="126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100% of the Performance-Based Units shall vest if the Apax Investor achieves a MOIC equal to at least 1.68x on a Measurement Date.</w:t>
      </w:r>
    </w:p>
    <w:p>
      <w:pPr>
        <w:spacing w:after="0" w:line="168" w:lineRule="exact"/>
        <w:rPr>
          <w:rFonts w:ascii="Times New Roman" w:cs="Times New Roman" w:eastAsia="Times New Roman" w:hAnsi="Times New Roman"/>
          <w:sz w:val="20"/>
          <w:szCs w:val="20"/>
          <w:color w:val="auto"/>
        </w:rPr>
      </w:pPr>
    </w:p>
    <w:p>
      <w:pPr>
        <w:jc w:val="both"/>
        <w:ind w:firstLine="801"/>
        <w:spacing w:after="0" w:line="274" w:lineRule="auto"/>
        <w:tabs>
          <w:tab w:leader="none" w:pos="1255"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Performance-Based Units will vest upon a Measurement Date only to the extent the performance targets set forth in </w:t>
      </w:r>
      <w:r>
        <w:rPr>
          <w:rFonts w:ascii="Times New Roman" w:cs="Times New Roman" w:eastAsia="Times New Roman" w:hAnsi="Times New Roman"/>
          <w:sz w:val="21"/>
          <w:szCs w:val="21"/>
          <w:u w:val="single" w:color="auto"/>
          <w:color w:val="auto"/>
        </w:rPr>
        <w:t>Section B</w:t>
      </w:r>
      <w:r>
        <w:rPr>
          <w:rFonts w:ascii="Times New Roman" w:cs="Times New Roman" w:eastAsia="Times New Roman" w:hAnsi="Times New Roman"/>
          <w:sz w:val="21"/>
          <w:szCs w:val="21"/>
          <w:color w:val="auto"/>
        </w:rPr>
        <w:t xml:space="preserve"> are achieved on such Measurement Date. For the avoidance of doubt, none of the Performance-Based Units shall vest if the Apax Investor achieves a MOIC less than 1.04x on a Measurement Date.</w:t>
      </w:r>
    </w:p>
    <w:p>
      <w:pPr>
        <w:spacing w:after="0" w:line="179" w:lineRule="exact"/>
        <w:rPr>
          <w:rFonts w:ascii="Times New Roman" w:cs="Times New Roman" w:eastAsia="Times New Roman" w:hAnsi="Times New Roman"/>
          <w:sz w:val="20"/>
          <w:szCs w:val="20"/>
          <w:color w:val="auto"/>
        </w:rPr>
      </w:pPr>
    </w:p>
    <w:p>
      <w:pPr>
        <w:jc w:val="both"/>
        <w:ind w:firstLine="801"/>
        <w:spacing w:after="0" w:line="259" w:lineRule="auto"/>
        <w:tabs>
          <w:tab w:leader="none" w:pos="1252"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Any Performance-Based Units that do not become Vested upon a Change of Control shall be forfeited for no consideration payable to the Participant upon the consummation of such Change of Control. If any Performance-Based Unit would not be entitled to receive any distributions at the time of a Change of Control if all the assets of the Partnership were then sold at Fair Market Value and then the proceeds were distributed in a complete liquidation of the Partnership in accordance with Section 4.1 of the LP Agreement and the provisions of this Agreement, such Performance-Based Unit will be immediately and automatically canceled and</w:t>
      </w:r>
    </w:p>
    <w:p>
      <w:pPr>
        <w:sectPr>
          <w:pgSz w:w="11900" w:h="16838" w:orient="portrait"/>
          <w:cols w:equalWidth="0" w:num="1">
            <w:col w:w="11240"/>
          </w:cols>
          <w:pgMar w:left="320" w:top="1000" w:right="339" w:bottom="1440" w:gutter="0" w:footer="0" w:header="0"/>
        </w:sectPr>
      </w:pPr>
    </w:p>
    <w:bookmarkStart w:id="126" w:name="page127"/>
    <w:bookmarkEnd w:id="126"/>
    <w:p>
      <w:pPr>
        <w:jc w:val="both"/>
        <w:spacing w:after="0" w:line="285" w:lineRule="auto"/>
        <w:rPr>
          <w:sz w:val="20"/>
          <w:szCs w:val="20"/>
          <w:color w:val="auto"/>
        </w:rPr>
      </w:pPr>
      <w:r>
        <w:rPr>
          <w:rFonts w:ascii="Times New Roman" w:cs="Times New Roman" w:eastAsia="Times New Roman" w:hAnsi="Times New Roman"/>
          <w:sz w:val="21"/>
          <w:szCs w:val="21"/>
          <w:color w:val="auto"/>
        </w:rPr>
        <w:t>terminated upon the consummation of the Change of Control, without payment of any consideration and without any action on the part of the Participant.</w:t>
      </w:r>
    </w:p>
    <w:p>
      <w:pPr>
        <w:spacing w:after="0" w:line="18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 xml:space="preserve">For the avoidance of doubt, in no event will more than 100% of the Performance-Based Units (representing 66.67% of the Class B Units subject to this Award) vest pursuant to this </w:t>
      </w:r>
      <w:r>
        <w:rPr>
          <w:rFonts w:ascii="Times New Roman" w:cs="Times New Roman" w:eastAsia="Times New Roman" w:hAnsi="Times New Roman"/>
          <w:sz w:val="21"/>
          <w:szCs w:val="21"/>
          <w:u w:val="single" w:color="auto"/>
          <w:color w:val="auto"/>
        </w:rPr>
        <w:t>Section B</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Wind-Up</w:t>
      </w:r>
      <w:r>
        <w:rPr>
          <w:rFonts w:ascii="Times New Roman" w:cs="Times New Roman" w:eastAsia="Times New Roman" w:hAnsi="Times New Roman"/>
          <w:sz w:val="21"/>
          <w:szCs w:val="21"/>
          <w:color w:val="auto"/>
        </w:rPr>
        <w:t xml:space="preserve">. All Class B Units subject to this Award that have not fully Vested in accordance with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and each Class B Unit subject to this Award (whether or not Vested) that would not be entitled to receive any distributions as of the Wind-Up Date if all the assets of the Partnership were then sold at Fair Market Value and then the proceeds were distributed in a complete liquidation of the Partnership in accordance with Section 4.1 of the LP Agreement and the provisions of this Agreement, will be immediately and automatically canceled and terminated on the Wind-Up Date, without payment of any consideration and without any action on the part of the Participant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000" w:right="339" w:bottom="1440" w:gutter="0" w:footer="0" w:header="0"/>
        </w:sectPr>
      </w:pPr>
    </w:p>
    <w:bookmarkStart w:id="127" w:name="page128"/>
    <w:bookmarkEnd w:id="127"/>
    <w:p>
      <w:pPr>
        <w:ind w:left="506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1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ELECTION TO INCLUDE IN GROSS INCOME</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 YEAR OF TRANSFER OF PROPERTY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PURSUANT TO SECTION 83(B) 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INTERNAL REVENUE CODE</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color w:val="auto"/>
        </w:rPr>
        <w:t>The undersigned taxpayer hereby elects, pursuant to Section 83(b) of the Internal Revenue Code of 1986, as amended, to include in gross income as compensation for services the excess (if any) of the fair market value of the property described below over the amount paid for such property.</w:t>
      </w:r>
    </w:p>
    <w:p>
      <w:pPr>
        <w:spacing w:after="0" w:line="180" w:lineRule="exact"/>
        <w:rPr>
          <w:sz w:val="20"/>
          <w:szCs w:val="20"/>
          <w:color w:val="auto"/>
        </w:rPr>
      </w:pPr>
    </w:p>
    <w:p>
      <w:pPr>
        <w:ind w:right="3560" w:firstLine="6"/>
        <w:spacing w:after="0" w:line="285" w:lineRule="auto"/>
        <w:tabs>
          <w:tab w:leader="none" w:pos="367"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taxpayer identification number, address of the undersigned, and the taxable year for which this election is being made are:</w:t>
      </w:r>
    </w:p>
    <w:p>
      <w:pPr>
        <w:spacing w:after="0" w:line="16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-8890</wp:posOffset>
            </wp:positionV>
            <wp:extent cx="9423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-8890</wp:posOffset>
            </wp:positionV>
            <wp:extent cx="9759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975995" cy="8255"/>
                    </a:xfrm>
                    <a:prstGeom prst="rect">
                      <a:avLst/>
                    </a:prstGeom>
                    <a:noFill/>
                  </pic:spPr>
                </pic:pic>
              </a:graphicData>
            </a:graphic>
          </wp:anchor>
        </w:drawing>
        <w:drawing>
          <wp:anchor simplePos="0" relativeHeight="251657728" behindDoc="1" locked="0" layoutInCell="0" allowOverlap="1">
            <wp:simplePos x="0" y="0"/>
            <wp:positionH relativeFrom="column">
              <wp:posOffset>710565</wp:posOffset>
            </wp:positionH>
            <wp:positionV relativeFrom="paragraph">
              <wp:posOffset>301625</wp:posOffset>
            </wp:positionV>
            <wp:extent cx="12452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-8890</wp:posOffset>
            </wp:positionV>
            <wp:extent cx="6731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673100" cy="8255"/>
                    </a:xfrm>
                    <a:prstGeom prst="rect">
                      <a:avLst/>
                    </a:prstGeom>
                    <a:noFill/>
                  </pic:spPr>
                </pic:pic>
              </a:graphicData>
            </a:graphic>
          </wp:anchor>
        </w:drawing>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Taxable Year: 2025</w:t>
      </w:r>
    </w:p>
    <w:p>
      <w:pPr>
        <w:spacing w:after="0" w:line="222" w:lineRule="exact"/>
        <w:rPr>
          <w:sz w:val="20"/>
          <w:szCs w:val="20"/>
          <w:color w:val="auto"/>
        </w:rPr>
      </w:pPr>
    </w:p>
    <w:p>
      <w:pPr>
        <w:ind w:firstLine="6"/>
        <w:spacing w:after="0" w:line="285" w:lineRule="auto"/>
        <w:tabs>
          <w:tab w:leader="none" w:pos="42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property with respect to which this election is being consists of 3,867,318 unvested Class B Units (the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each of which represents an interest in the profits of TCO Group Holdings, L.P., a Delaware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Units were transferred to the undersigned was September 5, 2025.</w:t>
      </w:r>
    </w:p>
    <w:p>
      <w:pPr>
        <w:spacing w:after="0" w:line="235" w:lineRule="exact"/>
        <w:rPr>
          <w:rFonts w:ascii="Times New Roman" w:cs="Times New Roman" w:eastAsia="Times New Roman" w:hAnsi="Times New Roman"/>
          <w:sz w:val="21"/>
          <w:szCs w:val="21"/>
          <w:color w:val="auto"/>
        </w:rPr>
      </w:pPr>
    </w:p>
    <w:p>
      <w:pPr>
        <w:jc w:val="both"/>
        <w:ind w:firstLine="6"/>
        <w:spacing w:after="0" w:line="267" w:lineRule="auto"/>
        <w:tabs>
          <w:tab w:leader="none" w:pos="39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is subject to service-based and performance-based vesting conditions, in each case, subject to taxpayer’s continued service through the applicable vesting date(s). Upon cessation of the taxpayer’s service, all Units, to the extent not vested, will be forfeited.</w:t>
      </w:r>
    </w:p>
    <w:p>
      <w:pPr>
        <w:spacing w:after="0" w:line="161" w:lineRule="exact"/>
        <w:rPr>
          <w:rFonts w:ascii="Times New Roman" w:cs="Times New Roman" w:eastAsia="Times New Roman" w:hAnsi="Times New Roman"/>
          <w:sz w:val="21"/>
          <w:szCs w:val="21"/>
          <w:color w:val="auto"/>
        </w:rPr>
      </w:pPr>
    </w:p>
    <w:p>
      <w:pPr>
        <w:ind w:firstLine="6"/>
        <w:spacing w:after="0" w:line="285" w:lineRule="auto"/>
        <w:tabs>
          <w:tab w:leader="none" w:pos="38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of the Award at the time of transfer (determined without regard to any restrictions other than those which by their terms will never lapse) is $0.</w:t>
      </w:r>
    </w:p>
    <w:p>
      <w:pPr>
        <w:spacing w:after="0" w:line="155"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paid for the Award by the undersigned was $0.</w:t>
      </w:r>
    </w:p>
    <w:p>
      <w:pPr>
        <w:spacing w:after="0" w:line="222"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to include in gross income is $0.</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The undersigned will file this election with the Internal Revenue Service office with which the taxpayer files his or her annual income tax return not later than 30 days after the date of the transfer of the property. A copy of the election will also be furnished to the Partnership. The undersigned is the person performing the services in connection with which the property was transferred.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-8890</wp:posOffset>
            </wp:positionV>
            <wp:extent cx="5384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996"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1"/>
          <w:szCs w:val="21"/>
          <w:color w:val="auto"/>
        </w:rPr>
        <w:t>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-8890</wp:posOffset>
            </wp:positionV>
            <wp:extent cx="5384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ectPr>
          <w:pgSz w:w="11900" w:h="16838" w:orient="portrait"/>
          <w:cols w:equalWidth="0" w:num="1">
            <w:col w:w="10139"/>
          </w:cols>
          <w:pgMar w:left="320" w:top="1252" w:right="1440" w:bottom="1440" w:gutter="0" w:footer="0" w:header="0"/>
        </w:sectPr>
      </w:pPr>
    </w:p>
    <w:bookmarkStart w:id="129" w:name="page130"/>
    <w:bookmarkEnd w:id="129"/>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SPOUSAL CONSENT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undersigned represents that the undersigned is the spouse of:</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Patrick Blair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and that the undersigned is familiar with the terms of the Award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executed by the Participant dated as of September 5, 2025, as well as the Plan and the LP Agreement referred to therein. The undersigned is aware that the Agreement, the Plan and LP Agreement provide, among other things, certain restrictions on transfer, certain forced sale and certain buyback rights relating to Participant’s Class B Units. The undersigned hereby agrees that the interest of the undersigned’s spouse in all property which is the subject of the Agreement shall be irrevocably bound by the terms of the Agreement and by any amendment, modification, waiver or termination signed by the undersigned’s spouse. The undersigned further agrees that the undersigned’s community property interest in all property which is the subject of the Agreement shall be irrevocably bound by the terms of the Agreement, and that the Agreement shall be binding on the executors, administrators, heirs and assigns of the undersigned. The undersigned further authorizes the undersigned’s spouse to amend, modify or terminate the Agreement, or waive any rights thereunder, and that each such amendment, modification, waiver or termination signed by the undersigned’s spouse shall be binding on the community property interest of undersigned in all property which is the subject of such Agreement and on the executors, administrators, heirs and assigns of the undersigned, each as fully as if the undersigned had signed such amendment, modification, waiver or termination.</w:t>
      </w: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Executed as of the ____ day of _____________, 2025.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____________________________</w:t>
      </w:r>
    </w:p>
    <w:p>
      <w:pPr>
        <w:sectPr>
          <w:pgSz w:w="11900" w:h="16838" w:orient="portrait"/>
          <w:cols w:equalWidth="0" w:num="1">
            <w:col w:w="11240"/>
          </w:cols>
          <w:pgMar w:left="320" w:top="1440"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253"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when used with reference to another Person means any Person, directly or indirectly, through one or more intermediaries, controlling, controlled by, or under common control with, such other Person.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Apax Investor</w:t>
      </w:r>
      <w:r>
        <w:rPr>
          <w:rFonts w:ascii="Times New Roman" w:cs="Times New Roman" w:eastAsia="Times New Roman" w:hAnsi="Times New Roman"/>
          <w:sz w:val="21"/>
          <w:szCs w:val="21"/>
          <w:color w:val="auto"/>
        </w:rPr>
        <w:t>” means Ignite Aggregator LP (together with its permitted transferees (as set forth in the LP Agreement)).</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means (a) the sale of all or substantially all of the assets of the Partnership and its subsidiaries (as set forth in the LP Agreement) on a consolidated basis to a Person, or group of Persons acting in concert, who are Independent Third Parties,</w:t>
      </w:r>
    </w:p>
    <w:p>
      <w:pPr>
        <w:jc w:val="both"/>
        <w:ind w:firstLine="6"/>
        <w:spacing w:after="0" w:line="255" w:lineRule="auto"/>
        <w:tabs>
          <w:tab w:leader="none" w:pos="314"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merger, reorganization, consolidation or other similar corporate transaction in which the outstanding voting securities (as set forth in the LP Agreement) of the Partnership are exchanged for securities of the successor entity and, immediately after such transaction, a Person or group of Persons acting in concert, who are Independent Third Parties, beneficially own a majority of the outstanding voting securities, and rights to the majority of the residual economic interests in the common equity, of the successor entity (or a parent entity thereof), or (c) the acquisition (whether by sale, merger or otherwise) of a majority of the outstanding voting securities, and rights to the majority of the residual economic interests in the common equity, of the Partnership by a Person, or group of Persons acting in concert, who are Independent Third Parties. For the sake of clarity, in no event will a transaction be a Change of Control if either Sponsor Investor or its Affiliates continue to control or jointly control the Partnership or its subsidiaries.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Securities</w:t>
      </w:r>
      <w:r>
        <w:rPr>
          <w:rFonts w:ascii="Times New Roman" w:cs="Times New Roman" w:eastAsia="Times New Roman" w:hAnsi="Times New Roman"/>
          <w:sz w:val="21"/>
          <w:szCs w:val="21"/>
          <w:color w:val="auto"/>
        </w:rPr>
        <w:t>” means, as applicable, (i) any capital stock, partnership or membership interests or other share capital, (ii) any securities directly or indirectly convertible into or exchangeable or exercisable for any capital stock, partnership or membership interests or other share capital or containing any profit participation features, (iii) any rights or options directly or indirectly to subscribe for or to purchase any capital stock, partnership or membership interests, other share capital or securities containing any profit participation features or to subscribe for or to purchase any securities directly or indirectly convertible into or exchangeable or exercisable for any capital stock, partnership or membership interests, other share capital or securities containing any profit participation features, (iv) any share appreciation rights, phantom share rights or other similar rights, or (v) any Equity Securities issued or issuable with respect to any of the securities referred to in clauses (i) through (iv) above in connection with a combination of shares, recapitalization, merger, consolidation or other reorganization.</w:t>
      </w:r>
    </w:p>
    <w:p>
      <w:pPr>
        <w:spacing w:after="0" w:line="21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Third Party</w:t>
      </w:r>
      <w:r>
        <w:rPr>
          <w:rFonts w:ascii="Times New Roman" w:cs="Times New Roman" w:eastAsia="Times New Roman" w:hAnsi="Times New Roman"/>
          <w:sz w:val="21"/>
          <w:szCs w:val="21"/>
          <w:color w:val="auto"/>
        </w:rPr>
        <w:t>” means any Person that, as of the time of determination, is not an Affiliate of the Apax Investor or the WCAS Investor.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Measurement Date</w:t>
      </w:r>
      <w:r>
        <w:rPr>
          <w:rFonts w:ascii="Times New Roman" w:cs="Times New Roman" w:eastAsia="Times New Roman" w:hAnsi="Times New Roman"/>
          <w:sz w:val="21"/>
          <w:szCs w:val="21"/>
          <w:color w:val="auto"/>
        </w:rPr>
        <w:t>” means any date on or after the Grant Date on which Apax Investor receives Apax Returns.</w:t>
      </w:r>
    </w:p>
    <w:p>
      <w:pPr>
        <w:sectPr>
          <w:pgSz w:w="11900" w:h="16838" w:orient="portrait"/>
          <w:cols w:equalWidth="0" w:num="1">
            <w:col w:w="11240"/>
          </w:cols>
          <w:pgMar w:left="320" w:top="1393" w:right="339" w:bottom="1440" w:gutter="0" w:footer="0" w:header="0"/>
        </w:sectPr>
      </w:pPr>
    </w:p>
    <w:bookmarkStart w:id="131" w:name="page132"/>
    <w:bookmarkEnd w:id="131"/>
    <w:p>
      <w:pPr>
        <w:jc w:val="both"/>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 Representative</w:t>
      </w:r>
      <w:r>
        <w:rPr>
          <w:rFonts w:ascii="Times New Roman" w:cs="Times New Roman" w:eastAsia="Times New Roman" w:hAnsi="Times New Roman"/>
          <w:sz w:val="21"/>
          <w:szCs w:val="21"/>
          <w:color w:val="auto"/>
        </w:rPr>
        <w:t>” means TCO Group Holdings GP, LLC and any successor to such Person, or its designee, shall be the “partnership representative” (within the meaning of Code Section 6223(a)) of the Partnership.</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a partnership (including a limited partnership), a corporation, a limited liability company, an association, a joint stock company, a trust, a joint venture, an unincorporated organization, association or other entity or any foreign, United States federal, state, county provincial or local governmental or any subdivision, department, instrumentality, authority, regulatory commission, board, bureau, agency, court, tribunal, arbitral (public or private), judicial, executive or regulatory or administrative body.</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 Provider</w:t>
      </w:r>
      <w:r>
        <w:rPr>
          <w:rFonts w:ascii="Times New Roman" w:cs="Times New Roman" w:eastAsia="Times New Roman" w:hAnsi="Times New Roman"/>
          <w:sz w:val="21"/>
          <w:szCs w:val="21"/>
          <w:color w:val="auto"/>
        </w:rPr>
        <w:t>” means any director, officer, observer, employee, manager, consultant or independent contractor providing services to or for the benefit of the Partnership or any of its subsidiaries (as set forth in the LP Agreement). With respect to any particular Service Provider, as used herein, “Service Provider” shall also include any Person or permitted transferee (as set forth in the LP Agreement) to whom or which the Service Provider has elected Units or other Equity Securities of the Partnership be issued in lieu of such Service Provider directly receiving such Units or other Equity Securities (whether or not such Service Provider holds any Units or other Equity Securities of the Partnership).</w:t>
      </w:r>
    </w:p>
    <w:p>
      <w:pPr>
        <w:spacing w:after="0" w:line="19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Sponsor Investor</w:t>
      </w:r>
      <w:r>
        <w:rPr>
          <w:rFonts w:ascii="Times New Roman" w:cs="Times New Roman" w:eastAsia="Times New Roman" w:hAnsi="Times New Roman"/>
          <w:sz w:val="21"/>
          <w:szCs w:val="21"/>
          <w:color w:val="auto"/>
        </w:rPr>
        <w:t>” means each of the Apax Investor and the WCAS Investor (together with each of their permitted transferees (as set forth in the LP Agreement)).</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WCAS Investor</w:t>
      </w:r>
      <w:r>
        <w:rPr>
          <w:rFonts w:ascii="Times New Roman" w:cs="Times New Roman" w:eastAsia="Times New Roman" w:hAnsi="Times New Roman"/>
          <w:sz w:val="21"/>
          <w:szCs w:val="21"/>
          <w:color w:val="auto"/>
        </w:rPr>
        <w:t>” means, collectively, Welsh, Carson, Anderson &amp; Stowe XII, L.P., Welsh, Carson, Anderson &amp; Stowe XII Delaware, L.P., Welsh, Carson, Anderson &amp; Stowe XII Delaware II, L.P., Welsh, Carson, Anderson &amp; Stowe XII Cayman, L.P., WCAS XII Co-Investors LLC, WCAS Management Corporation and WCAS Co-Invest Holdco, L.P. (together with each of their permitted transferees, as set forth in the LP Agreement).</w:t>
      </w:r>
    </w:p>
    <w:p>
      <w:pPr>
        <w:sectPr>
          <w:pgSz w:w="11900" w:h="16838" w:orient="portrait"/>
          <w:cols w:equalWidth="0" w:num="1">
            <w:col w:w="11240"/>
          </w:cols>
          <w:pgMar w:left="320" w:top="139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1"/>
          <w:szCs w:val="21"/>
          <w:b w:val="1"/>
          <w:bCs w:val="1"/>
          <w:color w:val="auto"/>
        </w:rPr>
        <w:t>TCO GROUP HOLDINGS, L.P.</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INCENTIVE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CLASS B UNIT AWARD AGREEMENT</w:t>
      </w:r>
    </w:p>
    <w:p>
      <w:pPr>
        <w:spacing w:after="0" w:line="2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21"/>
          <w:szCs w:val="21"/>
          <w:color w:val="auto"/>
        </w:rPr>
        <w:t>THIS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evidences an award of Class B Units granted pursuant to the TCO Group Holdings, L.P. Equity Incentive Plan (as from time to time amended and in effect,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on September 5, 2025 (the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and is entered into between TCO Group Holdings, L.P., a Delaware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 and the undersigned Participant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All capitalized terms that are used but not defined in this Agreement (including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attached hereto) have the meanings ascribed to them in the Plan.</w:t>
      </w:r>
    </w:p>
    <w:p>
      <w:pPr>
        <w:spacing w:after="0" w:line="181" w:lineRule="exact"/>
        <w:rPr>
          <w:sz w:val="20"/>
          <w:szCs w:val="20"/>
          <w:color w:val="auto"/>
        </w:rPr>
      </w:pPr>
    </w:p>
    <w:p>
      <w:pPr>
        <w:jc w:val="both"/>
        <w:ind w:firstLine="6"/>
        <w:spacing w:after="0" w:line="261" w:lineRule="auto"/>
        <w:tabs>
          <w:tab w:leader="none" w:pos="63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Subject to the terms and conditions set forth in this Agreement, the Plan and the LP Agreement, the Partnership hereby grants to the Participant on the Grant Date 1,841,323 Class B Units, each with a Hurdle Amount of $3.68 (this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It is intended that this Award qualify as a “profits interest” for U.S. federal income tax purposes and this Agreement will be interpreted in accordance with that intent.</w:t>
      </w:r>
    </w:p>
    <w:p>
      <w:pPr>
        <w:spacing w:after="0" w:line="168" w:lineRule="exact"/>
        <w:rPr>
          <w:rFonts w:ascii="Times New Roman" w:cs="Times New Roman" w:eastAsia="Times New Roman" w:hAnsi="Times New Roman"/>
          <w:sz w:val="21"/>
          <w:szCs w:val="21"/>
          <w:color w:val="auto"/>
        </w:rPr>
      </w:pPr>
    </w:p>
    <w:p>
      <w:pPr>
        <w:jc w:val="both"/>
        <w:ind w:firstLine="6"/>
        <w:spacing w:after="0" w:line="262" w:lineRule="auto"/>
        <w:tabs>
          <w:tab w:leader="none" w:pos="63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xml:space="preserve"> For purposes of this Agreement, the Class B Units subject to this Award that are or become vested, in each case, in accordance with the provisions of this Agreement, are referred to as “</w:t>
      </w:r>
      <w:r>
        <w:rPr>
          <w:rFonts w:ascii="Times New Roman" w:cs="Times New Roman" w:eastAsia="Times New Roman" w:hAnsi="Times New Roman"/>
          <w:sz w:val="21"/>
          <w:szCs w:val="21"/>
          <w:u w:val="single" w:color="auto"/>
          <w:color w:val="auto"/>
        </w:rPr>
        <w:t>Vested</w:t>
      </w:r>
      <w:r>
        <w:rPr>
          <w:rFonts w:ascii="Times New Roman" w:cs="Times New Roman" w:eastAsia="Times New Roman" w:hAnsi="Times New Roman"/>
          <w:sz w:val="21"/>
          <w:szCs w:val="21"/>
          <w:color w:val="auto"/>
        </w:rPr>
        <w:t>” and the Class B Units subject to this Award that have not become vested in accordance with the provisions of this Agreement are referred to as “</w:t>
      </w:r>
      <w:r>
        <w:rPr>
          <w:rFonts w:ascii="Times New Roman" w:cs="Times New Roman" w:eastAsia="Times New Roman" w:hAnsi="Times New Roman"/>
          <w:sz w:val="21"/>
          <w:szCs w:val="21"/>
          <w:u w:val="single" w:color="auto"/>
          <w:color w:val="auto"/>
        </w:rPr>
        <w:t>Unvested</w:t>
      </w:r>
      <w:r>
        <w:rPr>
          <w:rFonts w:ascii="Times New Roman" w:cs="Times New Roman" w:eastAsia="Times New Roman" w:hAnsi="Times New Roman"/>
          <w:sz w:val="21"/>
          <w:szCs w:val="21"/>
          <w:color w:val="auto"/>
        </w:rPr>
        <w:t xml:space="preserve">”. Class B Units subject to this Award shall vest under this Agreement in accordance with the terms of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attached hereto if, and only if, the Participant remains in Service on the applicable vesting date(s).</w:t>
      </w:r>
    </w:p>
    <w:p>
      <w:pPr>
        <w:spacing w:after="0" w:line="165"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Cessation of Service; Forfeiture</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320" w:firstLine="958"/>
        <w:spacing w:after="0" w:line="257" w:lineRule="auto"/>
        <w:tabs>
          <w:tab w:leader="none" w:pos="1907"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below, if the Participant’s Service ceases for any reason, (i) no additional portion of this Award will become Vested at or after the time of such cessation of Service, (ii) the portion of this Award that is then Unvested will be immediately and automatically forfeited for no consideration payable to the Participant, and (iii) except as provided in this Agreement, the Vested portion of this Award will remain outstanding and subject to the terms and conditions of the Plan, this Agreement and the LP Agreement, including the repurchase provisions set forth in Section 10.1 and Section 10.4 of the LP Agreement. Following the cessation of the Participant’s Service for any reason, the Participant’s retention of the Vested portion of this Award will in all cases be conditioned upon the Participant (or, if applicable, the Participant’s estate or beneficiary) signing and returning to the Partnership (without revoking) a timely and effective general release of claims in a form provided by the Partnership by the deadline specified therein, which in all events shall become effective and irrevocable not later than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calendar day following the date the Participant’s Service ceases.</w:t>
      </w:r>
    </w:p>
    <w:p>
      <w:pPr>
        <w:spacing w:after="0" w:line="96" w:lineRule="exact"/>
        <w:rPr>
          <w:rFonts w:ascii="Times New Roman" w:cs="Times New Roman" w:eastAsia="Times New Roman" w:hAnsi="Times New Roman"/>
          <w:sz w:val="21"/>
          <w:szCs w:val="21"/>
          <w:color w:val="auto"/>
        </w:rPr>
      </w:pPr>
    </w:p>
    <w:p>
      <w:pPr>
        <w:jc w:val="both"/>
        <w:ind w:left="320" w:firstLine="958"/>
        <w:spacing w:after="0" w:line="274" w:lineRule="auto"/>
        <w:tabs>
          <w:tab w:leader="none" w:pos="1905"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 Breach of Restrictive Covenants</w:t>
      </w:r>
      <w:r>
        <w:rPr>
          <w:rFonts w:ascii="Times New Roman" w:cs="Times New Roman" w:eastAsia="Times New Roman" w:hAnsi="Times New Roman"/>
          <w:sz w:val="21"/>
          <w:szCs w:val="21"/>
          <w:color w:val="auto"/>
        </w:rPr>
        <w:t xml:space="preserve">. Notwithstanding anything in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to the contrary, in the event that the Participant’s Service is terminated for Cause (as defined in the Employment Agreement between Total Community Options, Inc., d/b/a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93" w:right="339" w:bottom="1440" w:gutter="0" w:footer="0" w:header="0"/>
        </w:sectPr>
      </w:pPr>
    </w:p>
    <w:bookmarkStart w:id="133" w:name="page134"/>
    <w:bookmarkEnd w:id="133"/>
    <w:p>
      <w:pPr>
        <w:jc w:val="both"/>
        <w:ind w:left="320"/>
        <w:spacing w:after="0" w:line="266" w:lineRule="auto"/>
        <w:rPr>
          <w:sz w:val="20"/>
          <w:szCs w:val="20"/>
          <w:color w:val="auto"/>
        </w:rPr>
      </w:pPr>
      <w:r>
        <w:rPr>
          <w:rFonts w:ascii="Times New Roman" w:cs="Times New Roman" w:eastAsia="Times New Roman" w:hAnsi="Times New Roman"/>
          <w:sz w:val="21"/>
          <w:szCs w:val="21"/>
          <w:color w:val="auto"/>
        </w:rPr>
        <w:t>InnovAge, and the Participant, dated as of July 3, 2023 (as amended from time to time,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(or at a time when the Administrator determines the Partnership or any of its Affiliates could have terminated the Participant’s Service for Cause) or the Participant breaches any Restrictive Covenant (as defined below), all Class B Units subject to this Award (whether Vested or Unvested) will be immediately forfeited for no consideration payable to the Participant.</w:t>
      </w:r>
    </w:p>
    <w:p>
      <w:pPr>
        <w:spacing w:after="0" w:line="162" w:lineRule="exact"/>
        <w:rPr>
          <w:sz w:val="20"/>
          <w:szCs w:val="20"/>
          <w:color w:val="auto"/>
        </w:rPr>
      </w:pPr>
    </w:p>
    <w:p>
      <w:pPr>
        <w:jc w:val="both"/>
        <w:ind w:firstLine="6"/>
        <w:spacing w:after="0" w:line="256" w:lineRule="auto"/>
        <w:tabs>
          <w:tab w:leader="none" w:pos="63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The Participant acknowledges and agrees that the Participant will execute, no later than the date hereof, and shall be bound by, the restrictive covenants set forth in the Employment Agreement, in addition to any confidentiality, non-competition, non-solicitation, no-hire, non-disparagement, invention assignment, cooperation or other similar obligations of the Participant to the Partnership or any of its Affiliates (such obligations, collectively, the “</w:t>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which Restrictive Covenants shall survive any termination, expiration, forfeiture, transfer or other disposition of this Award in accordance with its terms. In addition to any remedies that may be available to the Partnership or any of its Affiliates, the Administrator may cause this Award (whether or not Vested) to be forfeited and the proceeds from the any disposition and/or distributions or other amounts received in respect of this Award to be disgorged to the Partnership, with interest and related earnings, if at any time the Participant is not in compliance with all of the provisions of the Restrictive Covenants.</w:t>
      </w:r>
    </w:p>
    <w:p>
      <w:pPr>
        <w:spacing w:after="0" w:line="172" w:lineRule="exact"/>
        <w:rPr>
          <w:rFonts w:ascii="Times New Roman" w:cs="Times New Roman" w:eastAsia="Times New Roman" w:hAnsi="Times New Roman"/>
          <w:sz w:val="21"/>
          <w:szCs w:val="21"/>
          <w:color w:val="auto"/>
        </w:rPr>
      </w:pPr>
    </w:p>
    <w:p>
      <w:pPr>
        <w:jc w:val="both"/>
        <w:ind w:firstLine="6"/>
        <w:spacing w:after="0" w:line="274" w:lineRule="auto"/>
        <w:tabs>
          <w:tab w:leader="none" w:pos="63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3" w:lineRule="exact"/>
        <w:rPr>
          <w:rFonts w:ascii="Times New Roman" w:cs="Times New Roman" w:eastAsia="Times New Roman" w:hAnsi="Times New Roman"/>
          <w:sz w:val="21"/>
          <w:szCs w:val="21"/>
          <w:color w:val="auto"/>
        </w:rPr>
      </w:pPr>
    </w:p>
    <w:p>
      <w:pPr>
        <w:ind w:firstLine="6"/>
        <w:spacing w:after="0" w:line="285" w:lineRule="auto"/>
        <w:tabs>
          <w:tab w:leader="none" w:pos="63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be binding upon and inure to the benefit of the Partnership and the Participant and their respective heirs, executors, administrators, legal representatives, successors and assigns.</w:t>
      </w:r>
    </w:p>
    <w:p>
      <w:pPr>
        <w:spacing w:after="0" w:line="141" w:lineRule="exact"/>
        <w:rPr>
          <w:rFonts w:ascii="Times New Roman" w:cs="Times New Roman" w:eastAsia="Times New Roman" w:hAnsi="Times New Roman"/>
          <w:sz w:val="21"/>
          <w:szCs w:val="21"/>
          <w:color w:val="auto"/>
        </w:rPr>
      </w:pPr>
    </w:p>
    <w:p>
      <w:pPr>
        <w:ind w:firstLine="6"/>
        <w:spacing w:after="0" w:line="298" w:lineRule="auto"/>
        <w:tabs>
          <w:tab w:leader="none" w:pos="63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Service</w:t>
      </w:r>
      <w:r>
        <w:rPr>
          <w:rFonts w:ascii="Times New Roman" w:cs="Times New Roman" w:eastAsia="Times New Roman" w:hAnsi="Times New Roman"/>
          <w:sz w:val="21"/>
          <w:szCs w:val="21"/>
          <w:color w:val="auto"/>
        </w:rPr>
        <w:t>. Nothing contained in this Agreement shall be construed as giving the Participant any right to be retained, in any position, as an employee or other service provider of the Partnership or any of its Affiliates.</w:t>
      </w:r>
    </w:p>
    <w:p>
      <w:pPr>
        <w:spacing w:after="0" w:line="129"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1278"/>
        <w:spacing w:after="0" w:line="257" w:lineRule="auto"/>
        <w:tabs>
          <w:tab w:leader="none" w:pos="1905"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 under Section 83(b)</w:t>
      </w:r>
      <w:r>
        <w:rPr>
          <w:rFonts w:ascii="Times New Roman" w:cs="Times New Roman" w:eastAsia="Times New Roman" w:hAnsi="Times New Roman"/>
          <w:sz w:val="21"/>
          <w:szCs w:val="21"/>
          <w:color w:val="auto"/>
        </w:rPr>
        <w:t xml:space="preserve">. The Participant shall execute and deliver to the Partnership with a copy of the Election Pursuant to Section 83(b) of the Code,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Election Pursuant to Section 83(b) of the Code shall be filed by the Participant with the appropriate Internal Revenue Service office not later than thirty (30) days after the Grant Date. The Participant should consult the Participant’s tax advisor to determine if there is a comparable election to file in the state of the Participant’s residence and whether such filing is desirable under the circumstances. The Participant acknowledges that it is the sole responsibility of the Participant, and not the Partnership (or its Affiliates or Partnership Representative), to file the election under Section 83(b) of the Code even if the Participant requests that the Partnership (or its Affiliates or Partnership Representative) assist the Participant in making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7" w:right="339" w:bottom="1440" w:gutter="0" w:footer="0" w:header="0"/>
        </w:sectPr>
      </w:pPr>
    </w:p>
    <w:bookmarkStart w:id="134" w:name="page135"/>
    <w:bookmarkEnd w:id="134"/>
    <w:p>
      <w:pPr>
        <w:jc w:val="both"/>
        <w:ind w:firstLine="1278"/>
        <w:spacing w:after="0" w:line="258" w:lineRule="auto"/>
        <w:tabs>
          <w:tab w:leader="none" w:pos="1903"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Administrator will make such provision for the withholding of taxes and other legally required withholdings as it deems necessary under applicable law or as required under the LP Agreement. Except to the extent the Administrator permits the Participant to pay by other means, the Participant shall remit cash in an amount sufficient to satisfy any such taxes or withholdings at such time as is directed by the Partnership. By signing this Agreement, the Participant authorizes the Partnership and its Affiliates to withhold any taxes and other legally required withholdings that it determines are required from any other compensation paid or payable to the Participant by the Partnership or any of its Affiliates. Any amounts withheld by the Partnership or any of its Affiliates will be treated as if they were directly paid to the Participant.</w:t>
      </w:r>
    </w:p>
    <w:p>
      <w:pPr>
        <w:spacing w:after="0" w:line="170" w:lineRule="exact"/>
        <w:rPr>
          <w:rFonts w:ascii="Times New Roman" w:cs="Times New Roman" w:eastAsia="Times New Roman" w:hAnsi="Times New Roman"/>
          <w:sz w:val="21"/>
          <w:szCs w:val="21"/>
          <w:color w:val="auto"/>
        </w:rPr>
      </w:pPr>
    </w:p>
    <w:p>
      <w:pPr>
        <w:jc w:val="both"/>
        <w:ind w:firstLine="6"/>
        <w:spacing w:after="0" w:line="274" w:lineRule="auto"/>
        <w:tabs>
          <w:tab w:leader="none" w:pos="63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Consultation with Counsel</w:t>
      </w:r>
      <w:r>
        <w:rPr>
          <w:rFonts w:ascii="Times New Roman" w:cs="Times New Roman" w:eastAsia="Times New Roman" w:hAnsi="Times New Roman"/>
          <w:sz w:val="21"/>
          <w:szCs w:val="21"/>
          <w:color w:val="auto"/>
        </w:rPr>
        <w:t>. The Participant hereby acknowledges and represents that the Participant has had the opportunity to consult with independent legal counsel regarding the Participant’s rights and obligations under this Agreement and that the Participant fully understands the terms and conditions contained herein.</w:t>
      </w:r>
    </w:p>
    <w:p>
      <w:pPr>
        <w:spacing w:after="0" w:line="153" w:lineRule="exact"/>
        <w:rPr>
          <w:rFonts w:ascii="Times New Roman" w:cs="Times New Roman" w:eastAsia="Times New Roman" w:hAnsi="Times New Roman"/>
          <w:sz w:val="21"/>
          <w:szCs w:val="21"/>
          <w:color w:val="auto"/>
        </w:rPr>
      </w:pPr>
    </w:p>
    <w:p>
      <w:pPr>
        <w:jc w:val="both"/>
        <w:ind w:firstLine="6"/>
        <w:spacing w:after="0" w:line="261" w:lineRule="auto"/>
        <w:tabs>
          <w:tab w:leader="none" w:pos="63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All notices required or permitted hereunder shall be in writing and deemed effectively given upon personal delivery or upon deposit in the United States Post Office, by registered or certified mail, postage prepaid, addressed to the other party hereto at the address shown beneath their or its respective signature to this Agreement, or at such other address or addresses as either party shall designate to the other in accordance with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w:t>
      </w:r>
    </w:p>
    <w:p>
      <w:pPr>
        <w:spacing w:after="0" w:line="181" w:lineRule="exact"/>
        <w:rPr>
          <w:rFonts w:ascii="Times New Roman" w:cs="Times New Roman" w:eastAsia="Times New Roman" w:hAnsi="Times New Roman"/>
          <w:sz w:val="21"/>
          <w:szCs w:val="21"/>
          <w:color w:val="auto"/>
        </w:rPr>
      </w:pPr>
    </w:p>
    <w:p>
      <w:pPr>
        <w:jc w:val="both"/>
        <w:ind w:firstLine="6"/>
        <w:spacing w:after="0" w:line="267" w:lineRule="auto"/>
        <w:tabs>
          <w:tab w:leader="none" w:pos="62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Unit Certificate Restrictive Legends</w:t>
      </w:r>
      <w:r>
        <w:rPr>
          <w:rFonts w:ascii="Times New Roman" w:cs="Times New Roman" w:eastAsia="Times New Roman" w:hAnsi="Times New Roman"/>
          <w:sz w:val="21"/>
          <w:szCs w:val="21"/>
          <w:color w:val="auto"/>
        </w:rPr>
        <w:t>. Certificated Class B Units evidencing this Award, to the extent such certificates are issued, may bear such restrictive legends as the Partnership and/or the Partnership’s counsel may deem necessary or advisable under applicable law or pursuant to this Agreement, including, without limitation, the following legends:</w:t>
      </w:r>
    </w:p>
    <w:p>
      <w:pPr>
        <w:spacing w:after="0" w:line="161"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1"/>
          <w:szCs w:val="21"/>
          <w:color w:val="auto"/>
        </w:rPr>
        <w:t>“THE UNITS OR OTHER INTERESTS REPRESENTED BY THIS CERTIFICATE WERE ORIGINALLY ISSUED ON SEPTEMBER 5, 2025, HAVE NOT BEEN REGISTERED UNDER THE SECURITIES ACT OF 1933, AS AMENDED (THE “ACT”), OR APPLICABLE STATE SECURITIES LAWS (“STATE ACTS”) AND MAY NOT BE SOLD OR TRANSFERRED IN THE ABSENCE OF AN EFFECTIVE REGISTRATION STATEMENT UNDER THE ACT OR STATE ACTS OR AN EXEMPTION FROM REGISTRATION THEREUNDER. THE TRANSFER OF THE UNITS REPRESENTED BY THIS CERTIFICATE IS SUBJECT TO THE CONDITIONS SPECIFIED IN THE PARTNERSHIP’S SECOND AMENDED AND RESTATED LIMITED PARTNERSHIP AGREEMENT, DATED AS OF MARCH 3, 2021 AS IT MAY BE AMENDED FROM TIME TO TIME, GOVERNING THE ISSUER (THE “PARTNERSHIP”) AND BY AND AMONG THE MEMBERS. A COPY OF SUCH AGREEMENT SHALL BE FURNISHED BY THE PARTNERSHIP TO THE HOLDER HEREOF UPON WRITTEN REQUEST AND WITHOUT CHARGE.”</w:t>
      </w:r>
    </w:p>
    <w:p>
      <w:pPr>
        <w:spacing w:after="0" w:line="170" w:lineRule="exact"/>
        <w:rPr>
          <w:sz w:val="20"/>
          <w:szCs w:val="20"/>
          <w:color w:val="auto"/>
        </w:rPr>
      </w:pPr>
    </w:p>
    <w:p>
      <w:pPr>
        <w:ind w:firstLine="6"/>
        <w:spacing w:after="0" w:line="285" w:lineRule="auto"/>
        <w:tabs>
          <w:tab w:leader="none" w:pos="63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Amendment</w:t>
      </w:r>
      <w:r>
        <w:rPr>
          <w:rFonts w:ascii="Times New Roman" w:cs="Times New Roman" w:eastAsia="Times New Roman" w:hAnsi="Times New Roman"/>
          <w:sz w:val="21"/>
          <w:szCs w:val="21"/>
          <w:color w:val="auto"/>
        </w:rPr>
        <w:t>. This Agreement, the Plan and the LP Agreement constitute the entire agreement between the parties, and supersede all prior and contemporaneous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7" w:right="339" w:bottom="1440" w:gutter="0" w:footer="0" w:header="0"/>
        </w:sectPr>
      </w:pPr>
    </w:p>
    <w:bookmarkStart w:id="135" w:name="page136"/>
    <w:bookmarkEnd w:id="135"/>
    <w:p>
      <w:pPr>
        <w:spacing w:after="0" w:line="285" w:lineRule="auto"/>
        <w:rPr>
          <w:sz w:val="20"/>
          <w:szCs w:val="20"/>
          <w:color w:val="auto"/>
        </w:rPr>
      </w:pPr>
      <w:r>
        <w:rPr>
          <w:rFonts w:ascii="Times New Roman" w:cs="Times New Roman" w:eastAsia="Times New Roman" w:hAnsi="Times New Roman"/>
          <w:sz w:val="21"/>
          <w:szCs w:val="21"/>
          <w:color w:val="auto"/>
        </w:rPr>
        <w:t>agreements and understandings, relating to the subject matter of this Agreement. This Agreement may be amended in accordance with the Plan.</w:t>
      </w:r>
    </w:p>
    <w:p>
      <w:pPr>
        <w:spacing w:after="0" w:line="142" w:lineRule="exact"/>
        <w:rPr>
          <w:sz w:val="20"/>
          <w:szCs w:val="20"/>
          <w:color w:val="auto"/>
        </w:rPr>
      </w:pPr>
    </w:p>
    <w:p>
      <w:pPr>
        <w:jc w:val="both"/>
        <w:ind w:firstLine="6"/>
        <w:spacing w:after="0" w:line="266" w:lineRule="auto"/>
        <w:tabs>
          <w:tab w:leader="none" w:pos="63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construed, interpreted and enforced in accordance with the laws of the State of Delaware, without regard to otherwise governing principles of conflicts of laws. In the event of any alleged breach or threatened breach of this Agreement, the parties hereby consent and submit to the jurisdiction of the federal and state courts in and of the State of Delaware and to service of legal process in the State of Delaware.</w:t>
      </w:r>
    </w:p>
    <w:p>
      <w:pPr>
        <w:spacing w:after="0" w:line="161" w:lineRule="exact"/>
        <w:rPr>
          <w:rFonts w:ascii="Times New Roman" w:cs="Times New Roman" w:eastAsia="Times New Roman" w:hAnsi="Times New Roman"/>
          <w:sz w:val="21"/>
          <w:szCs w:val="21"/>
          <w:color w:val="auto"/>
        </w:rPr>
      </w:pPr>
    </w:p>
    <w:p>
      <w:pPr>
        <w:jc w:val="both"/>
        <w:ind w:firstLine="6"/>
        <w:spacing w:after="0" w:line="256" w:lineRule="auto"/>
        <w:tabs>
          <w:tab w:leader="none" w:pos="63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 of Attorney</w:t>
      </w:r>
      <w:r>
        <w:rPr>
          <w:rFonts w:ascii="Times New Roman" w:cs="Times New Roman" w:eastAsia="Times New Roman" w:hAnsi="Times New Roman"/>
          <w:sz w:val="21"/>
          <w:szCs w:val="21"/>
          <w:color w:val="auto"/>
        </w:rPr>
        <w:t>. The Participant hereby irrevocably constitutes and appoints each of the Partnership and any of its officers with full power of substitution, acting jointly or severally, as its attorney-in-fact and agent to sign, execute and deliver, in its name and on its behalf, all or any such agreement, deeds, instruments, documents and/or any counterpart thereof or certificates or to take any such action as it deems necessary from time to time or as is required under any applicable law to admit the Participant as a member of the Partnership or to conduct the affairs of the Partnership, including (without limitation) the power and authority to sign, execute and deliver (or attach signature pages to) (i) the LP Agreement; (ii) any amendment to the LP Agreement adopted in accordance with its terms; and (iii) all documentation associated with the repurchase of any Class B Units pursuant to Section 10 of the LP Agreement. This power of attorney is given to secure the obligations of the Participant hereunder and deemed coupled with an interest of the Partnership and is irrevocable. The Participant shall, as a condition to the issuance of this Award hereunder, execute and deliver to the Partnership a signature page to the LP Agreement, agreeing to be bound by the terms thereof as a “Management Investor” thereunder with respect to the Class B Units subject to this Award.</w:t>
      </w:r>
    </w:p>
    <w:p>
      <w:pPr>
        <w:spacing w:after="0" w:line="174" w:lineRule="exact"/>
        <w:rPr>
          <w:rFonts w:ascii="Times New Roman" w:cs="Times New Roman" w:eastAsia="Times New Roman" w:hAnsi="Times New Roman"/>
          <w:sz w:val="21"/>
          <w:szCs w:val="21"/>
          <w:color w:val="auto"/>
        </w:rPr>
      </w:pPr>
    </w:p>
    <w:p>
      <w:pPr>
        <w:jc w:val="both"/>
        <w:ind w:firstLine="6"/>
        <w:spacing w:after="0" w:line="258" w:lineRule="auto"/>
        <w:tabs>
          <w:tab w:leader="none" w:pos="63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Distributions</w:t>
      </w:r>
      <w:r>
        <w:rPr>
          <w:rFonts w:ascii="Times New Roman" w:cs="Times New Roman" w:eastAsia="Times New Roman" w:hAnsi="Times New Roman"/>
          <w:sz w:val="21"/>
          <w:szCs w:val="21"/>
          <w:color w:val="auto"/>
        </w:rPr>
        <w:t xml:space="preserve">. The provisions set forth in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are intended to support the treatment of the Class B Units issued pursuant to this Agreement as “profits interests” within the meaning of Revenue Procedures 93-27 and 2001-43; for the avoidance of doubt, the provisions set forth in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are in limitation of the distribution provisions of the LP Agreement and nothing herein shall expand the right to, or increase the amount of, any distributions to be made to the Class B Units. Notwithstanding anything to the contrary, the Class B Units issued pursuant to this Agreement shall represent an interest in future appreciation of the Partnership, and the Administrator shall have the unilateral ability to make necessary adjustments to such Class B Units and/or to limit distributions made in respect of such Class B Units to support the treatment of the Class B Units issued pursuant to this Agreement as “profits interests” within the meaning of Revenue Procedures 93-27 and 2001-43.</w:t>
      </w:r>
    </w:p>
    <w:p>
      <w:pPr>
        <w:spacing w:after="0" w:line="175"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Representations and Acknowledgements of the Participant</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642"/>
        <w:spacing w:after="0" w:line="267" w:lineRule="auto"/>
        <w:tabs>
          <w:tab w:leader="none" w:pos="1269"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represents that the Participant has read the Plan and the LP Agreement and is familiar with their respective terms. The Participant hereby acknowledges that the Participant has carefully read this Agreement and agrees, on behalf of the Participant and on behalf of the Participant’s beneficiaries, estate and permitted assigns, to be bound by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97" w:right="339" w:bottom="1440" w:gutter="0" w:footer="0" w:header="0"/>
        </w:sectPr>
      </w:pPr>
    </w:p>
    <w:bookmarkStart w:id="136" w:name="page137"/>
    <w:bookmarkEnd w:id="136"/>
    <w:p>
      <w:pPr>
        <w:ind w:right="20"/>
        <w:spacing w:after="0" w:line="285" w:lineRule="auto"/>
        <w:rPr>
          <w:sz w:val="20"/>
          <w:szCs w:val="20"/>
          <w:color w:val="auto"/>
        </w:rPr>
      </w:pPr>
      <w:r>
        <w:rPr>
          <w:rFonts w:ascii="Times New Roman" w:cs="Times New Roman" w:eastAsia="Times New Roman" w:hAnsi="Times New Roman"/>
          <w:sz w:val="21"/>
          <w:szCs w:val="21"/>
          <w:color w:val="auto"/>
        </w:rPr>
        <w:t>provisions set forth herein and that the Class B Units subject to this Award are subject to all of the terms and provisions of this Agreement, the Plan and the LP Agreement.</w:t>
      </w:r>
    </w:p>
    <w:p>
      <w:pPr>
        <w:spacing w:after="0" w:line="142" w:lineRule="exact"/>
        <w:rPr>
          <w:sz w:val="20"/>
          <w:szCs w:val="20"/>
          <w:color w:val="auto"/>
        </w:rPr>
      </w:pPr>
    </w:p>
    <w:p>
      <w:pPr>
        <w:jc w:val="both"/>
        <w:ind w:firstLine="642"/>
        <w:spacing w:after="0" w:line="262" w:lineRule="auto"/>
        <w:tabs>
          <w:tab w:leader="none" w:pos="1267"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that nothing in this Agreement (including exhibits hereto) alters the nature of Service with Partnership or any Affiliate of the Partnership, except that from and after the date hereof, the Participant shall be treated as a partner in the Partnership for U.S. federal income tax purposes. The Participant acknowledges having been afforded a reasonable opportunity to consult with financial or legal advisors regarding the consequences of Participant’s acceptance of the grant on the terms and conditions set forth in this Agreement.</w:t>
      </w:r>
    </w:p>
    <w:p>
      <w:pPr>
        <w:spacing w:after="0" w:line="165" w:lineRule="exact"/>
        <w:rPr>
          <w:rFonts w:ascii="Times New Roman" w:cs="Times New Roman" w:eastAsia="Times New Roman" w:hAnsi="Times New Roman"/>
          <w:sz w:val="21"/>
          <w:szCs w:val="21"/>
          <w:color w:val="auto"/>
        </w:rPr>
      </w:pPr>
    </w:p>
    <w:p>
      <w:pPr>
        <w:jc w:val="both"/>
        <w:ind w:firstLine="642"/>
        <w:spacing w:after="0" w:line="266" w:lineRule="auto"/>
        <w:tabs>
          <w:tab w:leader="none" w:pos="1269"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Participant hereby represents and warrants to the Partnership that the Participant either (i) is not a married individual or (ii) has caused the Participant’s spouse to execute and deliver to the Partnership the Spousal Consent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If the spouse of the Participant fails to execute the Spousal Consent, such Participant’s Class B Units shall be subject to forfeiture without consideration upon written notice from the Partnership.</w:t>
      </w:r>
    </w:p>
    <w:p>
      <w:pPr>
        <w:spacing w:after="0" w:line="161" w:lineRule="exact"/>
        <w:rPr>
          <w:rFonts w:ascii="Times New Roman" w:cs="Times New Roman" w:eastAsia="Times New Roman" w:hAnsi="Times New Roman"/>
          <w:sz w:val="21"/>
          <w:szCs w:val="21"/>
          <w:color w:val="auto"/>
        </w:rPr>
      </w:pPr>
    </w:p>
    <w:p>
      <w:pPr>
        <w:jc w:val="both"/>
        <w:ind w:firstLine="6"/>
        <w:spacing w:after="0" w:line="267" w:lineRule="auto"/>
        <w:tabs>
          <w:tab w:leader="none" w:pos="63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any of which may be executed and transmitted by facsimile or electronic means (including “pdf”), and each of which will be deemed to be an original, but all of which together will be deemed to be one and the same instrument.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9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day and year first above written.</w:t>
      </w:r>
    </w:p>
    <w:p>
      <w:pPr>
        <w:sectPr>
          <w:pgSz w:w="11900" w:h="16838" w:orient="portrait"/>
          <w:cols w:equalWidth="0" w:num="1">
            <w:col w:w="10000"/>
          </w:cols>
          <w:pgMar w:left="540" w:top="100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TCO Group Holdings, L.P.</w:t>
      </w:r>
    </w:p>
    <w:p>
      <w:pPr>
        <w:spacing w:after="0" w:line="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By TCO Group Holdings, GP, LLC, its</w:t>
      </w:r>
    </w:p>
    <w:p>
      <w:pPr>
        <w:spacing w:after="0" w:line="2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General Partner</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/s/ Andrew Cavanna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-8890</wp:posOffset>
            </wp:positionV>
            <wp:extent cx="15030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1503045" cy="8255"/>
                    </a:xfrm>
                    <a:prstGeom prst="rect">
                      <a:avLst/>
                    </a:prstGeom>
                    <a:noFill/>
                  </pic:spPr>
                </pic:pic>
              </a:graphicData>
            </a:graphic>
          </wp:anchor>
        </w:drawing>
      </w:r>
    </w:p>
    <w:p>
      <w:pPr>
        <w:spacing w:after="0" w:line="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Andrew Cavanna</w:t>
      </w:r>
    </w:p>
    <w:p>
      <w:pPr>
        <w:spacing w:after="0" w:line="200" w:lineRule="exact"/>
        <w:rPr>
          <w:sz w:val="20"/>
          <w:szCs w:val="20"/>
          <w:color w:val="auto"/>
        </w:rPr>
      </w:pPr>
    </w:p>
    <w:p>
      <w:pPr>
        <w:spacing w:after="0" w:line="35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Participant:</w:t>
      </w:r>
    </w:p>
    <w:p>
      <w:pPr>
        <w:spacing w:after="0" w:line="13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-8890</wp:posOffset>
            </wp:positionV>
            <wp:extent cx="13912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1391285" cy="8255"/>
                    </a:xfrm>
                    <a:prstGeom prst="rect">
                      <a:avLst/>
                    </a:prstGeom>
                    <a:noFill/>
                  </pic:spPr>
                </pic:pic>
              </a:graphicData>
            </a:graphic>
          </wp:anchor>
        </w:drawing>
      </w:r>
    </w:p>
    <w:p>
      <w:pPr>
        <w:spacing w:after="0" w:line="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Benjamin C. Adams</w:t>
      </w:r>
    </w:p>
    <w:p>
      <w:pPr>
        <w:sectPr>
          <w:pgSz w:w="11900" w:h="16838" w:orient="portrait"/>
          <w:cols w:equalWidth="0" w:num="1">
            <w:col w:w="10000"/>
          </w:cols>
          <w:pgMar w:left="540" w:top="1000" w:right="1359"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1"/>
          <w:szCs w:val="21"/>
          <w:color w:val="auto"/>
        </w:rPr>
        <w:t>SCHEDULE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VESTING SCHEDULE</w:t>
      </w:r>
    </w:p>
    <w:p>
      <w:pPr>
        <w:spacing w:after="0" w:line="240" w:lineRule="exact"/>
        <w:rPr>
          <w:sz w:val="20"/>
          <w:szCs w:val="20"/>
          <w:color w:val="auto"/>
        </w:rPr>
      </w:pPr>
    </w:p>
    <w:p>
      <w:pPr>
        <w:ind w:right="80" w:firstLine="636"/>
        <w:spacing w:after="0" w:line="267" w:lineRule="auto"/>
        <w:rPr>
          <w:sz w:val="20"/>
          <w:szCs w:val="20"/>
          <w:color w:val="auto"/>
        </w:rPr>
      </w:pPr>
      <w:r>
        <w:rPr>
          <w:rFonts w:ascii="Times New Roman" w:cs="Times New Roman" w:eastAsia="Times New Roman" w:hAnsi="Times New Roman"/>
          <w:sz w:val="21"/>
          <w:szCs w:val="21"/>
          <w:color w:val="auto"/>
        </w:rPr>
        <w:t xml:space="preserve">The Class B Units shall become Vested in accordance with the vesting schedule set forth on this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All capitalized terms used in this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unless separately defined herein, have the meanings set forth in the Agreement to which this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is attached or, if not defined in such Agreement, in the Plan.</w:t>
      </w:r>
    </w:p>
    <w:p>
      <w:pPr>
        <w:spacing w:after="0" w:line="400" w:lineRule="exact"/>
        <w:rPr>
          <w:sz w:val="20"/>
          <w:szCs w:val="20"/>
          <w:color w:val="auto"/>
        </w:rPr>
      </w:pPr>
    </w:p>
    <w:p>
      <w:pPr>
        <w:jc w:val="both"/>
        <w:ind w:firstLine="6"/>
        <w:spacing w:after="0" w:line="266" w:lineRule="auto"/>
        <w:tabs>
          <w:tab w:leader="none" w:pos="63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Time-Based Units</w:t>
      </w:r>
      <w:r>
        <w:rPr>
          <w:rFonts w:ascii="Times New Roman" w:cs="Times New Roman" w:eastAsia="Times New Roman" w:hAnsi="Times New Roman"/>
          <w:sz w:val="21"/>
          <w:szCs w:val="21"/>
          <w:color w:val="auto"/>
        </w:rPr>
        <w:t>. One-third (33.33%) of the Class B Units subject to this Award (the “</w:t>
      </w:r>
      <w:r>
        <w:rPr>
          <w:rFonts w:ascii="Times New Roman" w:cs="Times New Roman" w:eastAsia="Times New Roman" w:hAnsi="Times New Roman"/>
          <w:sz w:val="21"/>
          <w:szCs w:val="21"/>
          <w:u w:val="single" w:color="auto"/>
          <w:color w:val="auto"/>
        </w:rPr>
        <w:t>Time-Based Units</w:t>
      </w:r>
      <w:r>
        <w:rPr>
          <w:rFonts w:ascii="Times New Roman" w:cs="Times New Roman" w:eastAsia="Times New Roman" w:hAnsi="Times New Roman"/>
          <w:sz w:val="21"/>
          <w:szCs w:val="21"/>
          <w:color w:val="auto"/>
        </w:rPr>
        <w:t>”) shall be eligible to vest over a period of three years from the Grant Date (the “</w:t>
      </w:r>
      <w:r>
        <w:rPr>
          <w:rFonts w:ascii="Times New Roman" w:cs="Times New Roman" w:eastAsia="Times New Roman" w:hAnsi="Times New Roman"/>
          <w:sz w:val="21"/>
          <w:szCs w:val="21"/>
          <w:u w:val="single" w:color="auto"/>
          <w:color w:val="auto"/>
        </w:rPr>
        <w:t>Vesting Commencement Date</w:t>
      </w:r>
      <w:r>
        <w:rPr>
          <w:rFonts w:ascii="Times New Roman" w:cs="Times New Roman" w:eastAsia="Times New Roman" w:hAnsi="Times New Roman"/>
          <w:sz w:val="21"/>
          <w:szCs w:val="21"/>
          <w:color w:val="auto"/>
        </w:rPr>
        <w:t xml:space="preserve">”) as follows, in each case,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Participant remains in continuous Service through the applicable vesting date and, in each case, rounded down to the nearest whole Class B Unit, with any fractional Class B Units carried over to the next vesting 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20" w:type="dxa"/>
            <w:vAlign w:val="bottom"/>
          </w:tcPr>
          <w:p>
            <w:pPr>
              <w:spacing w:after="0"/>
              <w:rPr>
                <w:sz w:val="24"/>
                <w:szCs w:val="24"/>
                <w:color w:val="auto"/>
              </w:rPr>
            </w:pPr>
          </w:p>
        </w:tc>
        <w:tc>
          <w:tcPr>
            <w:tcW w:w="2620" w:type="dxa"/>
            <w:vAlign w:val="bottom"/>
          </w:tcPr>
          <w:p>
            <w:pPr>
              <w:jc w:val="center"/>
              <w:ind w:left="14"/>
              <w:spacing w:after="0"/>
              <w:rPr>
                <w:sz w:val="20"/>
                <w:szCs w:val="20"/>
                <w:color w:val="auto"/>
              </w:rPr>
            </w:pPr>
            <w:r>
              <w:rPr>
                <w:rFonts w:ascii="Times New Roman" w:cs="Times New Roman" w:eastAsia="Times New Roman" w:hAnsi="Times New Roman"/>
                <w:sz w:val="21"/>
                <w:szCs w:val="21"/>
                <w:b w:val="1"/>
                <w:bCs w:val="1"/>
                <w:color w:val="auto"/>
              </w:rPr>
              <w:t>Cumulative</w:t>
            </w:r>
          </w:p>
        </w:tc>
        <w:tc>
          <w:tcPr>
            <w:tcW w:w="6100" w:type="dxa"/>
            <w:vAlign w:val="bottom"/>
          </w:tcPr>
          <w:p>
            <w:pPr>
              <w:spacing w:after="0"/>
              <w:rPr>
                <w:sz w:val="24"/>
                <w:szCs w:val="24"/>
                <w:color w:val="auto"/>
              </w:rPr>
            </w:pPr>
          </w:p>
        </w:tc>
      </w:tr>
      <w:tr>
        <w:trPr>
          <w:trHeight w:val="318"/>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b w:val="1"/>
                <w:bCs w:val="1"/>
                <w:color w:val="auto"/>
              </w:rPr>
              <w:t>Percentage of</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Percentage of</w:t>
            </w:r>
          </w:p>
        </w:tc>
        <w:tc>
          <w:tcPr>
            <w:tcW w:w="6100" w:type="dxa"/>
            <w:vAlign w:val="bottom"/>
          </w:tcPr>
          <w:p>
            <w:pPr>
              <w:spacing w:after="0"/>
              <w:rPr>
                <w:sz w:val="24"/>
                <w:szCs w:val="24"/>
                <w:color w:val="auto"/>
              </w:rPr>
            </w:pPr>
          </w:p>
        </w:tc>
      </w:tr>
      <w:tr>
        <w:trPr>
          <w:trHeight w:val="372"/>
        </w:trPr>
        <w:tc>
          <w:tcPr>
            <w:tcW w:w="25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21"/>
                <w:szCs w:val="21"/>
                <w:b w:val="1"/>
                <w:bCs w:val="1"/>
                <w:color w:val="auto"/>
                <w:w w:val="99"/>
              </w:rPr>
              <w:t>Time-Vesting Units</w:t>
            </w:r>
          </w:p>
        </w:tc>
        <w:tc>
          <w:tcPr>
            <w:tcW w:w="262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21"/>
                <w:szCs w:val="21"/>
                <w:b w:val="1"/>
                <w:bCs w:val="1"/>
                <w:color w:val="auto"/>
                <w:w w:val="99"/>
              </w:rPr>
              <w:t>Time-Vesting Units</w:t>
            </w:r>
          </w:p>
        </w:tc>
        <w:tc>
          <w:tcPr>
            <w:tcW w:w="61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21"/>
                <w:szCs w:val="21"/>
                <w:b w:val="1"/>
                <w:bCs w:val="1"/>
                <w:color w:val="auto"/>
              </w:rPr>
              <w:t>Time Vesting Schedule</w:t>
            </w:r>
          </w:p>
        </w:tc>
      </w:tr>
      <w:tr>
        <w:trPr>
          <w:trHeight w:val="245"/>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color w:val="auto"/>
              </w:rPr>
              <w:t>33.33%</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33.33%</w:t>
            </w:r>
          </w:p>
        </w:tc>
        <w:tc>
          <w:tcPr>
            <w:tcW w:w="61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One-year anniversary of the Vesting Commencement Date</w:t>
            </w:r>
          </w:p>
        </w:tc>
      </w:tr>
      <w:tr>
        <w:trPr>
          <w:trHeight w:val="265"/>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color w:val="auto"/>
              </w:rPr>
              <w:t>33.33%</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66.66%</w:t>
            </w:r>
          </w:p>
        </w:tc>
        <w:tc>
          <w:tcPr>
            <w:tcW w:w="61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Two-year anniversary of the Vesting Commencement Date</w:t>
            </w:r>
          </w:p>
        </w:tc>
      </w:tr>
      <w:tr>
        <w:trPr>
          <w:trHeight w:val="277"/>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color w:val="auto"/>
              </w:rPr>
              <w:t>33.34%</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100%</w:t>
            </w:r>
          </w:p>
        </w:tc>
        <w:tc>
          <w:tcPr>
            <w:tcW w:w="61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Three-year anniversary of the Vesting Commencement Date</w:t>
            </w:r>
          </w:p>
        </w:tc>
      </w:tr>
    </w:tbl>
    <w:p>
      <w:pPr>
        <w:spacing w:after="0" w:line="200" w:lineRule="exact"/>
        <w:rPr>
          <w:sz w:val="20"/>
          <w:szCs w:val="20"/>
          <w:color w:val="auto"/>
        </w:rPr>
      </w:pP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Notwithstanding the foregoing, in the event that the Participant’s Service is terminated without Cause or due to the Participant’s death or Disability, or if the Participant resigns for Good Reason (each, as defined in the Employment Agreement) (in each case pursuant to the terms of the Employment Agreement) prior to the one-year anniversary of the Vesting Commencement Date (the date of such termination, the “</w:t>
      </w:r>
      <w:r>
        <w:rPr>
          <w:rFonts w:ascii="Times New Roman" w:cs="Times New Roman" w:eastAsia="Times New Roman" w:hAnsi="Times New Roman"/>
          <w:sz w:val="21"/>
          <w:szCs w:val="21"/>
          <w:u w:val="single" w:color="auto"/>
          <w:color w:val="auto"/>
        </w:rPr>
        <w:t>Year 1 Termination Date</w:t>
      </w:r>
      <w:r>
        <w:rPr>
          <w:rFonts w:ascii="Times New Roman" w:cs="Times New Roman" w:eastAsia="Times New Roman" w:hAnsi="Times New Roman"/>
          <w:sz w:val="21"/>
          <w:szCs w:val="21"/>
          <w:color w:val="auto"/>
        </w:rPr>
        <w:t>”), the percentage of the Time-Based Units that shall vest will be equal to the product of (I) (A) the number of calendar days between the Vesting Commencement Date and the Year 1 Termination Date, divided by (B) 365, and (II) 33.33%, rounded down to the nearest whole Class B Unit.</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In the event of a Change of Control, all Time-Based Units that are then outstanding and Unvested shall automatically become Vested upon the consummation of such Change of Control, subject to the Participant’s continued Service through such Change of Control. If a Time-Based Unit would not be entitled to receive any distributions at the time of a Change of Control if all the assets of the Partnership were then sold at Fair Market Value and then the proceeds were distributed in a complete liquidation of the Partnership in accordance with Section 4.1 of the LP Agreement and the provisions of this Agreement, such Time-Based Unit will be immediately and</w:t>
      </w:r>
    </w:p>
    <w:p>
      <w:pPr>
        <w:sectPr>
          <w:pgSz w:w="11900" w:h="16838" w:orient="portrait"/>
          <w:cols w:equalWidth="0" w:num="1">
            <w:col w:w="11240"/>
          </w:cols>
          <w:pgMar w:left="320" w:top="1000" w:right="339" w:bottom="1440" w:gutter="0" w:footer="0" w:header="0"/>
        </w:sectPr>
      </w:pPr>
    </w:p>
    <w:bookmarkStart w:id="139" w:name="page140"/>
    <w:bookmarkEnd w:id="139"/>
    <w:p>
      <w:pPr>
        <w:spacing w:after="0" w:line="285" w:lineRule="auto"/>
        <w:rPr>
          <w:sz w:val="20"/>
          <w:szCs w:val="20"/>
          <w:color w:val="auto"/>
        </w:rPr>
      </w:pPr>
      <w:r>
        <w:rPr>
          <w:rFonts w:ascii="Times New Roman" w:cs="Times New Roman" w:eastAsia="Times New Roman" w:hAnsi="Times New Roman"/>
          <w:sz w:val="21"/>
          <w:szCs w:val="21"/>
          <w:color w:val="auto"/>
        </w:rPr>
        <w:t>automatically canceled and terminated upon the consummation of the Change of Control, without payment of any consideration and without any action on the part of the Participant.</w:t>
      </w:r>
    </w:p>
    <w:p>
      <w:pPr>
        <w:spacing w:after="0" w:line="15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1"/>
          <w:szCs w:val="21"/>
          <w:color w:val="auto"/>
        </w:rPr>
        <w:t xml:space="preserve">For the avoidance of doubt, in no event will more than 100% of the Time-Based Units (representing 33.33% of the Class B Units subject to this Award) vest pursuant to this </w:t>
      </w:r>
      <w:r>
        <w:rPr>
          <w:rFonts w:ascii="Times New Roman" w:cs="Times New Roman" w:eastAsia="Times New Roman" w:hAnsi="Times New Roman"/>
          <w:sz w:val="21"/>
          <w:szCs w:val="21"/>
          <w:u w:val="single" w:color="auto"/>
          <w:color w:val="auto"/>
        </w:rPr>
        <w:t>Section A</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6"/>
        <w:spacing w:after="0" w:line="256" w:lineRule="auto"/>
        <w:tabs>
          <w:tab w:leader="none" w:pos="63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Performance-Based Units</w:t>
      </w:r>
      <w:r>
        <w:rPr>
          <w:rFonts w:ascii="Times New Roman" w:cs="Times New Roman" w:eastAsia="Times New Roman" w:hAnsi="Times New Roman"/>
          <w:sz w:val="21"/>
          <w:szCs w:val="21"/>
          <w:color w:val="auto"/>
        </w:rPr>
        <w:t>. Two-third (66.67%) of the Class B Units subject to this Award (the “</w:t>
      </w:r>
      <w:r>
        <w:rPr>
          <w:rFonts w:ascii="Times New Roman" w:cs="Times New Roman" w:eastAsia="Times New Roman" w:hAnsi="Times New Roman"/>
          <w:sz w:val="21"/>
          <w:szCs w:val="21"/>
          <w:u w:val="single" w:color="auto"/>
          <w:color w:val="auto"/>
        </w:rPr>
        <w:t>Performance-Based Units</w:t>
      </w:r>
      <w:r>
        <w:rPr>
          <w:rFonts w:ascii="Times New Roman" w:cs="Times New Roman" w:eastAsia="Times New Roman" w:hAnsi="Times New Roman"/>
          <w:sz w:val="21"/>
          <w:szCs w:val="21"/>
          <w:color w:val="auto"/>
        </w:rPr>
        <w:t>”) shall be eligible to vest (rounded down to the nearest whole Class B Unit) based on Apax Investor’s achievement of the MOIC targets set forth below on a Measurement Date, subject to the Participant’s continued Service through such date. Notwithstanding the foregoing, if the Participant’s Service is terminated without Cause, due to death or Disability, or if the Participant resigns for Good Reason (in each case, as defined in the Employment Agreement), the Performance-Based Units shall remain outstanding for one hundred twenty (120) days following such termination (the “</w:t>
      </w:r>
      <w:r>
        <w:rPr>
          <w:rFonts w:ascii="Times New Roman" w:cs="Times New Roman" w:eastAsia="Times New Roman" w:hAnsi="Times New Roman"/>
          <w:sz w:val="21"/>
          <w:szCs w:val="21"/>
          <w:u w:val="single" w:color="auto"/>
          <w:color w:val="auto"/>
        </w:rPr>
        <w:t>Tail Period</w:t>
      </w:r>
      <w:r>
        <w:rPr>
          <w:rFonts w:ascii="Times New Roman" w:cs="Times New Roman" w:eastAsia="Times New Roman" w:hAnsi="Times New Roman"/>
          <w:sz w:val="21"/>
          <w:szCs w:val="21"/>
          <w:color w:val="auto"/>
        </w:rPr>
        <w:t>”). If a Measurement Date occurs during the Tail Period and the applicable MOIC targets are achieved, the Performance-Based Units shall vest. If no Measurement Date occurs during the Tail Period, or if the applicable MOIC targets are not achieved on such Measurement Date, all outstanding Performance-Based Units shall automatically be forfeited and cancelled without consideration as of the last day of the Tail Period.</w:t>
      </w:r>
    </w:p>
    <w:p>
      <w:pPr>
        <w:spacing w:after="0" w:line="212" w:lineRule="exact"/>
        <w:rPr>
          <w:rFonts w:ascii="Times New Roman" w:cs="Times New Roman" w:eastAsia="Times New Roman" w:hAnsi="Times New Roman"/>
          <w:sz w:val="21"/>
          <w:szCs w:val="21"/>
          <w:color w:val="auto"/>
        </w:rPr>
      </w:pPr>
    </w:p>
    <w:p>
      <w:pPr>
        <w:ind w:firstLine="801"/>
        <w:spacing w:after="0" w:line="285" w:lineRule="auto"/>
        <w:tabs>
          <w:tab w:leader="none" w:pos="12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33.33% of the Performance-Based Units shall vest if the Apax Investor achieves a MOIC equal to 1.04x on a Measurement Date;</w:t>
      </w:r>
    </w:p>
    <w:p>
      <w:pPr>
        <w:spacing w:after="0" w:line="168" w:lineRule="exact"/>
        <w:rPr>
          <w:rFonts w:ascii="Times New Roman" w:cs="Times New Roman" w:eastAsia="Times New Roman" w:hAnsi="Times New Roman"/>
          <w:sz w:val="20"/>
          <w:szCs w:val="20"/>
          <w:color w:val="auto"/>
        </w:rPr>
      </w:pPr>
    </w:p>
    <w:p>
      <w:pPr>
        <w:ind w:firstLine="801"/>
        <w:spacing w:after="0" w:line="298" w:lineRule="auto"/>
        <w:tabs>
          <w:tab w:leader="none" w:pos="126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66.66% of the Performance-Based Units shall vest if the Apax Investor achieves a MOIC equal to 1.36x on a Measurement Date; and</w:t>
      </w:r>
    </w:p>
    <w:p>
      <w:pPr>
        <w:spacing w:after="0" w:line="155" w:lineRule="exact"/>
        <w:rPr>
          <w:rFonts w:ascii="Times New Roman" w:cs="Times New Roman" w:eastAsia="Times New Roman" w:hAnsi="Times New Roman"/>
          <w:sz w:val="20"/>
          <w:szCs w:val="20"/>
          <w:color w:val="auto"/>
        </w:rPr>
      </w:pPr>
    </w:p>
    <w:p>
      <w:pPr>
        <w:ind w:right="20" w:firstLine="801"/>
        <w:spacing w:after="0" w:line="285" w:lineRule="auto"/>
        <w:tabs>
          <w:tab w:leader="none" w:pos="126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100% of the Performance-Based Units shall vest if the Apax Investor achieves a MOIC equal to at least 1.68x on a Measurement Date.</w:t>
      </w:r>
    </w:p>
    <w:p>
      <w:pPr>
        <w:spacing w:after="0" w:line="168" w:lineRule="exact"/>
        <w:rPr>
          <w:rFonts w:ascii="Times New Roman" w:cs="Times New Roman" w:eastAsia="Times New Roman" w:hAnsi="Times New Roman"/>
          <w:sz w:val="20"/>
          <w:szCs w:val="20"/>
          <w:color w:val="auto"/>
        </w:rPr>
      </w:pPr>
    </w:p>
    <w:p>
      <w:pPr>
        <w:jc w:val="both"/>
        <w:ind w:firstLine="801"/>
        <w:spacing w:after="0" w:line="274" w:lineRule="auto"/>
        <w:tabs>
          <w:tab w:leader="none" w:pos="1255"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Performance-Based Units will vest upon a Measurement Date only to the extent the performance targets set forth in </w:t>
      </w:r>
      <w:r>
        <w:rPr>
          <w:rFonts w:ascii="Times New Roman" w:cs="Times New Roman" w:eastAsia="Times New Roman" w:hAnsi="Times New Roman"/>
          <w:sz w:val="21"/>
          <w:szCs w:val="21"/>
          <w:u w:val="single" w:color="auto"/>
          <w:color w:val="auto"/>
        </w:rPr>
        <w:t>Section B</w:t>
      </w:r>
      <w:r>
        <w:rPr>
          <w:rFonts w:ascii="Times New Roman" w:cs="Times New Roman" w:eastAsia="Times New Roman" w:hAnsi="Times New Roman"/>
          <w:sz w:val="21"/>
          <w:szCs w:val="21"/>
          <w:color w:val="auto"/>
        </w:rPr>
        <w:t xml:space="preserve"> are achieved on such Measurement Date. For the avoidance of doubt, none of the Performance-Based Units shall vest if the Apax Investor achieves a MOIC less than 1.04x on a Measurement Date.</w:t>
      </w:r>
    </w:p>
    <w:p>
      <w:pPr>
        <w:spacing w:after="0" w:line="179" w:lineRule="exact"/>
        <w:rPr>
          <w:rFonts w:ascii="Times New Roman" w:cs="Times New Roman" w:eastAsia="Times New Roman" w:hAnsi="Times New Roman"/>
          <w:sz w:val="20"/>
          <w:szCs w:val="20"/>
          <w:color w:val="auto"/>
        </w:rPr>
      </w:pPr>
    </w:p>
    <w:p>
      <w:pPr>
        <w:jc w:val="both"/>
        <w:ind w:firstLine="801"/>
        <w:spacing w:after="0" w:line="259" w:lineRule="auto"/>
        <w:tabs>
          <w:tab w:leader="none" w:pos="1252"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Any Performance-Based Units that do not become Vested upon a Change of Control shall be forfeited for no consideration payable to the Participant upon the consummation of such Change of Control. If any Performance-Based Unit would not be entitled to receive any distributions at the time of a Change of Control if all the assets of the Partnership were then sold at Fair Market Value and then the proceeds were distributed in a complete liquidation of the Partnership in accordance with Section 4.1 of the LP Agreement and the provisions of this Agreement, such Performance-Based Unit will be immediately and automatically canceled and</w:t>
      </w:r>
    </w:p>
    <w:p>
      <w:pPr>
        <w:sectPr>
          <w:pgSz w:w="11900" w:h="16838" w:orient="portrait"/>
          <w:cols w:equalWidth="0" w:num="1">
            <w:col w:w="11240"/>
          </w:cols>
          <w:pgMar w:left="320" w:top="1000" w:right="339" w:bottom="1440" w:gutter="0" w:footer="0" w:header="0"/>
        </w:sectPr>
      </w:pPr>
    </w:p>
    <w:bookmarkStart w:id="140" w:name="page141"/>
    <w:bookmarkEnd w:id="140"/>
    <w:p>
      <w:pPr>
        <w:jc w:val="both"/>
        <w:spacing w:after="0" w:line="285" w:lineRule="auto"/>
        <w:rPr>
          <w:sz w:val="20"/>
          <w:szCs w:val="20"/>
          <w:color w:val="auto"/>
        </w:rPr>
      </w:pPr>
      <w:r>
        <w:rPr>
          <w:rFonts w:ascii="Times New Roman" w:cs="Times New Roman" w:eastAsia="Times New Roman" w:hAnsi="Times New Roman"/>
          <w:sz w:val="21"/>
          <w:szCs w:val="21"/>
          <w:color w:val="auto"/>
        </w:rPr>
        <w:t>terminated upon the consummation of the Change of Control, without payment of any consideration and without any action on the part of the Participant.</w:t>
      </w:r>
    </w:p>
    <w:p>
      <w:pPr>
        <w:spacing w:after="0" w:line="18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 xml:space="preserve">For the avoidance of doubt, in no event will more than 100% of the Performance-Based Units (representing 66.67% of the Class B Units subject to this Award) vest pursuant to this </w:t>
      </w:r>
      <w:r>
        <w:rPr>
          <w:rFonts w:ascii="Times New Roman" w:cs="Times New Roman" w:eastAsia="Times New Roman" w:hAnsi="Times New Roman"/>
          <w:sz w:val="21"/>
          <w:szCs w:val="21"/>
          <w:u w:val="single" w:color="auto"/>
          <w:color w:val="auto"/>
        </w:rPr>
        <w:t>Section B</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Wind-Up</w:t>
      </w:r>
      <w:r>
        <w:rPr>
          <w:rFonts w:ascii="Times New Roman" w:cs="Times New Roman" w:eastAsia="Times New Roman" w:hAnsi="Times New Roman"/>
          <w:sz w:val="21"/>
          <w:szCs w:val="21"/>
          <w:color w:val="auto"/>
        </w:rPr>
        <w:t xml:space="preserve">. All Class B Units subject to this Award that have not fully Vested in accordance with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and each Class B Unit subject to this Award (whether or not Vested) that would not be entitled to receive any distributions as of the Wind-Up Date if all the assets of the Partnership were then sold at Fair Market Value and then the proceeds were distributed in a complete liquidation of the Partnership in accordance with Section 4.1 of the LP Agreement and the provisions of this Agreement, will be immediately and automatically canceled and terminated on the Wind-Up Date, without payment of any consideration and without any action on the part of the Participant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000" w:right="339" w:bottom="1440" w:gutter="0" w:footer="0" w:header="0"/>
        </w:sectPr>
      </w:pPr>
    </w:p>
    <w:bookmarkStart w:id="141" w:name="page142"/>
    <w:bookmarkEnd w:id="141"/>
    <w:p>
      <w:pPr>
        <w:ind w:left="506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1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ELECTION TO INCLUDE IN GROSS INCOME</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 YEAR OF TRANSFER OF PROPERTY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PURSUANT TO SECTION 83(B) 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INTERNAL REVENUE CODE</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color w:val="auto"/>
        </w:rPr>
        <w:t>The undersigned taxpayer hereby elects, pursuant to Section 83(b) of the Internal Revenue Code of 1986, as amended, to include in gross income as compensation for services the excess (if any) of the fair market value of the property described below over the amount paid for such property.</w:t>
      </w:r>
    </w:p>
    <w:p>
      <w:pPr>
        <w:spacing w:after="0" w:line="180" w:lineRule="exact"/>
        <w:rPr>
          <w:sz w:val="20"/>
          <w:szCs w:val="20"/>
          <w:color w:val="auto"/>
        </w:rPr>
      </w:pPr>
    </w:p>
    <w:p>
      <w:pPr>
        <w:ind w:right="3560" w:firstLine="6"/>
        <w:spacing w:after="0" w:line="285" w:lineRule="auto"/>
        <w:tabs>
          <w:tab w:leader="none" w:pos="36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taxpayer identification number, address of the undersigned, and the taxable year for which this election is being made are:</w:t>
      </w:r>
    </w:p>
    <w:p>
      <w:pPr>
        <w:spacing w:after="0" w:line="16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-8890</wp:posOffset>
            </wp:positionV>
            <wp:extent cx="9423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-8890</wp:posOffset>
            </wp:positionV>
            <wp:extent cx="9759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975995" cy="8255"/>
                    </a:xfrm>
                    <a:prstGeom prst="rect">
                      <a:avLst/>
                    </a:prstGeom>
                    <a:noFill/>
                  </pic:spPr>
                </pic:pic>
              </a:graphicData>
            </a:graphic>
          </wp:anchor>
        </w:drawing>
        <w:drawing>
          <wp:anchor simplePos="0" relativeHeight="251657728" behindDoc="1" locked="0" layoutInCell="0" allowOverlap="1">
            <wp:simplePos x="0" y="0"/>
            <wp:positionH relativeFrom="column">
              <wp:posOffset>710565</wp:posOffset>
            </wp:positionH>
            <wp:positionV relativeFrom="paragraph">
              <wp:posOffset>301625</wp:posOffset>
            </wp:positionV>
            <wp:extent cx="12452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-8890</wp:posOffset>
            </wp:positionV>
            <wp:extent cx="6731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673100" cy="8255"/>
                    </a:xfrm>
                    <a:prstGeom prst="rect">
                      <a:avLst/>
                    </a:prstGeom>
                    <a:noFill/>
                  </pic:spPr>
                </pic:pic>
              </a:graphicData>
            </a:graphic>
          </wp:anchor>
        </w:drawing>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Taxable Year: 2025</w:t>
      </w:r>
    </w:p>
    <w:p>
      <w:pPr>
        <w:spacing w:after="0" w:line="222" w:lineRule="exact"/>
        <w:rPr>
          <w:sz w:val="20"/>
          <w:szCs w:val="20"/>
          <w:color w:val="auto"/>
        </w:rPr>
      </w:pPr>
    </w:p>
    <w:p>
      <w:pPr>
        <w:ind w:firstLine="6"/>
        <w:spacing w:after="0" w:line="285" w:lineRule="auto"/>
        <w:tabs>
          <w:tab w:leader="none" w:pos="42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property with respect to which this election is being consists of 1,841,323 unvested Class B Units (the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each of which represents an interest in the profits of TCO Group Holdings, L.P., a Delaware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Units were transferred to the undersigned was September 5, 2025.</w:t>
      </w:r>
    </w:p>
    <w:p>
      <w:pPr>
        <w:spacing w:after="0" w:line="235" w:lineRule="exact"/>
        <w:rPr>
          <w:rFonts w:ascii="Times New Roman" w:cs="Times New Roman" w:eastAsia="Times New Roman" w:hAnsi="Times New Roman"/>
          <w:sz w:val="21"/>
          <w:szCs w:val="21"/>
          <w:color w:val="auto"/>
        </w:rPr>
      </w:pPr>
    </w:p>
    <w:p>
      <w:pPr>
        <w:jc w:val="both"/>
        <w:ind w:firstLine="6"/>
        <w:spacing w:after="0" w:line="267" w:lineRule="auto"/>
        <w:tabs>
          <w:tab w:leader="none" w:pos="39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is subject to service-based and performance-based vesting conditions, in each case, subject to taxpayer’s continued service through the applicable vesting date(s). Upon cessation of the taxpayer’s service, all Units, to the extent not vested, will be forfeited.</w:t>
      </w:r>
    </w:p>
    <w:p>
      <w:pPr>
        <w:spacing w:after="0" w:line="161" w:lineRule="exact"/>
        <w:rPr>
          <w:rFonts w:ascii="Times New Roman" w:cs="Times New Roman" w:eastAsia="Times New Roman" w:hAnsi="Times New Roman"/>
          <w:sz w:val="21"/>
          <w:szCs w:val="21"/>
          <w:color w:val="auto"/>
        </w:rPr>
      </w:pPr>
    </w:p>
    <w:p>
      <w:pPr>
        <w:ind w:firstLine="6"/>
        <w:spacing w:after="0" w:line="285" w:lineRule="auto"/>
        <w:tabs>
          <w:tab w:leader="none" w:pos="3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of the Award at the time of transfer (determined without regard to any restrictions other than those which by their terms will never lapse) is $0.</w:t>
      </w:r>
    </w:p>
    <w:p>
      <w:pPr>
        <w:spacing w:after="0" w:line="155"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paid for the Award by the undersigned was $0.</w:t>
      </w:r>
    </w:p>
    <w:p>
      <w:pPr>
        <w:spacing w:after="0" w:line="222"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to include in gross income is $0.</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The undersigned will file this election with the Internal Revenue Service office with which the taxpayer files his or her annual income tax return not later than 30 days after the date of the transfer of the property. A copy of the election will also be furnished to the Partnership. The undersigned is the person performing the services in connection with which the property was transferred.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-8890</wp:posOffset>
            </wp:positionV>
            <wp:extent cx="5384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996"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1"/>
          <w:szCs w:val="21"/>
          <w:color w:val="auto"/>
        </w:rPr>
        <w:t>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-8890</wp:posOffset>
            </wp:positionV>
            <wp:extent cx="5384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ectPr>
          <w:pgSz w:w="11900" w:h="16838" w:orient="portrait"/>
          <w:cols w:equalWidth="0" w:num="1">
            <w:col w:w="10139"/>
          </w:cols>
          <w:pgMar w:left="320" w:top="1252" w:right="1440" w:bottom="1440" w:gutter="0" w:footer="0" w:header="0"/>
        </w:sectPr>
      </w:pPr>
    </w:p>
    <w:bookmarkStart w:id="143" w:name="page144"/>
    <w:bookmarkEnd w:id="143"/>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SPOUSAL CONSENT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undersigned represents that the undersigned is the spouse of:</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Benjamin C. Adams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and that the undersigned is familiar with the terms of the Award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executed by the Participant dated as of September 5, 2025, as well as the Plan and the LP Agreement referred to therein. The undersigned is aware that the Agreement, the Plan and LP Agreement provide, among other things, certain restrictions on transfer, certain forced sale and certain buyback rights relating to Participant’s Class B Units. The undersigned hereby agrees that the interest of the undersigned’s spouse in all property which is the subject of the Agreement shall be irrevocably bound by the terms of the Agreement and by any amendment, modification, waiver or termination signed by the undersigned’s spouse. The undersigned further agrees that the undersigned’s community property interest in all property which is the subject of the Agreement shall be irrevocably bound by the terms of the Agreement, and that the Agreement shall be binding on the executors, administrators, heirs and assigns of the undersigned. The undersigned further authorizes the undersigned’s spouse to amend, modify or terminate the Agreement, or waive any rights thereunder, and that each such amendment, modification, waiver or termination signed by the undersigned’s spouse shall be binding on the community property interest of undersigned in all property which is the subject of such Agreement and on the executors, administrators, heirs and assigns of the undersigned, each as fully as if the undersigned had signed such amendment, modification, waiver or termination.</w:t>
      </w: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Executed as of the ____ day of _____________, 2025.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____________________________</w:t>
      </w:r>
    </w:p>
    <w:p>
      <w:pPr>
        <w:sectPr>
          <w:pgSz w:w="11900" w:h="16838" w:orient="portrait"/>
          <w:cols w:equalWidth="0" w:num="1">
            <w:col w:w="11240"/>
          </w:cols>
          <w:pgMar w:left="320" w:top="1440"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253"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when used with reference to another Person means any Person, directly or indirectly, through one or more intermediaries, controlling, controlled by, or under common control with, such other Person.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Apax Investor</w:t>
      </w:r>
      <w:r>
        <w:rPr>
          <w:rFonts w:ascii="Times New Roman" w:cs="Times New Roman" w:eastAsia="Times New Roman" w:hAnsi="Times New Roman"/>
          <w:sz w:val="21"/>
          <w:szCs w:val="21"/>
          <w:color w:val="auto"/>
        </w:rPr>
        <w:t>” means Ignite Aggregator LP (together with its permitted transferees (as set forth in the LP Agreement)).</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means (a) the sale of all or substantially all of the assets of the Partnership and its subsidiaries (as set forth in the LP Agreement) on a consolidated basis to a Person, or group of Persons acting in concert, who are Independent Third Parties,</w:t>
      </w:r>
    </w:p>
    <w:p>
      <w:pPr>
        <w:jc w:val="both"/>
        <w:ind w:firstLine="6"/>
        <w:spacing w:after="0" w:line="255" w:lineRule="auto"/>
        <w:tabs>
          <w:tab w:leader="none" w:pos="31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merger, reorganization, consolidation or other similar corporate transaction in which the outstanding voting securities (as set forth in the LP Agreement) of the Partnership are exchanged for securities of the successor entity and, immediately after such transaction, a Person or group of Persons acting in concert, who are Independent Third Parties, beneficially own a majority of the outstanding voting securities, and rights to the majority of the residual economic interests in the common equity, of the successor entity (or a parent entity thereof), or (c) the acquisition (whether by sale, merger or otherwise) of a majority of the outstanding voting securities, and rights to the majority of the residual economic interests in the common equity, of the Partnership by a Person, or group of Persons acting in concert, who are Independent Third Parties. For the sake of clarity, in no event will a transaction be a Change of Control if either Sponsor Investor or its Affiliates continue to control or jointly control the Partnership or its subsidiaries.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Securities</w:t>
      </w:r>
      <w:r>
        <w:rPr>
          <w:rFonts w:ascii="Times New Roman" w:cs="Times New Roman" w:eastAsia="Times New Roman" w:hAnsi="Times New Roman"/>
          <w:sz w:val="21"/>
          <w:szCs w:val="21"/>
          <w:color w:val="auto"/>
        </w:rPr>
        <w:t>” means, as applicable, (i) any capital stock, partnership or membership interests or other share capital, (ii) any securities directly or indirectly convertible into or exchangeable or exercisable for any capital stock, partnership or membership interests or other share capital or containing any profit participation features, (iii) any rights or options directly or indirectly to subscribe for or to purchase any capital stock, partnership or membership interests, other share capital or securities containing any profit participation features or to subscribe for or to purchase any securities directly or indirectly convertible into or exchangeable or exercisable for any capital stock, partnership or membership interests, other share capital or securities containing any profit participation features, (iv) any share appreciation rights, phantom share rights or other similar rights, or (v) any Equity Securities issued or issuable with respect to any of the securities referred to in clauses (i) through (iv) above in connection with a combination of shares, recapitalization, merger, consolidation or other reorganization.</w:t>
      </w:r>
    </w:p>
    <w:p>
      <w:pPr>
        <w:spacing w:after="0" w:line="21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Third Party</w:t>
      </w:r>
      <w:r>
        <w:rPr>
          <w:rFonts w:ascii="Times New Roman" w:cs="Times New Roman" w:eastAsia="Times New Roman" w:hAnsi="Times New Roman"/>
          <w:sz w:val="21"/>
          <w:szCs w:val="21"/>
          <w:color w:val="auto"/>
        </w:rPr>
        <w:t>” means any Person that, as of the time of determination, is not an Affiliate of the Apax Investor or the WCAS Investor.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Measurement Date</w:t>
      </w:r>
      <w:r>
        <w:rPr>
          <w:rFonts w:ascii="Times New Roman" w:cs="Times New Roman" w:eastAsia="Times New Roman" w:hAnsi="Times New Roman"/>
          <w:sz w:val="21"/>
          <w:szCs w:val="21"/>
          <w:color w:val="auto"/>
        </w:rPr>
        <w:t>” means any date on or after the Grant Date on which Apax Investor receives Apax Returns.</w:t>
      </w:r>
    </w:p>
    <w:p>
      <w:pPr>
        <w:sectPr>
          <w:pgSz w:w="11900" w:h="16838" w:orient="portrait"/>
          <w:cols w:equalWidth="0" w:num="1">
            <w:col w:w="11240"/>
          </w:cols>
          <w:pgMar w:left="320" w:top="1393" w:right="339" w:bottom="1440" w:gutter="0" w:footer="0" w:header="0"/>
        </w:sectPr>
      </w:pPr>
    </w:p>
    <w:bookmarkStart w:id="145" w:name="page146"/>
    <w:bookmarkEnd w:id="145"/>
    <w:p>
      <w:pPr>
        <w:jc w:val="both"/>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 Representative</w:t>
      </w:r>
      <w:r>
        <w:rPr>
          <w:rFonts w:ascii="Times New Roman" w:cs="Times New Roman" w:eastAsia="Times New Roman" w:hAnsi="Times New Roman"/>
          <w:sz w:val="21"/>
          <w:szCs w:val="21"/>
          <w:color w:val="auto"/>
        </w:rPr>
        <w:t>” means TCO Group Holdings GP, LLC and any successor to such Person, or its designee, shall be the “partnership representative” (within the meaning of Code Section 6223(a)) of the Partnership.</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a partnership (including a limited partnership), a corporation, a limited liability company, an association, a joint stock company, a trust, a joint venture, an unincorporated organization, association or other entity or any foreign, United States federal, state, county provincial or local governmental or any subdivision, department, instrumentality, authority, regulatory commission, board, bureau, agency, court, tribunal, arbitral (public or private), judicial, executive or regulatory or administrative body.</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 Provider</w:t>
      </w:r>
      <w:r>
        <w:rPr>
          <w:rFonts w:ascii="Times New Roman" w:cs="Times New Roman" w:eastAsia="Times New Roman" w:hAnsi="Times New Roman"/>
          <w:sz w:val="21"/>
          <w:szCs w:val="21"/>
          <w:color w:val="auto"/>
        </w:rPr>
        <w:t>” means any director, officer, observer, employee, manager, consultant or independent contractor providing services to or for the benefit of the Partnership or any of its subsidiaries (as set forth in the LP Agreement). With respect to any particular Service Provider, as used herein, “Service Provider” shall also include any Person or permitted transferee (as set forth in the LP Agreement) to whom or which the Service Provider has elected Units or other Equity Securities of the Partnership be issued in lieu of such Service Provider directly receiving such Units or other Equity Securities (whether or not such Service Provider holds any Units or other Equity Securities of the Partnership).</w:t>
      </w:r>
    </w:p>
    <w:p>
      <w:pPr>
        <w:spacing w:after="0" w:line="19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Sponsor Investor</w:t>
      </w:r>
      <w:r>
        <w:rPr>
          <w:rFonts w:ascii="Times New Roman" w:cs="Times New Roman" w:eastAsia="Times New Roman" w:hAnsi="Times New Roman"/>
          <w:sz w:val="21"/>
          <w:szCs w:val="21"/>
          <w:color w:val="auto"/>
        </w:rPr>
        <w:t>” means each of the Apax Investor and the WCAS Investor (together with each of their permitted transferees (as set forth in the LP Agreement)).</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WCAS Investor</w:t>
      </w:r>
      <w:r>
        <w:rPr>
          <w:rFonts w:ascii="Times New Roman" w:cs="Times New Roman" w:eastAsia="Times New Roman" w:hAnsi="Times New Roman"/>
          <w:sz w:val="21"/>
          <w:szCs w:val="21"/>
          <w:color w:val="auto"/>
        </w:rPr>
        <w:t>” means, collectively, Welsh, Carson, Anderson &amp; Stowe XII, L.P., Welsh, Carson, Anderson &amp; Stowe XII Delaware, L.P., Welsh, Carson, Anderson &amp; Stowe XII Delaware II, L.P., Welsh, Carson, Anderson &amp; Stowe XII Cayman, L.P., WCAS XII Co-Investors LLC, WCAS Management Corporation and WCAS Co-Invest Holdco, L.P. (together with each of their permitted transferees, as set forth in the LP Agreement).</w:t>
      </w:r>
    </w:p>
    <w:p>
      <w:pPr>
        <w:sectPr>
          <w:pgSz w:w="11900" w:h="16838" w:orient="portrait"/>
          <w:cols w:equalWidth="0" w:num="1">
            <w:col w:w="11240"/>
          </w:cols>
          <w:pgMar w:left="320" w:top="139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1"/>
          <w:szCs w:val="21"/>
          <w:b w:val="1"/>
          <w:bCs w:val="1"/>
          <w:color w:val="auto"/>
        </w:rPr>
        <w:t>TCO GROUP HOLDINGS, L.P.</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INCENTIVE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CLASS B UNIT AWARD AGREEMENT</w:t>
      </w:r>
    </w:p>
    <w:p>
      <w:pPr>
        <w:spacing w:after="0" w:line="2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21"/>
          <w:szCs w:val="21"/>
          <w:color w:val="auto"/>
        </w:rPr>
        <w:t>THIS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evidences an award of Class B Units granted pursuant to the TCO Group Holdings, L.P. Equity Incentive Plan (as from time to time amended and in effect,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on September 5, 2025 (the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and is entered into between TCO Group Holdings, L.P., a Delaware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 and the undersigned Participant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All capitalized terms that are used but not defined in this Agreement (including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attached hereto) have the meanings ascribed to them in the Plan.</w:t>
      </w:r>
    </w:p>
    <w:p>
      <w:pPr>
        <w:spacing w:after="0" w:line="181" w:lineRule="exact"/>
        <w:rPr>
          <w:sz w:val="20"/>
          <w:szCs w:val="20"/>
          <w:color w:val="auto"/>
        </w:rPr>
      </w:pPr>
    </w:p>
    <w:p>
      <w:pPr>
        <w:jc w:val="both"/>
        <w:ind w:firstLine="6"/>
        <w:spacing w:after="0" w:line="261" w:lineRule="auto"/>
        <w:tabs>
          <w:tab w:leader="none" w:pos="63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Subject to the terms and conditions set forth in this Agreement, the Plan and the LP Agreement, the Partnership hereby grants to the Participant on the Grant Date 366,602 Class B Units, each with a Hurdle Amount of $3.68 (this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It is intended that this Award qualify as a “profits interest” for U.S. federal income tax purposes and this Agreement will be interpreted in accordance with that intent.</w:t>
      </w:r>
    </w:p>
    <w:p>
      <w:pPr>
        <w:spacing w:after="0" w:line="168" w:lineRule="exact"/>
        <w:rPr>
          <w:rFonts w:ascii="Times New Roman" w:cs="Times New Roman" w:eastAsia="Times New Roman" w:hAnsi="Times New Roman"/>
          <w:sz w:val="21"/>
          <w:szCs w:val="21"/>
          <w:color w:val="auto"/>
        </w:rPr>
      </w:pPr>
    </w:p>
    <w:p>
      <w:pPr>
        <w:jc w:val="both"/>
        <w:ind w:firstLine="6"/>
        <w:spacing w:after="0" w:line="262" w:lineRule="auto"/>
        <w:tabs>
          <w:tab w:leader="none" w:pos="63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xml:space="preserve"> For purposes of this Agreement, the Class B Units subject to this Award that are or become vested, in each case, in accordance with the provisions of this Agreement, are referred to as “</w:t>
      </w:r>
      <w:r>
        <w:rPr>
          <w:rFonts w:ascii="Times New Roman" w:cs="Times New Roman" w:eastAsia="Times New Roman" w:hAnsi="Times New Roman"/>
          <w:sz w:val="21"/>
          <w:szCs w:val="21"/>
          <w:u w:val="single" w:color="auto"/>
          <w:color w:val="auto"/>
        </w:rPr>
        <w:t>Vested</w:t>
      </w:r>
      <w:r>
        <w:rPr>
          <w:rFonts w:ascii="Times New Roman" w:cs="Times New Roman" w:eastAsia="Times New Roman" w:hAnsi="Times New Roman"/>
          <w:sz w:val="21"/>
          <w:szCs w:val="21"/>
          <w:color w:val="auto"/>
        </w:rPr>
        <w:t>” and the Class B Units subject to this Award that have not become vested in accordance with the provisions of this Agreement are referred to as “</w:t>
      </w:r>
      <w:r>
        <w:rPr>
          <w:rFonts w:ascii="Times New Roman" w:cs="Times New Roman" w:eastAsia="Times New Roman" w:hAnsi="Times New Roman"/>
          <w:sz w:val="21"/>
          <w:szCs w:val="21"/>
          <w:u w:val="single" w:color="auto"/>
          <w:color w:val="auto"/>
        </w:rPr>
        <w:t>Unvested</w:t>
      </w:r>
      <w:r>
        <w:rPr>
          <w:rFonts w:ascii="Times New Roman" w:cs="Times New Roman" w:eastAsia="Times New Roman" w:hAnsi="Times New Roman"/>
          <w:sz w:val="21"/>
          <w:szCs w:val="21"/>
          <w:color w:val="auto"/>
        </w:rPr>
        <w:t xml:space="preserve">”. Class B Units subject to this Award shall vest under this Agreement in accordance with the terms of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attached hereto if, and only if, the Participant remains in Service on the applicable vesting date(s).</w:t>
      </w:r>
    </w:p>
    <w:p>
      <w:pPr>
        <w:spacing w:after="0" w:line="165"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Cessation of Service; Forfeiture</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320" w:firstLine="958"/>
        <w:spacing w:after="0" w:line="257" w:lineRule="auto"/>
        <w:tabs>
          <w:tab w:leader="none" w:pos="1907"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below, if the Participant’s Service ceases for any reason, (i) no additional portion of this Award will become Vested at or after the time of such cessation of Service, (ii) the portion of this Award that is then Unvested will be immediately and automatically forfeited for no consideration payable to the Participant, and (iii) except as provided in this Agreement, the Vested portion of this Award will remain outstanding and subject to the terms and conditions of the Plan, this Agreement and the LP Agreement, including the repurchase provisions set forth in Section 10.1 and Section 10.4 of the LP Agreement. Following the cessation of the Participant’s Service for any reason, the Participant’s retention of the Vested portion of this Award will in all cases be conditioned upon the Participant (or, if applicable, the Participant’s estate or beneficiary) signing and returning to the Partnership (without revoking) a timely and effective general release of claims in a form provided by the Partnership by the deadline specified therein, which in all events shall become effective and irrevocable not later than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calendar day following the date the Participant’s Service ceases.</w:t>
      </w:r>
    </w:p>
    <w:p>
      <w:pPr>
        <w:spacing w:after="0" w:line="96" w:lineRule="exact"/>
        <w:rPr>
          <w:rFonts w:ascii="Times New Roman" w:cs="Times New Roman" w:eastAsia="Times New Roman" w:hAnsi="Times New Roman"/>
          <w:sz w:val="21"/>
          <w:szCs w:val="21"/>
          <w:color w:val="auto"/>
        </w:rPr>
      </w:pPr>
    </w:p>
    <w:p>
      <w:pPr>
        <w:jc w:val="both"/>
        <w:ind w:left="320" w:firstLine="958"/>
        <w:spacing w:after="0" w:line="274" w:lineRule="auto"/>
        <w:tabs>
          <w:tab w:leader="none" w:pos="1905"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 Breach of Restrictive Covenants</w:t>
      </w:r>
      <w:r>
        <w:rPr>
          <w:rFonts w:ascii="Times New Roman" w:cs="Times New Roman" w:eastAsia="Times New Roman" w:hAnsi="Times New Roman"/>
          <w:sz w:val="21"/>
          <w:szCs w:val="21"/>
          <w:color w:val="auto"/>
        </w:rPr>
        <w:t xml:space="preserve">. Notwithstanding anything in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to the contrary, in the event that the Participant’s Service is terminated for Cause (as defined in the Employment Agreement between Total Community Options, Inc., d/b/a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93" w:right="339" w:bottom="1440" w:gutter="0" w:footer="0" w:header="0"/>
        </w:sectPr>
      </w:pPr>
    </w:p>
    <w:bookmarkStart w:id="147" w:name="page148"/>
    <w:bookmarkEnd w:id="147"/>
    <w:p>
      <w:pPr>
        <w:jc w:val="both"/>
        <w:ind w:left="320"/>
        <w:spacing w:after="0" w:line="266" w:lineRule="auto"/>
        <w:rPr>
          <w:sz w:val="20"/>
          <w:szCs w:val="20"/>
          <w:color w:val="auto"/>
        </w:rPr>
      </w:pPr>
      <w:r>
        <w:rPr>
          <w:rFonts w:ascii="Times New Roman" w:cs="Times New Roman" w:eastAsia="Times New Roman" w:hAnsi="Times New Roman"/>
          <w:sz w:val="21"/>
          <w:szCs w:val="21"/>
          <w:color w:val="auto"/>
        </w:rPr>
        <w:t>InnovAge, and the Participant, dated as of November 30, 2021 (as amended from time to time,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(or at a time when the Administrator determines the Partnership or any of its Affiliates could have terminated the Participant’s Service for Cause) or the Participant breaches any Restrictive Covenant (as defined below), all Class B Units subject to this Award (whether Vested or Unvested) will be immediately forfeited for no consideration payable to the Participant.</w:t>
      </w:r>
    </w:p>
    <w:p>
      <w:pPr>
        <w:spacing w:after="0" w:line="162" w:lineRule="exact"/>
        <w:rPr>
          <w:sz w:val="20"/>
          <w:szCs w:val="20"/>
          <w:color w:val="auto"/>
        </w:rPr>
      </w:pPr>
    </w:p>
    <w:p>
      <w:pPr>
        <w:jc w:val="both"/>
        <w:ind w:firstLine="6"/>
        <w:spacing w:after="0" w:line="256" w:lineRule="auto"/>
        <w:tabs>
          <w:tab w:leader="none" w:pos="63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The Participant acknowledges and agrees that the Participant will execute, no later than the date hereof, and shall be bound by, the restrictive covenants set forth in the Employment Agreement, in addition to any confidentiality, non-competition, non-solicitation, no-hire, non-disparagement, invention assignment, cooperation or other similar obligations of the Participant to the Partnership or any of its Affiliates (such obligations, collectively, the “</w:t>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which Restrictive Covenants shall survive any termination, expiration, forfeiture, transfer or other disposition of this Award in accordance with its terms. In addition to any remedies that may be available to the Partnership or any of its Affiliates, the Administrator may cause this Award (whether or not Vested) to be forfeited and the proceeds from the any disposition and/or distributions or other amounts received in respect of this Award to be disgorged to the Partnership, with interest and related earnings, if at any time the Participant is not in compliance with all of the provisions of the Restrictive Covenants.</w:t>
      </w:r>
    </w:p>
    <w:p>
      <w:pPr>
        <w:spacing w:after="0" w:line="172" w:lineRule="exact"/>
        <w:rPr>
          <w:rFonts w:ascii="Times New Roman" w:cs="Times New Roman" w:eastAsia="Times New Roman" w:hAnsi="Times New Roman"/>
          <w:sz w:val="21"/>
          <w:szCs w:val="21"/>
          <w:color w:val="auto"/>
        </w:rPr>
      </w:pPr>
    </w:p>
    <w:p>
      <w:pPr>
        <w:jc w:val="both"/>
        <w:ind w:firstLine="6"/>
        <w:spacing w:after="0" w:line="274" w:lineRule="auto"/>
        <w:tabs>
          <w:tab w:leader="none" w:pos="63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3" w:lineRule="exact"/>
        <w:rPr>
          <w:rFonts w:ascii="Times New Roman" w:cs="Times New Roman" w:eastAsia="Times New Roman" w:hAnsi="Times New Roman"/>
          <w:sz w:val="21"/>
          <w:szCs w:val="21"/>
          <w:color w:val="auto"/>
        </w:rPr>
      </w:pPr>
    </w:p>
    <w:p>
      <w:pPr>
        <w:ind w:firstLine="6"/>
        <w:spacing w:after="0" w:line="285" w:lineRule="auto"/>
        <w:tabs>
          <w:tab w:leader="none" w:pos="63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be binding upon and inure to the benefit of the Partnership and the Participant and their respective heirs, executors, administrators, legal representatives, successors and assigns.</w:t>
      </w:r>
    </w:p>
    <w:p>
      <w:pPr>
        <w:spacing w:after="0" w:line="141" w:lineRule="exact"/>
        <w:rPr>
          <w:rFonts w:ascii="Times New Roman" w:cs="Times New Roman" w:eastAsia="Times New Roman" w:hAnsi="Times New Roman"/>
          <w:sz w:val="21"/>
          <w:szCs w:val="21"/>
          <w:color w:val="auto"/>
        </w:rPr>
      </w:pPr>
    </w:p>
    <w:p>
      <w:pPr>
        <w:ind w:firstLine="6"/>
        <w:spacing w:after="0" w:line="298" w:lineRule="auto"/>
        <w:tabs>
          <w:tab w:leader="none" w:pos="63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Service</w:t>
      </w:r>
      <w:r>
        <w:rPr>
          <w:rFonts w:ascii="Times New Roman" w:cs="Times New Roman" w:eastAsia="Times New Roman" w:hAnsi="Times New Roman"/>
          <w:sz w:val="21"/>
          <w:szCs w:val="21"/>
          <w:color w:val="auto"/>
        </w:rPr>
        <w:t>. Nothing contained in this Agreement shall be construed as giving the Participant any right to be retained, in any position, as an employee or other service provider of the Partnership or any of its Affiliates.</w:t>
      </w:r>
    </w:p>
    <w:p>
      <w:pPr>
        <w:spacing w:after="0" w:line="129"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1278"/>
        <w:spacing w:after="0" w:line="257" w:lineRule="auto"/>
        <w:tabs>
          <w:tab w:leader="none" w:pos="1905"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 under Section 83(b)</w:t>
      </w:r>
      <w:r>
        <w:rPr>
          <w:rFonts w:ascii="Times New Roman" w:cs="Times New Roman" w:eastAsia="Times New Roman" w:hAnsi="Times New Roman"/>
          <w:sz w:val="21"/>
          <w:szCs w:val="21"/>
          <w:color w:val="auto"/>
        </w:rPr>
        <w:t xml:space="preserve">. The Participant shall execute and deliver to the Partnership with a copy of the Election Pursuant to Section 83(b) of the Code,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Election Pursuant to Section 83(b) of the Code shall be filed by the Participant with the appropriate Internal Revenue Service office not later than thirty (30) days after the Grant Date. The Participant should consult the Participant’s tax advisor to determine if there is a comparable election to file in the state of the Participant’s residence and whether such filing is desirable under the circumstances. The Participant acknowledges that it is the sole responsibility of the Participant, and not the Partnership (or its Affiliates or Partnership Representative), to file the election under Section 83(b) of the Code even if the Participant requests that the Partnership (or its Affiliates or Partnership Representative) assist the Participant in making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7" w:right="339" w:bottom="1440" w:gutter="0" w:footer="0" w:header="0"/>
        </w:sectPr>
      </w:pPr>
    </w:p>
    <w:bookmarkStart w:id="148" w:name="page149"/>
    <w:bookmarkEnd w:id="148"/>
    <w:p>
      <w:pPr>
        <w:jc w:val="both"/>
        <w:ind w:firstLine="1278"/>
        <w:spacing w:after="0" w:line="258" w:lineRule="auto"/>
        <w:tabs>
          <w:tab w:leader="none" w:pos="190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Administrator will make such provision for the withholding of taxes and other legally required withholdings as it deems necessary under applicable law or as required under the LP Agreement. Except to the extent the Administrator permits the Participant to pay by other means, the Participant shall remit cash in an amount sufficient to satisfy any such taxes or withholdings at such time as is directed by the Partnership. By signing this Agreement, the Participant authorizes the Partnership and its Affiliates to withhold any taxes and other legally required withholdings that it determines are required from any other compensation paid or payable to the Participant by the Partnership or any of its Affiliates. Any amounts withheld by the Partnership or any of its Affiliates will be treated as if they were directly paid to the Participant.</w:t>
      </w:r>
    </w:p>
    <w:p>
      <w:pPr>
        <w:spacing w:after="0" w:line="170" w:lineRule="exact"/>
        <w:rPr>
          <w:rFonts w:ascii="Times New Roman" w:cs="Times New Roman" w:eastAsia="Times New Roman" w:hAnsi="Times New Roman"/>
          <w:sz w:val="21"/>
          <w:szCs w:val="21"/>
          <w:color w:val="auto"/>
        </w:rPr>
      </w:pPr>
    </w:p>
    <w:p>
      <w:pPr>
        <w:jc w:val="both"/>
        <w:ind w:firstLine="6"/>
        <w:spacing w:after="0" w:line="274" w:lineRule="auto"/>
        <w:tabs>
          <w:tab w:leader="none" w:pos="63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Consultation with Counsel</w:t>
      </w:r>
      <w:r>
        <w:rPr>
          <w:rFonts w:ascii="Times New Roman" w:cs="Times New Roman" w:eastAsia="Times New Roman" w:hAnsi="Times New Roman"/>
          <w:sz w:val="21"/>
          <w:szCs w:val="21"/>
          <w:color w:val="auto"/>
        </w:rPr>
        <w:t>. The Participant hereby acknowledges and represents that the Participant has had the opportunity to consult with independent legal counsel regarding the Participant’s rights and obligations under this Agreement and that the Participant fully understands the terms and conditions contained herein.</w:t>
      </w:r>
    </w:p>
    <w:p>
      <w:pPr>
        <w:spacing w:after="0" w:line="153" w:lineRule="exact"/>
        <w:rPr>
          <w:rFonts w:ascii="Times New Roman" w:cs="Times New Roman" w:eastAsia="Times New Roman" w:hAnsi="Times New Roman"/>
          <w:sz w:val="21"/>
          <w:szCs w:val="21"/>
          <w:color w:val="auto"/>
        </w:rPr>
      </w:pPr>
    </w:p>
    <w:p>
      <w:pPr>
        <w:jc w:val="both"/>
        <w:ind w:firstLine="6"/>
        <w:spacing w:after="0" w:line="261" w:lineRule="auto"/>
        <w:tabs>
          <w:tab w:leader="none" w:pos="63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All notices required or permitted hereunder shall be in writing and deemed effectively given upon personal delivery or upon deposit in the United States Post Office, by registered or certified mail, postage prepaid, addressed to the other party hereto at the address shown beneath their or its respective signature to this Agreement, or at such other address or addresses as either party shall designate to the other in accordance with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w:t>
      </w:r>
    </w:p>
    <w:p>
      <w:pPr>
        <w:spacing w:after="0" w:line="181" w:lineRule="exact"/>
        <w:rPr>
          <w:rFonts w:ascii="Times New Roman" w:cs="Times New Roman" w:eastAsia="Times New Roman" w:hAnsi="Times New Roman"/>
          <w:sz w:val="21"/>
          <w:szCs w:val="21"/>
          <w:color w:val="auto"/>
        </w:rPr>
      </w:pPr>
    </w:p>
    <w:p>
      <w:pPr>
        <w:jc w:val="both"/>
        <w:ind w:firstLine="6"/>
        <w:spacing w:after="0" w:line="267" w:lineRule="auto"/>
        <w:tabs>
          <w:tab w:leader="none" w:pos="62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Unit Certificate Restrictive Legends</w:t>
      </w:r>
      <w:r>
        <w:rPr>
          <w:rFonts w:ascii="Times New Roman" w:cs="Times New Roman" w:eastAsia="Times New Roman" w:hAnsi="Times New Roman"/>
          <w:sz w:val="21"/>
          <w:szCs w:val="21"/>
          <w:color w:val="auto"/>
        </w:rPr>
        <w:t>. Certificated Class B Units evidencing this Award, to the extent such certificates are issued, may bear such restrictive legends as the Partnership and/or the Partnership’s counsel may deem necessary or advisable under applicable law or pursuant to this Agreement, including, without limitation, the following legends:</w:t>
      </w:r>
    </w:p>
    <w:p>
      <w:pPr>
        <w:spacing w:after="0" w:line="161"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1"/>
          <w:szCs w:val="21"/>
          <w:color w:val="auto"/>
        </w:rPr>
        <w:t>“THE UNITS OR OTHER INTERESTS REPRESENTED BY THIS CERTIFICATE WERE ORIGINALLY ISSUED ON SEPTEMBER 5, 2025, HAVE NOT BEEN REGISTERED UNDER THE SECURITIES ACT OF 1933, AS AMENDED (THE “ACT”), OR APPLICABLE STATE SECURITIES LAWS (“STATE ACTS”) AND MAY NOT BE SOLD OR TRANSFERRED IN THE ABSENCE OF AN EFFECTIVE REGISTRATION STATEMENT UNDER THE ACT OR STATE ACTS OR AN EXEMPTION FROM REGISTRATION THEREUNDER. THE TRANSFER OF THE UNITS REPRESENTED BY THIS CERTIFICATE IS SUBJECT TO THE CONDITIONS SPECIFIED IN THE PARTNERSHIP’S SECOND AMENDED AND RESTATED LIMITED PARTNERSHIP AGREEMENT, DATED AS OF MARCH 3, 2021 AS IT MAY BE AMENDED FROM TIME TO TIME, GOVERNING THE ISSUER (THE “PARTNERSHIP”) AND BY AND AMONG THE MEMBERS. A COPY OF SUCH AGREEMENT SHALL BE FURNISHED BY THE PARTNERSHIP TO THE HOLDER HEREOF UPON WRITTEN REQUEST AND WITHOUT CHARGE.”</w:t>
      </w:r>
    </w:p>
    <w:p>
      <w:pPr>
        <w:spacing w:after="0" w:line="170" w:lineRule="exact"/>
        <w:rPr>
          <w:sz w:val="20"/>
          <w:szCs w:val="20"/>
          <w:color w:val="auto"/>
        </w:rPr>
      </w:pPr>
    </w:p>
    <w:p>
      <w:pPr>
        <w:ind w:firstLine="6"/>
        <w:spacing w:after="0" w:line="285" w:lineRule="auto"/>
        <w:tabs>
          <w:tab w:leader="none" w:pos="63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Amendment</w:t>
      </w:r>
      <w:r>
        <w:rPr>
          <w:rFonts w:ascii="Times New Roman" w:cs="Times New Roman" w:eastAsia="Times New Roman" w:hAnsi="Times New Roman"/>
          <w:sz w:val="21"/>
          <w:szCs w:val="21"/>
          <w:color w:val="auto"/>
        </w:rPr>
        <w:t>. This Agreement, the Plan and the LP Agreement constitute the entire agreement between the parties, and supersede all prior and contemporaneous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7" w:right="339" w:bottom="1440" w:gutter="0" w:footer="0" w:header="0"/>
        </w:sectPr>
      </w:pPr>
    </w:p>
    <w:bookmarkStart w:id="149" w:name="page150"/>
    <w:bookmarkEnd w:id="149"/>
    <w:p>
      <w:pPr>
        <w:spacing w:after="0" w:line="285" w:lineRule="auto"/>
        <w:rPr>
          <w:sz w:val="20"/>
          <w:szCs w:val="20"/>
          <w:color w:val="auto"/>
        </w:rPr>
      </w:pPr>
      <w:r>
        <w:rPr>
          <w:rFonts w:ascii="Times New Roman" w:cs="Times New Roman" w:eastAsia="Times New Roman" w:hAnsi="Times New Roman"/>
          <w:sz w:val="21"/>
          <w:szCs w:val="21"/>
          <w:color w:val="auto"/>
        </w:rPr>
        <w:t>agreements and understandings, relating to the subject matter of this Agreement. This Agreement may be amended in accordance with the Plan.</w:t>
      </w:r>
    </w:p>
    <w:p>
      <w:pPr>
        <w:spacing w:after="0" w:line="142" w:lineRule="exact"/>
        <w:rPr>
          <w:sz w:val="20"/>
          <w:szCs w:val="20"/>
          <w:color w:val="auto"/>
        </w:rPr>
      </w:pPr>
    </w:p>
    <w:p>
      <w:pPr>
        <w:jc w:val="both"/>
        <w:ind w:firstLine="6"/>
        <w:spacing w:after="0" w:line="266" w:lineRule="auto"/>
        <w:tabs>
          <w:tab w:leader="none" w:pos="63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construed, interpreted and enforced in accordance with the laws of the State of Delaware, without regard to otherwise governing principles of conflicts of laws. In the event of any alleged breach or threatened breach of this Agreement, the parties hereby consent and submit to the jurisdiction of the federal and state courts in and of the State of Delaware and to service of legal process in the State of Delaware.</w:t>
      </w:r>
    </w:p>
    <w:p>
      <w:pPr>
        <w:spacing w:after="0" w:line="161" w:lineRule="exact"/>
        <w:rPr>
          <w:rFonts w:ascii="Times New Roman" w:cs="Times New Roman" w:eastAsia="Times New Roman" w:hAnsi="Times New Roman"/>
          <w:sz w:val="21"/>
          <w:szCs w:val="21"/>
          <w:color w:val="auto"/>
        </w:rPr>
      </w:pPr>
    </w:p>
    <w:p>
      <w:pPr>
        <w:jc w:val="both"/>
        <w:ind w:firstLine="6"/>
        <w:spacing w:after="0" w:line="256" w:lineRule="auto"/>
        <w:tabs>
          <w:tab w:leader="none" w:pos="63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 of Attorney</w:t>
      </w:r>
      <w:r>
        <w:rPr>
          <w:rFonts w:ascii="Times New Roman" w:cs="Times New Roman" w:eastAsia="Times New Roman" w:hAnsi="Times New Roman"/>
          <w:sz w:val="21"/>
          <w:szCs w:val="21"/>
          <w:color w:val="auto"/>
        </w:rPr>
        <w:t>. The Participant hereby irrevocably constitutes and appoints each of the Partnership and any of its officers with full power of substitution, acting jointly or severally, as its attorney-in-fact and agent to sign, execute and deliver, in its name and on its behalf, all or any such agreement, deeds, instruments, documents and/or any counterpart thereof or certificates or to take any such action as it deems necessary from time to time or as is required under any applicable law to admit the Participant as a member of the Partnership or to conduct the affairs of the Partnership, including (without limitation) the power and authority to sign, execute and deliver (or attach signature pages to) (i) the LP Agreement; (ii) any amendment to the LP Agreement adopted in accordance with its terms; and (iii) all documentation associated with the repurchase of any Class B Units pursuant to Section 10 of the LP Agreement. This power of attorney is given to secure the obligations of the Participant hereunder and deemed coupled with an interest of the Partnership and is irrevocable. The Participant shall, as a condition to the issuance of this Award hereunder, execute and deliver to the Partnership a signature page to the LP Agreement, agreeing to be bound by the terms thereof as a “Management Investor” thereunder with respect to the Class B Units subject to this Award.</w:t>
      </w:r>
    </w:p>
    <w:p>
      <w:pPr>
        <w:spacing w:after="0" w:line="174" w:lineRule="exact"/>
        <w:rPr>
          <w:rFonts w:ascii="Times New Roman" w:cs="Times New Roman" w:eastAsia="Times New Roman" w:hAnsi="Times New Roman"/>
          <w:sz w:val="21"/>
          <w:szCs w:val="21"/>
          <w:color w:val="auto"/>
        </w:rPr>
      </w:pPr>
    </w:p>
    <w:p>
      <w:pPr>
        <w:jc w:val="both"/>
        <w:ind w:firstLine="6"/>
        <w:spacing w:after="0" w:line="258" w:lineRule="auto"/>
        <w:tabs>
          <w:tab w:leader="none" w:pos="63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Distributions</w:t>
      </w:r>
      <w:r>
        <w:rPr>
          <w:rFonts w:ascii="Times New Roman" w:cs="Times New Roman" w:eastAsia="Times New Roman" w:hAnsi="Times New Roman"/>
          <w:sz w:val="21"/>
          <w:szCs w:val="21"/>
          <w:color w:val="auto"/>
        </w:rPr>
        <w:t xml:space="preserve">. The provisions set forth in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are intended to support the treatment of the Class B Units issued pursuant to this Agreement as “profits interests” within the meaning of Revenue Procedures 93-27 and 2001-43; for the avoidance of doubt, the provisions set forth in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are in limitation of the distribution provisions of the LP Agreement and nothing herein shall expand the right to, or increase the amount of, any distributions to be made to the Class B Units. Notwithstanding anything to the contrary, the Class B Units issued pursuant to this Agreement shall represent an interest in future appreciation of the Partnership, and the Administrator shall have the unilateral ability to make necessary adjustments to such Class B Units and/or to limit distributions made in respect of such Class B Units to support the treatment of the Class B Units issued pursuant to this Agreement as “profits interests” within the meaning of Revenue Procedures 93-27 and 2001-43.</w:t>
      </w:r>
    </w:p>
    <w:p>
      <w:pPr>
        <w:spacing w:after="0" w:line="175"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Representations and Acknowledgements of the Participant</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642"/>
        <w:spacing w:after="0" w:line="267" w:lineRule="auto"/>
        <w:tabs>
          <w:tab w:leader="none" w:pos="1269"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represents that the Participant has read the Plan and the LP Agreement and is familiar with their respective terms. The Participant hereby acknowledges that the Participant has carefully read this Agreement and agrees, on behalf of the Participant and on behalf of the Participant’s beneficiaries, estate and permitted assigns, to be bound by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97" w:right="339" w:bottom="1440" w:gutter="0" w:footer="0" w:header="0"/>
        </w:sectPr>
      </w:pPr>
    </w:p>
    <w:bookmarkStart w:id="150" w:name="page151"/>
    <w:bookmarkEnd w:id="150"/>
    <w:p>
      <w:pPr>
        <w:ind w:right="20"/>
        <w:spacing w:after="0" w:line="285" w:lineRule="auto"/>
        <w:rPr>
          <w:sz w:val="20"/>
          <w:szCs w:val="20"/>
          <w:color w:val="auto"/>
        </w:rPr>
      </w:pPr>
      <w:r>
        <w:rPr>
          <w:rFonts w:ascii="Times New Roman" w:cs="Times New Roman" w:eastAsia="Times New Roman" w:hAnsi="Times New Roman"/>
          <w:sz w:val="21"/>
          <w:szCs w:val="21"/>
          <w:color w:val="auto"/>
        </w:rPr>
        <w:t>provisions set forth herein and that the Class B Units subject to this Award are subject to all of the terms and provisions of this Agreement, the Plan and the LP Agreement.</w:t>
      </w:r>
    </w:p>
    <w:p>
      <w:pPr>
        <w:spacing w:after="0" w:line="142" w:lineRule="exact"/>
        <w:rPr>
          <w:sz w:val="20"/>
          <w:szCs w:val="20"/>
          <w:color w:val="auto"/>
        </w:rPr>
      </w:pPr>
    </w:p>
    <w:p>
      <w:pPr>
        <w:jc w:val="both"/>
        <w:ind w:firstLine="642"/>
        <w:spacing w:after="0" w:line="262" w:lineRule="auto"/>
        <w:tabs>
          <w:tab w:leader="none" w:pos="1267"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that nothing in this Agreement (including exhibits hereto) alters the nature of Service with Partnership or any Affiliate of the Partnership, except that from and after the date hereof, the Participant shall be treated as a partner in the Partnership for U.S. federal income tax purposes. The Participant acknowledges having been afforded a reasonable opportunity to consult with financial or legal advisors regarding the consequences of Participant’s acceptance of the grant on the terms and conditions set forth in this Agreement.</w:t>
      </w:r>
    </w:p>
    <w:p>
      <w:pPr>
        <w:spacing w:after="0" w:line="165" w:lineRule="exact"/>
        <w:rPr>
          <w:rFonts w:ascii="Times New Roman" w:cs="Times New Roman" w:eastAsia="Times New Roman" w:hAnsi="Times New Roman"/>
          <w:sz w:val="21"/>
          <w:szCs w:val="21"/>
          <w:color w:val="auto"/>
        </w:rPr>
      </w:pPr>
    </w:p>
    <w:p>
      <w:pPr>
        <w:jc w:val="both"/>
        <w:ind w:firstLine="642"/>
        <w:spacing w:after="0" w:line="266" w:lineRule="auto"/>
        <w:tabs>
          <w:tab w:leader="none" w:pos="1269"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Participant hereby represents and warrants to the Partnership that the Participant either (i) is not a married individual or (ii) has caused the Participant’s spouse to execute and deliver to the Partnership the Spousal Consent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If the spouse of the Participant fails to execute the Spousal Consent, such Participant’s Class B Units shall be subject to forfeiture without consideration upon written notice from the Partnership.</w:t>
      </w:r>
    </w:p>
    <w:p>
      <w:pPr>
        <w:spacing w:after="0" w:line="161" w:lineRule="exact"/>
        <w:rPr>
          <w:rFonts w:ascii="Times New Roman" w:cs="Times New Roman" w:eastAsia="Times New Roman" w:hAnsi="Times New Roman"/>
          <w:sz w:val="21"/>
          <w:szCs w:val="21"/>
          <w:color w:val="auto"/>
        </w:rPr>
      </w:pPr>
    </w:p>
    <w:p>
      <w:pPr>
        <w:jc w:val="both"/>
        <w:ind w:firstLine="6"/>
        <w:spacing w:after="0" w:line="267" w:lineRule="auto"/>
        <w:tabs>
          <w:tab w:leader="none" w:pos="63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any of which may be executed and transmitted by facsimile or electronic means (including “pdf”), and each of which will be deemed to be an original, but all of which together will be deemed to be one and the same instrument.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9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day and year first above written.</w:t>
      </w:r>
    </w:p>
    <w:p>
      <w:pPr>
        <w:sectPr>
          <w:pgSz w:w="11900" w:h="16838" w:orient="portrait"/>
          <w:cols w:equalWidth="0" w:num="1">
            <w:col w:w="10000"/>
          </w:cols>
          <w:pgMar w:left="540" w:top="100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TCO Group Holdings, L.P.</w:t>
      </w:r>
    </w:p>
    <w:p>
      <w:pPr>
        <w:spacing w:after="0" w:line="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By TCO Group Holdings, GP, LLC, its</w:t>
      </w:r>
    </w:p>
    <w:p>
      <w:pPr>
        <w:spacing w:after="0" w:line="2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General Partner</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/s/ Andrew Cavanna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-8890</wp:posOffset>
            </wp:positionV>
            <wp:extent cx="15030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1503045" cy="8255"/>
                    </a:xfrm>
                    <a:prstGeom prst="rect">
                      <a:avLst/>
                    </a:prstGeom>
                    <a:noFill/>
                  </pic:spPr>
                </pic:pic>
              </a:graphicData>
            </a:graphic>
          </wp:anchor>
        </w:drawing>
      </w:r>
    </w:p>
    <w:p>
      <w:pPr>
        <w:spacing w:after="0" w:line="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Andrew Cavanna</w:t>
      </w:r>
    </w:p>
    <w:p>
      <w:pPr>
        <w:spacing w:after="0" w:line="200" w:lineRule="exact"/>
        <w:rPr>
          <w:sz w:val="20"/>
          <w:szCs w:val="20"/>
          <w:color w:val="auto"/>
        </w:rPr>
      </w:pPr>
    </w:p>
    <w:p>
      <w:pPr>
        <w:spacing w:after="0" w:line="35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Participant:</w:t>
      </w:r>
    </w:p>
    <w:p>
      <w:pPr>
        <w:spacing w:after="0" w:line="13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/s/ Nicole D’Amato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-8890</wp:posOffset>
            </wp:positionV>
            <wp:extent cx="12299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Nicole D’Amato</w:t>
      </w:r>
    </w:p>
    <w:p>
      <w:pPr>
        <w:sectPr>
          <w:pgSz w:w="11900" w:h="16838" w:orient="portrait"/>
          <w:cols w:equalWidth="0" w:num="1">
            <w:col w:w="10000"/>
          </w:cols>
          <w:pgMar w:left="540" w:top="1000" w:right="1359" w:bottom="1440"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1"/>
          <w:szCs w:val="21"/>
          <w:color w:val="auto"/>
        </w:rPr>
        <w:t>SCHEDULE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VESTING SCHEDULE</w:t>
      </w:r>
    </w:p>
    <w:p>
      <w:pPr>
        <w:spacing w:after="0" w:line="24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 xml:space="preserve">The Class B Units shall become Vested in accordance with the vesting schedule set forth on this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All capitalized terms used in this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unless separately defined herein, have the meanings set forth in the Agreement to which this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is attached or, if not defined in such Agreement, in the Plan.</w:t>
      </w:r>
    </w:p>
    <w:p>
      <w:pPr>
        <w:spacing w:after="0" w:line="400" w:lineRule="exact"/>
        <w:rPr>
          <w:sz w:val="20"/>
          <w:szCs w:val="20"/>
          <w:color w:val="auto"/>
        </w:rPr>
      </w:pPr>
    </w:p>
    <w:p>
      <w:pPr>
        <w:jc w:val="both"/>
        <w:ind w:firstLine="6"/>
        <w:spacing w:after="0" w:line="266" w:lineRule="auto"/>
        <w:tabs>
          <w:tab w:leader="none" w:pos="63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Time-Based Units</w:t>
      </w:r>
      <w:r>
        <w:rPr>
          <w:rFonts w:ascii="Times New Roman" w:cs="Times New Roman" w:eastAsia="Times New Roman" w:hAnsi="Times New Roman"/>
          <w:sz w:val="21"/>
          <w:szCs w:val="21"/>
          <w:color w:val="auto"/>
        </w:rPr>
        <w:t>. One-third (33.33%) of the Class B Units subject to this Award (the “</w:t>
      </w:r>
      <w:r>
        <w:rPr>
          <w:rFonts w:ascii="Times New Roman" w:cs="Times New Roman" w:eastAsia="Times New Roman" w:hAnsi="Times New Roman"/>
          <w:sz w:val="21"/>
          <w:szCs w:val="21"/>
          <w:u w:val="single" w:color="auto"/>
          <w:color w:val="auto"/>
        </w:rPr>
        <w:t>Time-Based Units</w:t>
      </w:r>
      <w:r>
        <w:rPr>
          <w:rFonts w:ascii="Times New Roman" w:cs="Times New Roman" w:eastAsia="Times New Roman" w:hAnsi="Times New Roman"/>
          <w:sz w:val="21"/>
          <w:szCs w:val="21"/>
          <w:color w:val="auto"/>
        </w:rPr>
        <w:t>”) shall be eligible to vest over a period of three years from the Grant Date (the “</w:t>
      </w:r>
      <w:r>
        <w:rPr>
          <w:rFonts w:ascii="Times New Roman" w:cs="Times New Roman" w:eastAsia="Times New Roman" w:hAnsi="Times New Roman"/>
          <w:sz w:val="21"/>
          <w:szCs w:val="21"/>
          <w:u w:val="single" w:color="auto"/>
          <w:color w:val="auto"/>
        </w:rPr>
        <w:t>Vesting Commencement Date</w:t>
      </w:r>
      <w:r>
        <w:rPr>
          <w:rFonts w:ascii="Times New Roman" w:cs="Times New Roman" w:eastAsia="Times New Roman" w:hAnsi="Times New Roman"/>
          <w:sz w:val="21"/>
          <w:szCs w:val="21"/>
          <w:color w:val="auto"/>
        </w:rPr>
        <w:t xml:space="preserve">”) as follows, in each case,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Participant remains in continuous Service through the applicable vesting date and, in each case, rounded down to the nearest whole Class B Unit, with any fractional Class B Units carried over to the next vesting 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20" w:type="dxa"/>
            <w:vAlign w:val="bottom"/>
          </w:tcPr>
          <w:p>
            <w:pPr>
              <w:spacing w:after="0"/>
              <w:rPr>
                <w:sz w:val="24"/>
                <w:szCs w:val="24"/>
                <w:color w:val="auto"/>
              </w:rPr>
            </w:pPr>
          </w:p>
        </w:tc>
        <w:tc>
          <w:tcPr>
            <w:tcW w:w="2620" w:type="dxa"/>
            <w:vAlign w:val="bottom"/>
          </w:tcPr>
          <w:p>
            <w:pPr>
              <w:jc w:val="center"/>
              <w:ind w:left="14"/>
              <w:spacing w:after="0"/>
              <w:rPr>
                <w:sz w:val="20"/>
                <w:szCs w:val="20"/>
                <w:color w:val="auto"/>
              </w:rPr>
            </w:pPr>
            <w:r>
              <w:rPr>
                <w:rFonts w:ascii="Times New Roman" w:cs="Times New Roman" w:eastAsia="Times New Roman" w:hAnsi="Times New Roman"/>
                <w:sz w:val="21"/>
                <w:szCs w:val="21"/>
                <w:b w:val="1"/>
                <w:bCs w:val="1"/>
                <w:color w:val="auto"/>
              </w:rPr>
              <w:t>Cumulative</w:t>
            </w:r>
          </w:p>
        </w:tc>
        <w:tc>
          <w:tcPr>
            <w:tcW w:w="6100" w:type="dxa"/>
            <w:vAlign w:val="bottom"/>
          </w:tcPr>
          <w:p>
            <w:pPr>
              <w:spacing w:after="0"/>
              <w:rPr>
                <w:sz w:val="24"/>
                <w:szCs w:val="24"/>
                <w:color w:val="auto"/>
              </w:rPr>
            </w:pPr>
          </w:p>
        </w:tc>
      </w:tr>
      <w:tr>
        <w:trPr>
          <w:trHeight w:val="318"/>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b w:val="1"/>
                <w:bCs w:val="1"/>
                <w:color w:val="auto"/>
              </w:rPr>
              <w:t>Percentage of</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Percentage of</w:t>
            </w:r>
          </w:p>
        </w:tc>
        <w:tc>
          <w:tcPr>
            <w:tcW w:w="6100" w:type="dxa"/>
            <w:vAlign w:val="bottom"/>
          </w:tcPr>
          <w:p>
            <w:pPr>
              <w:spacing w:after="0"/>
              <w:rPr>
                <w:sz w:val="24"/>
                <w:szCs w:val="24"/>
                <w:color w:val="auto"/>
              </w:rPr>
            </w:pPr>
          </w:p>
        </w:tc>
      </w:tr>
      <w:tr>
        <w:trPr>
          <w:trHeight w:val="372"/>
        </w:trPr>
        <w:tc>
          <w:tcPr>
            <w:tcW w:w="25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21"/>
                <w:szCs w:val="21"/>
                <w:b w:val="1"/>
                <w:bCs w:val="1"/>
                <w:color w:val="auto"/>
                <w:w w:val="99"/>
              </w:rPr>
              <w:t>Time-Vesting Units</w:t>
            </w:r>
          </w:p>
        </w:tc>
        <w:tc>
          <w:tcPr>
            <w:tcW w:w="262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21"/>
                <w:szCs w:val="21"/>
                <w:b w:val="1"/>
                <w:bCs w:val="1"/>
                <w:color w:val="auto"/>
                <w:w w:val="99"/>
              </w:rPr>
              <w:t>Time-Vesting Units</w:t>
            </w:r>
          </w:p>
        </w:tc>
        <w:tc>
          <w:tcPr>
            <w:tcW w:w="61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21"/>
                <w:szCs w:val="21"/>
                <w:b w:val="1"/>
                <w:bCs w:val="1"/>
                <w:color w:val="auto"/>
              </w:rPr>
              <w:t>Time Vesting Schedule</w:t>
            </w:r>
          </w:p>
        </w:tc>
      </w:tr>
      <w:tr>
        <w:trPr>
          <w:trHeight w:val="245"/>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color w:val="auto"/>
              </w:rPr>
              <w:t>33.33%</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33.33%</w:t>
            </w:r>
          </w:p>
        </w:tc>
        <w:tc>
          <w:tcPr>
            <w:tcW w:w="61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One-year anniversary of the Vesting Commencement Date</w:t>
            </w:r>
          </w:p>
        </w:tc>
      </w:tr>
      <w:tr>
        <w:trPr>
          <w:trHeight w:val="265"/>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color w:val="auto"/>
              </w:rPr>
              <w:t>33.33%</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66.66%</w:t>
            </w:r>
          </w:p>
        </w:tc>
        <w:tc>
          <w:tcPr>
            <w:tcW w:w="61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Two-year anniversary of the Vesting Commencement Date</w:t>
            </w:r>
          </w:p>
        </w:tc>
      </w:tr>
      <w:tr>
        <w:trPr>
          <w:trHeight w:val="277"/>
        </w:trPr>
        <w:tc>
          <w:tcPr>
            <w:tcW w:w="2520" w:type="dxa"/>
            <w:vAlign w:val="bottom"/>
          </w:tcPr>
          <w:p>
            <w:pPr>
              <w:jc w:val="center"/>
              <w:ind w:right="114"/>
              <w:spacing w:after="0"/>
              <w:rPr>
                <w:sz w:val="20"/>
                <w:szCs w:val="20"/>
                <w:color w:val="auto"/>
              </w:rPr>
            </w:pPr>
            <w:r>
              <w:rPr>
                <w:rFonts w:ascii="Times New Roman" w:cs="Times New Roman" w:eastAsia="Times New Roman" w:hAnsi="Times New Roman"/>
                <w:sz w:val="21"/>
                <w:szCs w:val="21"/>
                <w:color w:val="auto"/>
              </w:rPr>
              <w:t>33.34%</w:t>
            </w:r>
          </w:p>
        </w:tc>
        <w:tc>
          <w:tcPr>
            <w:tcW w:w="2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100%</w:t>
            </w:r>
          </w:p>
        </w:tc>
        <w:tc>
          <w:tcPr>
            <w:tcW w:w="61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Three-year anniversary of the Vesting Commencement Date</w:t>
            </w:r>
          </w:p>
        </w:tc>
      </w:tr>
    </w:tbl>
    <w:p>
      <w:pPr>
        <w:spacing w:after="0" w:line="200" w:lineRule="exact"/>
        <w:rPr>
          <w:sz w:val="20"/>
          <w:szCs w:val="20"/>
          <w:color w:val="auto"/>
        </w:rPr>
      </w:pP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Notwithstanding the foregoing, in the event that the Participant’s Service is terminated without Cause or due to the Participant’s death or Disability, or if the Participant resigns for Good Reason (each, as defined in the Employment Agreement) (in each case pursuant to the terms of the Employment Agreement) prior to the one-year anniversary of the Vesting Commencement Date (the date of such termination, the “</w:t>
      </w:r>
      <w:r>
        <w:rPr>
          <w:rFonts w:ascii="Times New Roman" w:cs="Times New Roman" w:eastAsia="Times New Roman" w:hAnsi="Times New Roman"/>
          <w:sz w:val="21"/>
          <w:szCs w:val="21"/>
          <w:u w:val="single" w:color="auto"/>
          <w:color w:val="auto"/>
        </w:rPr>
        <w:t>Year 1 Termination Date</w:t>
      </w:r>
      <w:r>
        <w:rPr>
          <w:rFonts w:ascii="Times New Roman" w:cs="Times New Roman" w:eastAsia="Times New Roman" w:hAnsi="Times New Roman"/>
          <w:sz w:val="21"/>
          <w:szCs w:val="21"/>
          <w:color w:val="auto"/>
        </w:rPr>
        <w:t>”), the percentage of the Time-Based Units that shall vest will be equal to the product of (I) (A) the number of calendar days between the Vesting Commencement Date and the Year 1 Termination Date, divided by (B) 365, and (II) 33.33%, rounded down to the nearest whole Class B Unit.</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In the event of a Change of Control, all Time-Based Units that are then outstanding and Unvested shall automatically become Vested upon the consummation of such Change of Control, subject to the Participant’s continued Service through such Change of Control. If a Time-Based Unit would not be entitled to receive any distributions at the time of a Change of Control if all the assets of the Partnership were then sold at Fair Market Value and then the proceeds were distributed in a complete liquidation of the Partnership in accordance with Section 4.1 of the LP Agreement and the provisions of this Agreement, such Time-Based Unit will be immediately and</w:t>
      </w:r>
    </w:p>
    <w:p>
      <w:pPr>
        <w:sectPr>
          <w:pgSz w:w="11900" w:h="16838" w:orient="portrait"/>
          <w:cols w:equalWidth="0" w:num="1">
            <w:col w:w="11240"/>
          </w:cols>
          <w:pgMar w:left="320" w:top="1000" w:right="339" w:bottom="1440" w:gutter="0" w:footer="0" w:header="0"/>
        </w:sectPr>
      </w:pPr>
    </w:p>
    <w:bookmarkStart w:id="153" w:name="page154"/>
    <w:bookmarkEnd w:id="153"/>
    <w:p>
      <w:pPr>
        <w:spacing w:after="0" w:line="285" w:lineRule="auto"/>
        <w:rPr>
          <w:sz w:val="20"/>
          <w:szCs w:val="20"/>
          <w:color w:val="auto"/>
        </w:rPr>
      </w:pPr>
      <w:r>
        <w:rPr>
          <w:rFonts w:ascii="Times New Roman" w:cs="Times New Roman" w:eastAsia="Times New Roman" w:hAnsi="Times New Roman"/>
          <w:sz w:val="21"/>
          <w:szCs w:val="21"/>
          <w:color w:val="auto"/>
        </w:rPr>
        <w:t>automatically canceled and terminated upon the consummation of the Change of Control, without payment of any consideration and without any action on the part of the Participant.</w:t>
      </w:r>
    </w:p>
    <w:p>
      <w:pPr>
        <w:spacing w:after="0" w:line="15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1"/>
          <w:szCs w:val="21"/>
          <w:color w:val="auto"/>
        </w:rPr>
        <w:t xml:space="preserve">For the avoidance of doubt, in no event will more than 100% of the Time-Based Units (representing 33.33% of the Class B Units subject to this Award) vest pursuant to this </w:t>
      </w:r>
      <w:r>
        <w:rPr>
          <w:rFonts w:ascii="Times New Roman" w:cs="Times New Roman" w:eastAsia="Times New Roman" w:hAnsi="Times New Roman"/>
          <w:sz w:val="21"/>
          <w:szCs w:val="21"/>
          <w:u w:val="single" w:color="auto"/>
          <w:color w:val="auto"/>
        </w:rPr>
        <w:t>Section A</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6"/>
        <w:spacing w:after="0" w:line="256" w:lineRule="auto"/>
        <w:tabs>
          <w:tab w:leader="none" w:pos="63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Performance-Based Units</w:t>
      </w:r>
      <w:r>
        <w:rPr>
          <w:rFonts w:ascii="Times New Roman" w:cs="Times New Roman" w:eastAsia="Times New Roman" w:hAnsi="Times New Roman"/>
          <w:sz w:val="21"/>
          <w:szCs w:val="21"/>
          <w:color w:val="auto"/>
        </w:rPr>
        <w:t>. Two-third (66.67%) of the Class B Units subject to this Award (the “</w:t>
      </w:r>
      <w:r>
        <w:rPr>
          <w:rFonts w:ascii="Times New Roman" w:cs="Times New Roman" w:eastAsia="Times New Roman" w:hAnsi="Times New Roman"/>
          <w:sz w:val="21"/>
          <w:szCs w:val="21"/>
          <w:u w:val="single" w:color="auto"/>
          <w:color w:val="auto"/>
        </w:rPr>
        <w:t>Performance-Based Units</w:t>
      </w:r>
      <w:r>
        <w:rPr>
          <w:rFonts w:ascii="Times New Roman" w:cs="Times New Roman" w:eastAsia="Times New Roman" w:hAnsi="Times New Roman"/>
          <w:sz w:val="21"/>
          <w:szCs w:val="21"/>
          <w:color w:val="auto"/>
        </w:rPr>
        <w:t>”) shall be eligible to vest (rounded down to the nearest whole Class B Unit) based on Apax Investor’s achievement of the MOIC targets set forth below on a Measurement Date, subject to the Participant’s continued Service through such date. Notwithstanding the foregoing, if the Participant’s Service is terminated without Cause, due to death or Disability, or if the Participant resigns for Good Reason (in each case, as defined in the Employment Agreement), the Performance-Based Units shall remain outstanding for one hundred twenty (120) days following such termination (the “</w:t>
      </w:r>
      <w:r>
        <w:rPr>
          <w:rFonts w:ascii="Times New Roman" w:cs="Times New Roman" w:eastAsia="Times New Roman" w:hAnsi="Times New Roman"/>
          <w:sz w:val="21"/>
          <w:szCs w:val="21"/>
          <w:u w:val="single" w:color="auto"/>
          <w:color w:val="auto"/>
        </w:rPr>
        <w:t>Tail Period</w:t>
      </w:r>
      <w:r>
        <w:rPr>
          <w:rFonts w:ascii="Times New Roman" w:cs="Times New Roman" w:eastAsia="Times New Roman" w:hAnsi="Times New Roman"/>
          <w:sz w:val="21"/>
          <w:szCs w:val="21"/>
          <w:color w:val="auto"/>
        </w:rPr>
        <w:t>”). If a Measurement Date occurs during the Tail Period and the applicable MOIC targets are achieved, the Performance-Based Units shall vest. If no Measurement Date occurs during the Tail Period, or if the applicable MOIC targets are not achieved on such Measurement Date, all outstanding Performance-Based Units shall automatically be forfeited and cancelled without consideration as of the last day of the Tail Period.</w:t>
      </w:r>
    </w:p>
    <w:p>
      <w:pPr>
        <w:spacing w:after="0" w:line="212" w:lineRule="exact"/>
        <w:rPr>
          <w:rFonts w:ascii="Times New Roman" w:cs="Times New Roman" w:eastAsia="Times New Roman" w:hAnsi="Times New Roman"/>
          <w:sz w:val="21"/>
          <w:szCs w:val="21"/>
          <w:color w:val="auto"/>
        </w:rPr>
      </w:pPr>
    </w:p>
    <w:p>
      <w:pPr>
        <w:ind w:firstLine="801"/>
        <w:spacing w:after="0" w:line="285" w:lineRule="auto"/>
        <w:tabs>
          <w:tab w:leader="none" w:pos="126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33.33% of the Performance-Based Units shall vest if the Apax Investor achieves a MOIC equal to 1.04x on a Measurement Date;</w:t>
      </w:r>
    </w:p>
    <w:p>
      <w:pPr>
        <w:spacing w:after="0" w:line="168" w:lineRule="exact"/>
        <w:rPr>
          <w:rFonts w:ascii="Times New Roman" w:cs="Times New Roman" w:eastAsia="Times New Roman" w:hAnsi="Times New Roman"/>
          <w:sz w:val="20"/>
          <w:szCs w:val="20"/>
          <w:color w:val="auto"/>
        </w:rPr>
      </w:pPr>
    </w:p>
    <w:p>
      <w:pPr>
        <w:ind w:firstLine="801"/>
        <w:spacing w:after="0" w:line="298" w:lineRule="auto"/>
        <w:tabs>
          <w:tab w:leader="none" w:pos="1263"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66.66% of the Performance-Based Units shall vest if the Apax Investor achieves a MOIC equal to 1.36x on a Measurement Date; and</w:t>
      </w:r>
    </w:p>
    <w:p>
      <w:pPr>
        <w:spacing w:after="0" w:line="155" w:lineRule="exact"/>
        <w:rPr>
          <w:rFonts w:ascii="Times New Roman" w:cs="Times New Roman" w:eastAsia="Times New Roman" w:hAnsi="Times New Roman"/>
          <w:sz w:val="20"/>
          <w:szCs w:val="20"/>
          <w:color w:val="auto"/>
        </w:rPr>
      </w:pPr>
    </w:p>
    <w:p>
      <w:pPr>
        <w:ind w:right="20" w:firstLine="801"/>
        <w:spacing w:after="0" w:line="285" w:lineRule="auto"/>
        <w:tabs>
          <w:tab w:leader="none" w:pos="1267"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100% of the Performance-Based Units shall vest if the Apax Investor achieves a MOIC equal to at least 1.68x on a Measurement Date.</w:t>
      </w:r>
    </w:p>
    <w:p>
      <w:pPr>
        <w:spacing w:after="0" w:line="168" w:lineRule="exact"/>
        <w:rPr>
          <w:rFonts w:ascii="Times New Roman" w:cs="Times New Roman" w:eastAsia="Times New Roman" w:hAnsi="Times New Roman"/>
          <w:sz w:val="20"/>
          <w:szCs w:val="20"/>
          <w:color w:val="auto"/>
        </w:rPr>
      </w:pPr>
    </w:p>
    <w:p>
      <w:pPr>
        <w:jc w:val="both"/>
        <w:ind w:firstLine="801"/>
        <w:spacing w:after="0" w:line="274" w:lineRule="auto"/>
        <w:tabs>
          <w:tab w:leader="none" w:pos="125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Performance-Based Units will vest upon a Measurement Date only to the extent the performance targets set forth in </w:t>
      </w:r>
      <w:r>
        <w:rPr>
          <w:rFonts w:ascii="Times New Roman" w:cs="Times New Roman" w:eastAsia="Times New Roman" w:hAnsi="Times New Roman"/>
          <w:sz w:val="21"/>
          <w:szCs w:val="21"/>
          <w:u w:val="single" w:color="auto"/>
          <w:color w:val="auto"/>
        </w:rPr>
        <w:t>Section B</w:t>
      </w:r>
      <w:r>
        <w:rPr>
          <w:rFonts w:ascii="Times New Roman" w:cs="Times New Roman" w:eastAsia="Times New Roman" w:hAnsi="Times New Roman"/>
          <w:sz w:val="21"/>
          <w:szCs w:val="21"/>
          <w:color w:val="auto"/>
        </w:rPr>
        <w:t xml:space="preserve"> are achieved on such Measurement Date. For the avoidance of doubt, none of the Performance-Based Units shall vest if the Apax Investor achieves a MOIC less than 1.04x on a Measurement Date.</w:t>
      </w:r>
    </w:p>
    <w:p>
      <w:pPr>
        <w:spacing w:after="0" w:line="179" w:lineRule="exact"/>
        <w:rPr>
          <w:rFonts w:ascii="Times New Roman" w:cs="Times New Roman" w:eastAsia="Times New Roman" w:hAnsi="Times New Roman"/>
          <w:sz w:val="20"/>
          <w:szCs w:val="20"/>
          <w:color w:val="auto"/>
        </w:rPr>
      </w:pPr>
    </w:p>
    <w:p>
      <w:pPr>
        <w:jc w:val="both"/>
        <w:ind w:firstLine="801"/>
        <w:spacing w:after="0" w:line="259" w:lineRule="auto"/>
        <w:tabs>
          <w:tab w:leader="none" w:pos="1252"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Any Performance-Based Units that do not become Vested upon a Change of Control shall be forfeited for no consideration payable to the Participant upon the consummation of such Change of Control. If any Performance-Based Unit would not be entitled to receive any distributions at the time of a Change of Control if all the assets of the Partnership were then sold at Fair Market Value and then the proceeds were distributed in a complete liquidation of the Partnership in accordance with Section 4.1 of the LP Agreement and the provisions of this Agreement, such Performance-Based Unit will be immediately and automatically canceled and</w:t>
      </w:r>
    </w:p>
    <w:p>
      <w:pPr>
        <w:sectPr>
          <w:pgSz w:w="11900" w:h="16838" w:orient="portrait"/>
          <w:cols w:equalWidth="0" w:num="1">
            <w:col w:w="11240"/>
          </w:cols>
          <w:pgMar w:left="320" w:top="1000" w:right="339" w:bottom="1440" w:gutter="0" w:footer="0" w:header="0"/>
        </w:sectPr>
      </w:pPr>
    </w:p>
    <w:bookmarkStart w:id="154" w:name="page155"/>
    <w:bookmarkEnd w:id="154"/>
    <w:p>
      <w:pPr>
        <w:jc w:val="both"/>
        <w:spacing w:after="0" w:line="285" w:lineRule="auto"/>
        <w:rPr>
          <w:sz w:val="20"/>
          <w:szCs w:val="20"/>
          <w:color w:val="auto"/>
        </w:rPr>
      </w:pPr>
      <w:r>
        <w:rPr>
          <w:rFonts w:ascii="Times New Roman" w:cs="Times New Roman" w:eastAsia="Times New Roman" w:hAnsi="Times New Roman"/>
          <w:sz w:val="21"/>
          <w:szCs w:val="21"/>
          <w:color w:val="auto"/>
        </w:rPr>
        <w:t>terminated upon the consummation of the Change of Control, without payment of any consideration and without any action on the part of the Participant.</w:t>
      </w:r>
    </w:p>
    <w:p>
      <w:pPr>
        <w:spacing w:after="0" w:line="18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 xml:space="preserve">For the avoidance of doubt, in no event will more than 100% of the Performance-Based Units (representing 66.67% of the Class B Units subject to this Award) vest pursuant to this </w:t>
      </w:r>
      <w:r>
        <w:rPr>
          <w:rFonts w:ascii="Times New Roman" w:cs="Times New Roman" w:eastAsia="Times New Roman" w:hAnsi="Times New Roman"/>
          <w:sz w:val="21"/>
          <w:szCs w:val="21"/>
          <w:u w:val="single" w:color="auto"/>
          <w:color w:val="auto"/>
        </w:rPr>
        <w:t>Section B</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Wind-Up</w:t>
      </w:r>
      <w:r>
        <w:rPr>
          <w:rFonts w:ascii="Times New Roman" w:cs="Times New Roman" w:eastAsia="Times New Roman" w:hAnsi="Times New Roman"/>
          <w:sz w:val="21"/>
          <w:szCs w:val="21"/>
          <w:color w:val="auto"/>
        </w:rPr>
        <w:t xml:space="preserve">. All Class B Units subject to this Award that have not fully Vested in accordance with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and each Class B Unit subject to this Award (whether or not Vested) that would not be entitled to receive any distributions as of the Wind-Up Date if all the assets of the Partnership were then sold at Fair Market Value and then the proceeds were distributed in a complete liquidation of the Partnership in accordance with Section 4.1 of the LP Agreement and the provisions of this Agreement, will be immediately and automatically canceled and terminated on the Wind-Up Date, without payment of any consideration and without any action on the part of the Participant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000" w:right="339" w:bottom="1440" w:gutter="0" w:footer="0" w:header="0"/>
        </w:sectPr>
      </w:pPr>
    </w:p>
    <w:bookmarkStart w:id="155" w:name="page156"/>
    <w:bookmarkEnd w:id="155"/>
    <w:p>
      <w:pPr>
        <w:ind w:left="506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1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ELECTION TO INCLUDE IN GROSS INCOME</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 YEAR OF TRANSFER OF PROPERTY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PURSUANT TO SECTION 83(B) 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INTERNAL REVENUE CODE</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color w:val="auto"/>
        </w:rPr>
        <w:t>The undersigned taxpayer hereby elects, pursuant to Section 83(b) of the Internal Revenue Code of 1986, as amended, to include in gross income as compensation for services the excess (if any) of the fair market value of the property described below over the amount paid for such property.</w:t>
      </w:r>
    </w:p>
    <w:p>
      <w:pPr>
        <w:spacing w:after="0" w:line="180" w:lineRule="exact"/>
        <w:rPr>
          <w:sz w:val="20"/>
          <w:szCs w:val="20"/>
          <w:color w:val="auto"/>
        </w:rPr>
      </w:pPr>
    </w:p>
    <w:p>
      <w:pPr>
        <w:ind w:right="3560" w:firstLine="6"/>
        <w:spacing w:after="0" w:line="285" w:lineRule="auto"/>
        <w:tabs>
          <w:tab w:leader="none" w:pos="367"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taxpayer identification number, address of the undersigned, and the taxable year for which this election is being made are:</w:t>
      </w:r>
    </w:p>
    <w:p>
      <w:pPr>
        <w:spacing w:after="0" w:line="16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-8890</wp:posOffset>
            </wp:positionV>
            <wp:extent cx="9423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-8890</wp:posOffset>
            </wp:positionV>
            <wp:extent cx="9759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975995" cy="8255"/>
                    </a:xfrm>
                    <a:prstGeom prst="rect">
                      <a:avLst/>
                    </a:prstGeom>
                    <a:noFill/>
                  </pic:spPr>
                </pic:pic>
              </a:graphicData>
            </a:graphic>
          </wp:anchor>
        </w:drawing>
        <w:drawing>
          <wp:anchor simplePos="0" relativeHeight="251657728" behindDoc="1" locked="0" layoutInCell="0" allowOverlap="1">
            <wp:simplePos x="0" y="0"/>
            <wp:positionH relativeFrom="column">
              <wp:posOffset>710565</wp:posOffset>
            </wp:positionH>
            <wp:positionV relativeFrom="paragraph">
              <wp:posOffset>301625</wp:posOffset>
            </wp:positionV>
            <wp:extent cx="12452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-8890</wp:posOffset>
            </wp:positionV>
            <wp:extent cx="6731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673100" cy="8255"/>
                    </a:xfrm>
                    <a:prstGeom prst="rect">
                      <a:avLst/>
                    </a:prstGeom>
                    <a:noFill/>
                  </pic:spPr>
                </pic:pic>
              </a:graphicData>
            </a:graphic>
          </wp:anchor>
        </w:drawing>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Taxable Year: 2025</w:t>
      </w:r>
    </w:p>
    <w:p>
      <w:pPr>
        <w:spacing w:after="0" w:line="222" w:lineRule="exact"/>
        <w:rPr>
          <w:sz w:val="20"/>
          <w:szCs w:val="20"/>
          <w:color w:val="auto"/>
        </w:rPr>
      </w:pPr>
    </w:p>
    <w:p>
      <w:pPr>
        <w:ind w:firstLine="6"/>
        <w:spacing w:after="0" w:line="285" w:lineRule="auto"/>
        <w:tabs>
          <w:tab w:leader="none" w:pos="45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property with respect to which this election is being consists of 366,602 unvested Class B Units (the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each of which represents an interest in the profits of TCO Group Holdings, L.P., a Delaware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Units were transferred to the undersigned was September 5, 2025.</w:t>
      </w:r>
    </w:p>
    <w:p>
      <w:pPr>
        <w:spacing w:after="0" w:line="235" w:lineRule="exact"/>
        <w:rPr>
          <w:rFonts w:ascii="Times New Roman" w:cs="Times New Roman" w:eastAsia="Times New Roman" w:hAnsi="Times New Roman"/>
          <w:sz w:val="21"/>
          <w:szCs w:val="21"/>
          <w:color w:val="auto"/>
        </w:rPr>
      </w:pPr>
    </w:p>
    <w:p>
      <w:pPr>
        <w:jc w:val="both"/>
        <w:ind w:firstLine="6"/>
        <w:spacing w:after="0" w:line="267" w:lineRule="auto"/>
        <w:tabs>
          <w:tab w:leader="none" w:pos="39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is subject to service-based and performance-based vesting conditions, in each case, subject to taxpayer’s continued service through the applicable vesting date(s). Upon cessation of the taxpayer’s service, all Units, to the extent not vested, will be forfeited.</w:t>
      </w:r>
    </w:p>
    <w:p>
      <w:pPr>
        <w:spacing w:after="0" w:line="161" w:lineRule="exact"/>
        <w:rPr>
          <w:rFonts w:ascii="Times New Roman" w:cs="Times New Roman" w:eastAsia="Times New Roman" w:hAnsi="Times New Roman"/>
          <w:sz w:val="21"/>
          <w:szCs w:val="21"/>
          <w:color w:val="auto"/>
        </w:rPr>
      </w:pPr>
    </w:p>
    <w:p>
      <w:pPr>
        <w:ind w:firstLine="6"/>
        <w:spacing w:after="0" w:line="285" w:lineRule="auto"/>
        <w:tabs>
          <w:tab w:leader="none" w:pos="3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of the Award at the time of transfer (determined without regard to any restrictions other than those which by their terms will never lapse) is $0.</w:t>
      </w:r>
    </w:p>
    <w:p>
      <w:pPr>
        <w:spacing w:after="0" w:line="155"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paid for the Award by the undersigned was $0.</w:t>
      </w:r>
    </w:p>
    <w:p>
      <w:pPr>
        <w:spacing w:after="0" w:line="222"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to include in gross income is $0.</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The undersigned will file this election with the Internal Revenue Service office with which the taxpayer files his or her annual income tax return not later than 30 days after the date of the transfer of the property. A copy of the election will also be furnished to the Partnership. The undersigned is the person performing the services in connection with which the property was transferred.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-8890</wp:posOffset>
            </wp:positionV>
            <wp:extent cx="5384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996"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1"/>
          <w:szCs w:val="21"/>
          <w:color w:val="auto"/>
        </w:rPr>
        <w:t>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-8890</wp:posOffset>
            </wp:positionV>
            <wp:extent cx="5384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ectPr>
          <w:pgSz w:w="11900" w:h="16838" w:orient="portrait"/>
          <w:cols w:equalWidth="0" w:num="1">
            <w:col w:w="10139"/>
          </w:cols>
          <w:pgMar w:left="320" w:top="1252" w:right="1440" w:bottom="1440" w:gutter="0" w:footer="0" w:header="0"/>
        </w:sectPr>
      </w:pPr>
    </w:p>
    <w:bookmarkStart w:id="157" w:name="page158"/>
    <w:bookmarkEnd w:id="157"/>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SPOUSAL CONSENT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undersigned represents that the undersigned is the spouse of:</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Nicole D’Amato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and that the undersigned is familiar with the terms of the Award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executed by the Participant dated as of September 5, 2025, as well as the Plan and the LP Agreement referred to therein. The undersigned is aware that the Agreement, the Plan and LP Agreement provide, among other things, certain restrictions on transfer, certain forced sale and certain buyback rights relating to Participant’s Class B Units. The undersigned hereby agrees that the interest of the undersigned’s spouse in all property which is the subject of the Agreement shall be irrevocably bound by the terms of the Agreement and by any amendment, modification, waiver or termination signed by the undersigned’s spouse. The undersigned further agrees that the undersigned’s community property interest in all property which is the subject of the Agreement shall be irrevocably bound by the terms of the Agreement, and that the Agreement shall be binding on the executors, administrators, heirs and assigns of the undersigned. The undersigned further authorizes the undersigned’s spouse to amend, modify or terminate the Agreement, or waive any rights thereunder, and that each such amendment, modification, waiver or termination signed by the undersigned’s spouse shall be binding on the community property interest of undersigned in all property which is the subject of such Agreement and on the executors, administrators, heirs and assigns of the undersigned, each as fully as if the undersigned had signed such amendment, modification, waiver or termination.</w:t>
      </w: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Executed as of the ____ day of _____________, 2025.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____________________________</w:t>
      </w:r>
    </w:p>
    <w:p>
      <w:pPr>
        <w:sectPr>
          <w:pgSz w:w="11900" w:h="16838" w:orient="portrait"/>
          <w:cols w:equalWidth="0" w:num="1">
            <w:col w:w="11240"/>
          </w:cols>
          <w:pgMar w:left="320" w:top="1440"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253"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when used with reference to another Person means any Person, directly or indirectly, through one or more intermediaries, controlling, controlled by, or under common control with, such other Person.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Apax Investor</w:t>
      </w:r>
      <w:r>
        <w:rPr>
          <w:rFonts w:ascii="Times New Roman" w:cs="Times New Roman" w:eastAsia="Times New Roman" w:hAnsi="Times New Roman"/>
          <w:sz w:val="21"/>
          <w:szCs w:val="21"/>
          <w:color w:val="auto"/>
        </w:rPr>
        <w:t>” means Ignite Aggregator LP (together with its permitted transferees (as set forth in the LP Agreement)).</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means (a) the sale of all or substantially all of the assets of the Partnership and its subsidiaries (as set forth in the LP Agreement) on a consolidated basis to a Person, or group of Persons acting in concert, who are Independent Third Parties,</w:t>
      </w:r>
    </w:p>
    <w:p>
      <w:pPr>
        <w:jc w:val="both"/>
        <w:ind w:firstLine="6"/>
        <w:spacing w:after="0" w:line="255" w:lineRule="auto"/>
        <w:tabs>
          <w:tab w:leader="none" w:pos="31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merger, reorganization, consolidation or other similar corporate transaction in which the outstanding voting securities (as set forth in the LP Agreement) of the Partnership are exchanged for securities of the successor entity and, immediately after such transaction, a Person or group of Persons acting in concert, who are Independent Third Parties, beneficially own a majority of the outstanding voting securities, and rights to the majority of the residual economic interests in the common equity, of the successor entity (or a parent entity thereof), or (c) the acquisition (whether by sale, merger or otherwise) of a majority of the outstanding voting securities, and rights to the majority of the residual economic interests in the common equity, of the Partnership by a Person, or group of Persons acting in concert, who are Independent Third Parties. For the sake of clarity, in no event will a transaction be a Change of Control if either Sponsor Investor or its Affiliates continue to control or jointly control the Partnership or its subsidiaries.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Securities</w:t>
      </w:r>
      <w:r>
        <w:rPr>
          <w:rFonts w:ascii="Times New Roman" w:cs="Times New Roman" w:eastAsia="Times New Roman" w:hAnsi="Times New Roman"/>
          <w:sz w:val="21"/>
          <w:szCs w:val="21"/>
          <w:color w:val="auto"/>
        </w:rPr>
        <w:t>” means, as applicable, (i) any capital stock, partnership or membership interests or other share capital, (ii) any securities directly or indirectly convertible into or exchangeable or exercisable for any capital stock, partnership or membership interests or other share capital or containing any profit participation features, (iii) any rights or options directly or indirectly to subscribe for or to purchase any capital stock, partnership or membership interests, other share capital or securities containing any profit participation features or to subscribe for or to purchase any securities directly or indirectly convertible into or exchangeable or exercisable for any capital stock, partnership or membership interests, other share capital or securities containing any profit participation features, (iv) any share appreciation rights, phantom share rights or other similar rights, or (v) any Equity Securities issued or issuable with respect to any of the securities referred to in clauses (i) through (iv) above in connection with a combination of shares, recapitalization, merger, consolidation or other reorganization.</w:t>
      </w:r>
    </w:p>
    <w:p>
      <w:pPr>
        <w:spacing w:after="0" w:line="21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Third Party</w:t>
      </w:r>
      <w:r>
        <w:rPr>
          <w:rFonts w:ascii="Times New Roman" w:cs="Times New Roman" w:eastAsia="Times New Roman" w:hAnsi="Times New Roman"/>
          <w:sz w:val="21"/>
          <w:szCs w:val="21"/>
          <w:color w:val="auto"/>
        </w:rPr>
        <w:t>” means any Person that, as of the time of determination, is not an Affiliate of the Apax Investor or the WCAS Investor.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Measurement Date</w:t>
      </w:r>
      <w:r>
        <w:rPr>
          <w:rFonts w:ascii="Times New Roman" w:cs="Times New Roman" w:eastAsia="Times New Roman" w:hAnsi="Times New Roman"/>
          <w:sz w:val="21"/>
          <w:szCs w:val="21"/>
          <w:color w:val="auto"/>
        </w:rPr>
        <w:t>” means any date on or after the Grant Date on which Apax Investor receives Apax Returns.</w:t>
      </w:r>
    </w:p>
    <w:p>
      <w:pPr>
        <w:sectPr>
          <w:pgSz w:w="11900" w:h="16838" w:orient="portrait"/>
          <w:cols w:equalWidth="0" w:num="1">
            <w:col w:w="11240"/>
          </w:cols>
          <w:pgMar w:left="320" w:top="1394" w:right="339" w:bottom="1440" w:gutter="0" w:footer="0" w:header="0"/>
        </w:sectPr>
      </w:pPr>
    </w:p>
    <w:bookmarkStart w:id="159" w:name="page160"/>
    <w:bookmarkEnd w:id="159"/>
    <w:p>
      <w:pPr>
        <w:jc w:val="both"/>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 Representative</w:t>
      </w:r>
      <w:r>
        <w:rPr>
          <w:rFonts w:ascii="Times New Roman" w:cs="Times New Roman" w:eastAsia="Times New Roman" w:hAnsi="Times New Roman"/>
          <w:sz w:val="21"/>
          <w:szCs w:val="21"/>
          <w:color w:val="auto"/>
        </w:rPr>
        <w:t>” means TCO Group Holdings GP, LLC and any successor to such Person, or its designee, shall be the “partnership representative” (within the meaning of Code Section 6223(a)) of the Partnership.</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a partnership (including a limited partnership), a corporation, a limited liability company, an association, a joint stock company, a trust, a joint venture, an unincorporated organization, association or other entity or any foreign, United States federal, state, county provincial or local governmental or any subdivision, department, instrumentality, authority, regulatory commission, board, bureau, agency, court, tribunal, arbitral (public or private), judicial, executive or regulatory or administrative body.</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 Provider</w:t>
      </w:r>
      <w:r>
        <w:rPr>
          <w:rFonts w:ascii="Times New Roman" w:cs="Times New Roman" w:eastAsia="Times New Roman" w:hAnsi="Times New Roman"/>
          <w:sz w:val="21"/>
          <w:szCs w:val="21"/>
          <w:color w:val="auto"/>
        </w:rPr>
        <w:t>” means any director, officer, observer, employee, manager, consultant or independent contractor providing services to or for the benefit of the Partnership or any of its subsidiaries (as set forth in the LP Agreement). With respect to any particular Service Provider, as used herein, “Service Provider” shall also include any Person or permitted transferee (as set forth in the LP Agreement) to whom or which the Service Provider has elected Units or other Equity Securities of the Partnership be issued in lieu of such Service Provider directly receiving such Units or other Equity Securities (whether or not such Service Provider holds any Units or other Equity Securities of the Partnership).</w:t>
      </w:r>
    </w:p>
    <w:p>
      <w:pPr>
        <w:spacing w:after="0" w:line="19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Sponsor Investor</w:t>
      </w:r>
      <w:r>
        <w:rPr>
          <w:rFonts w:ascii="Times New Roman" w:cs="Times New Roman" w:eastAsia="Times New Roman" w:hAnsi="Times New Roman"/>
          <w:sz w:val="21"/>
          <w:szCs w:val="21"/>
          <w:color w:val="auto"/>
        </w:rPr>
        <w:t>” means each of the Apax Investor and the WCAS Investor (together with each of their permitted transferees (as set forth in the LP Agreement)).</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WCAS Investor</w:t>
      </w:r>
      <w:r>
        <w:rPr>
          <w:rFonts w:ascii="Times New Roman" w:cs="Times New Roman" w:eastAsia="Times New Roman" w:hAnsi="Times New Roman"/>
          <w:sz w:val="21"/>
          <w:szCs w:val="21"/>
          <w:color w:val="auto"/>
        </w:rPr>
        <w:t>” means, collectively, Welsh, Carson, Anderson &amp; Stowe XII, L.P., Welsh, Carson, Anderson &amp; Stowe XII Delaware, L.P., Welsh, Carson, Anderson &amp; Stowe XII Delaware II, L.P., Welsh, Carson, Anderson &amp; Stowe XII Cayman, L.P., WCAS XII Co-Investors LLC, WCAS Management Corporation and WCAS Co-Invest Holdco, L.P. (together with each of their permitted transferees, as set forth in the LP Agreement).</w:t>
      </w:r>
    </w:p>
    <w:p>
      <w:pPr>
        <w:sectPr>
          <w:pgSz w:w="11900" w:h="16838" w:orient="portrait"/>
          <w:cols w:equalWidth="0" w:num="1">
            <w:col w:w="11240"/>
          </w:cols>
          <w:pgMar w:left="320" w:top="1397"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PURPOSE</w:t>
      </w:r>
    </w:p>
    <w:p>
      <w:pPr>
        <w:spacing w:after="0" w:line="40" w:lineRule="exact"/>
        <w:rPr>
          <w:sz w:val="20"/>
          <w:szCs w:val="20"/>
          <w:color w:val="auto"/>
        </w:rPr>
      </w:pPr>
    </w:p>
    <w:p>
      <w:pPr>
        <w:jc w:val="both"/>
        <w:ind w:right="180"/>
        <w:spacing w:after="0" w:line="260" w:lineRule="auto"/>
        <w:rPr>
          <w:sz w:val="20"/>
          <w:szCs w:val="20"/>
          <w:color w:val="auto"/>
        </w:rPr>
      </w:pPr>
      <w:r>
        <w:rPr>
          <w:rFonts w:ascii="Arial" w:cs="Arial" w:eastAsia="Arial" w:hAnsi="Arial"/>
          <w:sz w:val="19"/>
          <w:szCs w:val="19"/>
          <w:color w:val="221F1F"/>
        </w:rPr>
        <w:t xml:space="preserve">This Insider Trading Policy (the “Policy”) provides guidelines with respect to transactions in the securities of </w:t>
      </w:r>
      <w:r>
        <w:rPr>
          <w:rFonts w:ascii="Arial" w:cs="Arial" w:eastAsia="Arial" w:hAnsi="Arial"/>
          <w:sz w:val="19"/>
          <w:szCs w:val="19"/>
          <w:color w:val="000000"/>
        </w:rPr>
        <w:t>InnovAge Holding</w:t>
      </w:r>
      <w:r>
        <w:rPr>
          <w:rFonts w:ascii="Arial" w:cs="Arial" w:eastAsia="Arial" w:hAnsi="Arial"/>
          <w:sz w:val="19"/>
          <w:szCs w:val="19"/>
          <w:color w:val="221F1F"/>
        </w:rPr>
        <w:t xml:space="preserve"> </w:t>
      </w:r>
      <w:r>
        <w:rPr>
          <w:rFonts w:ascii="Arial" w:cs="Arial" w:eastAsia="Arial" w:hAnsi="Arial"/>
          <w:sz w:val="19"/>
          <w:szCs w:val="19"/>
          <w:color w:val="000000"/>
        </w:rPr>
        <w:t xml:space="preserve">Corp. </w:t>
      </w:r>
      <w:r>
        <w:rPr>
          <w:rFonts w:ascii="Arial" w:cs="Arial" w:eastAsia="Arial" w:hAnsi="Arial"/>
          <w:sz w:val="19"/>
          <w:szCs w:val="19"/>
          <w:color w:val="221F1F"/>
        </w:rPr>
        <w:t>(the “Company”) and the handling of confidential information about the Company and the companies with which the</w:t>
      </w:r>
      <w:r>
        <w:rPr>
          <w:rFonts w:ascii="Arial" w:cs="Arial" w:eastAsia="Arial" w:hAnsi="Arial"/>
          <w:sz w:val="19"/>
          <w:szCs w:val="19"/>
          <w:color w:val="000000"/>
        </w:rPr>
        <w:t xml:space="preserve"> </w:t>
      </w:r>
      <w:r>
        <w:rPr>
          <w:rFonts w:ascii="Arial" w:cs="Arial" w:eastAsia="Arial" w:hAnsi="Arial"/>
          <w:sz w:val="19"/>
          <w:szCs w:val="19"/>
          <w:color w:val="221F1F"/>
        </w:rPr>
        <w:t>Company does business. The Company’s Board of Directors (the “Board”)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BACKGROUND</w:t>
      </w:r>
    </w:p>
    <w:p>
      <w:pPr>
        <w:spacing w:after="0" w:line="40" w:lineRule="exact"/>
        <w:rPr>
          <w:sz w:val="20"/>
          <w:szCs w:val="20"/>
          <w:color w:val="auto"/>
        </w:rPr>
      </w:pPr>
    </w:p>
    <w:p>
      <w:pPr>
        <w:jc w:val="both"/>
        <w:ind w:right="180"/>
        <w:spacing w:after="0" w:line="264" w:lineRule="auto"/>
        <w:rPr>
          <w:sz w:val="20"/>
          <w:szCs w:val="20"/>
          <w:color w:val="auto"/>
        </w:rPr>
      </w:pPr>
      <w:r>
        <w:rPr>
          <w:rFonts w:ascii="Arial" w:cs="Arial" w:eastAsia="Arial" w:hAnsi="Arial"/>
          <w:sz w:val="19"/>
          <w:szCs w:val="19"/>
          <w:color w:val="221F1F"/>
        </w:rPr>
        <w:t>The antifraud provisions of U.S. federal securities laws prohibit directors, officers, employees and other individuals who possess material nonpublic information from trading on the basis of that information.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21F1F"/>
        </w:rPr>
        <w:t>Disclosing material nonpublic information directly or indirectly to others who then trade based on that information or making recommendations or expressing opinions as to transactions in securities while aware of material nonpublic information (which is sometime referred to as “tipping”) is also illegal.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221F1F"/>
        </w:rPr>
        <w:t>Both the person who provides the information, recommendation or opinion and the person who trades based on it may be liable.</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221F1F"/>
        </w:rPr>
        <w:t>These illegal activities are commonly referred to as “insider trading.” State securities laws and securities laws of other jurisdictions also impose restrictions on insider trading.</w:t>
      </w:r>
    </w:p>
    <w:p>
      <w:pPr>
        <w:spacing w:after="0" w:line="178" w:lineRule="exact"/>
        <w:rPr>
          <w:sz w:val="20"/>
          <w:szCs w:val="20"/>
          <w:color w:val="auto"/>
        </w:rPr>
      </w:pPr>
    </w:p>
    <w:p>
      <w:pPr>
        <w:jc w:val="both"/>
        <w:ind w:right="220"/>
        <w:spacing w:after="0" w:line="275" w:lineRule="auto"/>
        <w:rPr>
          <w:sz w:val="20"/>
          <w:szCs w:val="20"/>
          <w:color w:val="auto"/>
        </w:rPr>
      </w:pPr>
      <w:r>
        <w:rPr>
          <w:rFonts w:ascii="Arial" w:cs="Arial" w:eastAsia="Arial" w:hAnsi="Arial"/>
          <w:sz w:val="19"/>
          <w:szCs w:val="19"/>
          <w:color w:val="221F1F"/>
        </w:rPr>
        <w:t>In addition, a company, as well as individual directors, officers and other supervisory personnel, may be subject to liability as “controlling persons” for failure to take appropriate steps to prevent insider trading by those under their supervision, influence or control.</w:t>
      </w:r>
    </w:p>
    <w:p>
      <w:pPr>
        <w:spacing w:after="0" w:line="190" w:lineRule="exact"/>
        <w:rPr>
          <w:sz w:val="20"/>
          <w:szCs w:val="20"/>
          <w:color w:val="auto"/>
        </w:rPr>
      </w:pPr>
    </w:p>
    <w:p>
      <w:pPr>
        <w:jc w:val="both"/>
        <w:ind w:right="20"/>
        <w:spacing w:after="0" w:line="265" w:lineRule="auto"/>
        <w:rPr>
          <w:sz w:val="20"/>
          <w:szCs w:val="20"/>
          <w:color w:val="auto"/>
        </w:rPr>
      </w:pPr>
      <w:r>
        <w:rPr>
          <w:rFonts w:ascii="Arial" w:cs="Arial" w:eastAsia="Arial" w:hAnsi="Arial"/>
          <w:sz w:val="19"/>
          <w:szCs w:val="19"/>
          <w:color w:val="221F1F"/>
        </w:rPr>
        <w:t>The Securities and Exchange Commission (the “SEC”), the Financial Industry Regulatory Authority and other authorities use sophisticated electronic surveillance techniques to investigate and detect insider trading, and the SEC and the U.S. Department of Justice pursue insider trading violations vigorously. Cases involving trading through foreign accounts, trading by Family Members (as defined herein) and friends and trading involving only a small number of shares have been successfully prosecuted.</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PERSONS SUBJECT TO THE POLICY</w:t>
      </w:r>
    </w:p>
    <w:p>
      <w:pPr>
        <w:spacing w:after="0" w:line="40" w:lineRule="exact"/>
        <w:rPr>
          <w:sz w:val="20"/>
          <w:szCs w:val="20"/>
          <w:color w:val="auto"/>
        </w:rPr>
      </w:pPr>
    </w:p>
    <w:p>
      <w:pPr>
        <w:jc w:val="both"/>
        <w:ind w:right="80"/>
        <w:spacing w:after="0" w:line="258" w:lineRule="auto"/>
        <w:rPr>
          <w:sz w:val="20"/>
          <w:szCs w:val="20"/>
          <w:color w:val="auto"/>
        </w:rPr>
      </w:pPr>
      <w:r>
        <w:rPr>
          <w:rFonts w:ascii="Arial" w:cs="Arial" w:eastAsia="Arial" w:hAnsi="Arial"/>
          <w:sz w:val="19"/>
          <w:szCs w:val="19"/>
          <w:color w:val="221F1F"/>
        </w:rPr>
        <w:t xml:space="preserve">This Policy applies to all directors, officers and employees of the Company and its subsidiaries. The Company may also determine that other persons should be subject to this Policy, such as contractors or consultants who have access to material nonpublic information, in each case other than Welsh, Carson, Anderson &amp; Stowe, Apax Partners or any investment vehicle or fund controlled by or managed by, or otherwise affiliated with, Welsh, Carson, Anderson &amp; Stowe or Apax Partners. This Policy also applies to Family Members and entities controlled by a person covered by this Policy, as described below. You are expected to comply with this Policy until such time as you are no longer affiliated with the Company </w:t>
      </w:r>
      <w:r>
        <w:rPr>
          <w:rFonts w:ascii="Arial" w:cs="Arial" w:eastAsia="Arial" w:hAnsi="Arial"/>
          <w:sz w:val="19"/>
          <w:szCs w:val="19"/>
          <w:i w:val="1"/>
          <w:iCs w:val="1"/>
          <w:color w:val="221F1F"/>
        </w:rPr>
        <w:t>and</w:t>
      </w:r>
      <w:r>
        <w:rPr>
          <w:rFonts w:ascii="Arial" w:cs="Arial" w:eastAsia="Arial" w:hAnsi="Arial"/>
          <w:sz w:val="19"/>
          <w:szCs w:val="19"/>
          <w:color w:val="221F1F"/>
        </w:rPr>
        <w:t xml:space="preserve"> you no longer possess any material nonpublic information subject to this Policy. In addition, if you are listed on </w:t>
      </w:r>
      <w:r>
        <w:rPr>
          <w:rFonts w:ascii="Arial" w:cs="Arial" w:eastAsia="Arial" w:hAnsi="Arial"/>
          <w:sz w:val="19"/>
          <w:szCs w:val="19"/>
          <w:u w:val="single" w:color="auto"/>
          <w:color w:val="221F1F"/>
        </w:rPr>
        <w:t>Schedule I</w:t>
      </w:r>
      <w:r>
        <w:rPr>
          <w:rFonts w:ascii="Arial" w:cs="Arial" w:eastAsia="Arial" w:hAnsi="Arial"/>
          <w:sz w:val="19"/>
          <w:szCs w:val="19"/>
          <w:color w:val="221F1F"/>
        </w:rPr>
        <w:t xml:space="preserve"> attached hereto and subject to a trading blackout under this Policy at the time you cease to be affiliated with the Company, you are expected to</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808080"/>
        </w:rPr>
        <w:t>Page 1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 InnovAge. 2024. All rights reserved. Do not duplicate or replicate without permission.</w:t>
      </w:r>
    </w:p>
    <w:p>
      <w:pPr>
        <w:spacing w:after="0" w:line="25"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240"/>
          </w:cols>
          <w:pgMar w:left="320" w:top="1133" w:right="33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221F1F"/>
        </w:rPr>
        <w:t>abide by the applicable trading restrictions until at least the end of the relevant Blackout Period (as defined herein).</w:t>
      </w:r>
    </w:p>
    <w:p>
      <w:pPr>
        <w:spacing w:after="0" w:line="259" w:lineRule="exact"/>
        <w:rPr>
          <w:sz w:val="20"/>
          <w:szCs w:val="20"/>
          <w:color w:val="auto"/>
        </w:rPr>
      </w:pPr>
    </w:p>
    <w:p>
      <w:pPr>
        <w:jc w:val="both"/>
        <w:ind w:right="280"/>
        <w:spacing w:after="0" w:line="275" w:lineRule="auto"/>
        <w:rPr>
          <w:sz w:val="20"/>
          <w:szCs w:val="20"/>
          <w:color w:val="auto"/>
        </w:rPr>
      </w:pPr>
      <w:r>
        <w:rPr>
          <w:rFonts w:ascii="Arial" w:cs="Arial" w:eastAsia="Arial" w:hAnsi="Arial"/>
          <w:sz w:val="19"/>
          <w:szCs w:val="19"/>
          <w:color w:val="221F1F"/>
        </w:rPr>
        <w:t>Please direct any questions or requests as to any of the matters discussed in this Policy to the Chief Legal Officer of the Company. The Chief Legal Officer is generally responsible for the administration of this Policy. The Chief Legal Officer may select others to assist with the execution of his or her duties.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TRANSACTIONS SUBJECT TO THE POLICY</w:t>
      </w:r>
    </w:p>
    <w:p>
      <w:pPr>
        <w:spacing w:after="0" w:line="27" w:lineRule="exact"/>
        <w:rPr>
          <w:sz w:val="20"/>
          <w:szCs w:val="20"/>
          <w:color w:val="auto"/>
        </w:rPr>
      </w:pPr>
    </w:p>
    <w:p>
      <w:pPr>
        <w:jc w:val="both"/>
        <w:ind w:right="180"/>
        <w:spacing w:after="0" w:line="263" w:lineRule="auto"/>
        <w:rPr>
          <w:sz w:val="20"/>
          <w:szCs w:val="20"/>
          <w:color w:val="auto"/>
        </w:rPr>
      </w:pPr>
      <w:r>
        <w:rPr>
          <w:rFonts w:ascii="Arial" w:cs="Arial" w:eastAsia="Arial" w:hAnsi="Arial"/>
          <w:sz w:val="19"/>
          <w:szCs w:val="19"/>
          <w:color w:val="221F1F"/>
        </w:rPr>
        <w:t xml:space="preserve">This Policy applies to </w:t>
      </w:r>
      <w:r>
        <w:rPr>
          <w:rFonts w:ascii="Arial" w:cs="Arial" w:eastAsia="Arial" w:hAnsi="Arial"/>
          <w:sz w:val="19"/>
          <w:szCs w:val="19"/>
          <w:i w:val="1"/>
          <w:iCs w:val="1"/>
          <w:color w:val="221F1F"/>
        </w:rPr>
        <w:t>all</w:t>
      </w:r>
      <w:r>
        <w:rPr>
          <w:rFonts w:ascii="Arial" w:cs="Arial" w:eastAsia="Arial" w:hAnsi="Arial"/>
          <w:sz w:val="19"/>
          <w:szCs w:val="19"/>
          <w:color w:val="221F1F"/>
        </w:rPr>
        <w:t xml:space="preserve"> transactions involving the Company’s securities (collectively referred to in this Policy as “Company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Company Securities.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221F1F"/>
        </w:rPr>
        <w:t>This Policy also applies to the securities of other companies as to which you possess material nonpublic information obtained in the course of your service to the Company. Transactions subject to this Policy include purchases, sales, bona-fide gifts and other acquisitions or dispositions of Company Securities.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INDIVIDUAL RESPONSIBILITY</w:t>
      </w:r>
    </w:p>
    <w:p>
      <w:pPr>
        <w:spacing w:after="0" w:line="40" w:lineRule="exact"/>
        <w:rPr>
          <w:sz w:val="20"/>
          <w:szCs w:val="20"/>
          <w:color w:val="auto"/>
        </w:rPr>
      </w:pPr>
    </w:p>
    <w:p>
      <w:pPr>
        <w:jc w:val="both"/>
        <w:ind w:right="180"/>
        <w:spacing w:after="0" w:line="259" w:lineRule="auto"/>
        <w:rPr>
          <w:sz w:val="20"/>
          <w:szCs w:val="20"/>
          <w:color w:val="auto"/>
        </w:rPr>
      </w:pPr>
      <w:r>
        <w:rPr>
          <w:rFonts w:ascii="Arial" w:cs="Arial" w:eastAsia="Arial" w:hAnsi="Arial"/>
          <w:sz w:val="19"/>
          <w:szCs w:val="19"/>
          <w:color w:val="221F1F"/>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Chief Legal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192"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It is also your responsibility to help enforce this Policy. You should be alert to possible violations and should promptly report violations or suspected violations of this Policy.</w:t>
      </w:r>
    </w:p>
    <w:p>
      <w:pPr>
        <w:spacing w:after="0" w:line="152" w:lineRule="exact"/>
        <w:rPr>
          <w:sz w:val="20"/>
          <w:szCs w:val="20"/>
          <w:color w:val="auto"/>
        </w:rPr>
      </w:pPr>
    </w:p>
    <w:p>
      <w:pPr>
        <w:jc w:val="both"/>
        <w:ind w:right="260"/>
        <w:spacing w:after="0" w:line="282" w:lineRule="auto"/>
        <w:rPr>
          <w:sz w:val="20"/>
          <w:szCs w:val="20"/>
          <w:color w:val="auto"/>
        </w:rPr>
      </w:pPr>
      <w:r>
        <w:rPr>
          <w:rFonts w:ascii="Arial" w:cs="Arial" w:eastAsia="Arial" w:hAnsi="Arial"/>
          <w:sz w:val="19"/>
          <w:szCs w:val="19"/>
          <w:color w:val="auto"/>
        </w:rPr>
        <w:t>You may report suspected violations of this Policy as follows: by Internet at https://app.convercent.com/en-US/LandingPage/a97bc12c-4d0c-ed11-a993-000d3ab9f062?_=1659030948828, by telephone at (800) 461-9330, or by email to the Chief Legal Officer at legal@innovage.com.</w:t>
      </w:r>
    </w:p>
    <w:p>
      <w:pPr>
        <w:spacing w:after="0" w:line="171" w:lineRule="exact"/>
        <w:rPr>
          <w:sz w:val="20"/>
          <w:szCs w:val="20"/>
          <w:color w:val="auto"/>
        </w:rPr>
      </w:pPr>
    </w:p>
    <w:p>
      <w:pPr>
        <w:jc w:val="both"/>
        <w:ind w:right="320"/>
        <w:spacing w:after="0" w:line="270" w:lineRule="auto"/>
        <w:rPr>
          <w:sz w:val="20"/>
          <w:szCs w:val="20"/>
          <w:color w:val="auto"/>
        </w:rPr>
      </w:pPr>
      <w:r>
        <w:rPr>
          <w:rFonts w:ascii="Arial" w:cs="Arial" w:eastAsia="Arial" w:hAnsi="Arial"/>
          <w:sz w:val="19"/>
          <w:szCs w:val="19"/>
          <w:color w:val="auto"/>
        </w:rPr>
        <w:t>Reports may be made anonymously or by identifying oneself. Because it may be more difficult to thoroughly investigate reports that are made anonymously, you are encouraged to share your identity when reporting rather than reporting anonymously. If you make an anonymous report, please provide as much detail as possible, including any evidence that you believe may be relevant to the issue. All reports, whether identified or anonymous, will be treated confidentially to the extent consistent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Page 2 of #NUM_PAGES#</w:t>
      </w:r>
    </w:p>
    <w:p>
      <w:pPr>
        <w:spacing w:after="0" w:line="12"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240"/>
          </w:cols>
          <w:pgMar w:left="320" w:top="1390" w:right="33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b w:val="1"/>
          <w:bCs w:val="1"/>
          <w:color w:val="221F1F"/>
        </w:rPr>
        <w:t>STATEMENT OF POLICY</w:t>
      </w:r>
    </w:p>
    <w:p>
      <w:pPr>
        <w:spacing w:after="0" w:line="40" w:lineRule="exact"/>
        <w:rPr>
          <w:sz w:val="20"/>
          <w:szCs w:val="20"/>
          <w:color w:val="auto"/>
        </w:rPr>
      </w:pPr>
    </w:p>
    <w:p>
      <w:pPr>
        <w:jc w:val="both"/>
        <w:ind w:right="80"/>
        <w:spacing w:after="0" w:line="256" w:lineRule="auto"/>
        <w:rPr>
          <w:sz w:val="20"/>
          <w:szCs w:val="20"/>
          <w:color w:val="auto"/>
        </w:rPr>
      </w:pPr>
      <w:r>
        <w:rPr>
          <w:rFonts w:ascii="Arial" w:cs="Arial" w:eastAsia="Arial" w:hAnsi="Arial"/>
          <w:sz w:val="19"/>
          <w:szCs w:val="19"/>
          <w:color w:val="221F1F"/>
        </w:rPr>
        <w:t>It is the policy of the Company that no director, officer or other employee of the Company (or any other person designated by this Policy or by the Chief Legal Officer as subject to this Policy) who is aware of material nonpublic information relating to the Company may, directly or indirectly through Family Members or other persons or entities:</w:t>
      </w:r>
    </w:p>
    <w:p>
      <w:pPr>
        <w:spacing w:after="0" w:line="12" w:lineRule="exact"/>
        <w:rPr>
          <w:sz w:val="20"/>
          <w:szCs w:val="20"/>
          <w:color w:val="auto"/>
        </w:rPr>
      </w:pPr>
    </w:p>
    <w:p>
      <w:pPr>
        <w:jc w:val="both"/>
        <w:ind w:left="640" w:right="120" w:hanging="316"/>
        <w:spacing w:after="0" w:line="254" w:lineRule="auto"/>
        <w:tabs>
          <w:tab w:leader="none" w:pos="635" w:val="left"/>
        </w:tabs>
        <w:numPr>
          <w:ilvl w:val="0"/>
          <w:numId w:val="90"/>
        </w:numPr>
        <w:rPr>
          <w:rFonts w:ascii="Times New Roman" w:cs="Times New Roman" w:eastAsia="Times New Roman" w:hAnsi="Times New Roman"/>
          <w:sz w:val="21"/>
          <w:szCs w:val="21"/>
          <w:color w:val="auto"/>
        </w:rPr>
      </w:pPr>
      <w:r>
        <w:rPr>
          <w:rFonts w:ascii="Arial" w:cs="Arial" w:eastAsia="Arial" w:hAnsi="Arial"/>
          <w:sz w:val="19"/>
          <w:szCs w:val="19"/>
          <w:color w:val="auto"/>
        </w:rPr>
        <w:t>Engage in transactions in Company Securities while aware of material nonpublic information relating to the Company, noting that it is no excuse that you did not “use” the information in your transaction, except as otherwise specified in this Policy under the headings “Transactions Under Company Plans,” “Rule 10b5-1 Plans” and “Other Limited Exceptions”;</w:t>
      </w:r>
    </w:p>
    <w:p>
      <w:pPr>
        <w:spacing w:after="0" w:line="1" w:lineRule="exact"/>
        <w:rPr>
          <w:rFonts w:ascii="Times New Roman" w:cs="Times New Roman" w:eastAsia="Times New Roman" w:hAnsi="Times New Roman"/>
          <w:sz w:val="21"/>
          <w:szCs w:val="21"/>
          <w:color w:val="auto"/>
        </w:rPr>
      </w:pPr>
    </w:p>
    <w:p>
      <w:pPr>
        <w:jc w:val="both"/>
        <w:ind w:left="640" w:right="180" w:hanging="316"/>
        <w:spacing w:after="0" w:line="255" w:lineRule="auto"/>
        <w:tabs>
          <w:tab w:leader="none" w:pos="628" w:val="left"/>
        </w:tabs>
        <w:numPr>
          <w:ilvl w:val="0"/>
          <w:numId w:val="90"/>
        </w:numPr>
        <w:rPr>
          <w:rFonts w:ascii="Times New Roman" w:cs="Times New Roman" w:eastAsia="Times New Roman" w:hAnsi="Times New Roman"/>
          <w:sz w:val="19"/>
          <w:szCs w:val="19"/>
          <w:color w:val="auto"/>
        </w:rPr>
      </w:pPr>
      <w:r>
        <w:rPr>
          <w:rFonts w:ascii="Arial" w:cs="Arial" w:eastAsia="Arial" w:hAnsi="Arial"/>
          <w:sz w:val="19"/>
          <w:szCs w:val="19"/>
          <w:color w:val="auto"/>
        </w:rPr>
        <w:t>Engage in transactions involving the securities of any other company, including those with which the Company does business, such as a strategic partner or supplier of the Company, or those involved in a potential transaction or business relationship with the Company, if you are aware of material nonpublic information about that company until the information becomes public or is no longer material, except as otherwise specified in this Policy under the headings “Transactions Under Company Plans,” “Rule 10b5-1 Plans” and “Other Limited Exceptions”;</w:t>
      </w:r>
    </w:p>
    <w:p>
      <w:pPr>
        <w:spacing w:after="0" w:line="4" w:lineRule="exact"/>
        <w:rPr>
          <w:rFonts w:ascii="Times New Roman" w:cs="Times New Roman" w:eastAsia="Times New Roman" w:hAnsi="Times New Roman"/>
          <w:sz w:val="19"/>
          <w:szCs w:val="19"/>
          <w:color w:val="auto"/>
        </w:rPr>
      </w:pPr>
    </w:p>
    <w:p>
      <w:pPr>
        <w:ind w:left="640" w:right="240" w:hanging="316"/>
        <w:spacing w:after="0" w:line="254" w:lineRule="auto"/>
        <w:tabs>
          <w:tab w:leader="none" w:pos="628" w:val="left"/>
        </w:tabs>
        <w:numPr>
          <w:ilvl w:val="0"/>
          <w:numId w:val="90"/>
        </w:numPr>
        <w:rPr>
          <w:rFonts w:ascii="Times New Roman" w:cs="Times New Roman" w:eastAsia="Times New Roman" w:hAnsi="Times New Roman"/>
          <w:sz w:val="19"/>
          <w:szCs w:val="19"/>
          <w:color w:val="auto"/>
        </w:rPr>
      </w:pPr>
      <w:r>
        <w:rPr>
          <w:rFonts w:ascii="Arial" w:cs="Arial" w:eastAsia="Arial" w:hAnsi="Arial"/>
          <w:sz w:val="19"/>
          <w:szCs w:val="19"/>
          <w:color w:val="auto"/>
        </w:rPr>
        <w:t>Recommend the purchase or sale of any Company Securities or the securities of other companies with which the Company does business, such as a strategic partner or supplier of the Company;</w:t>
      </w:r>
    </w:p>
    <w:p>
      <w:pPr>
        <w:jc w:val="both"/>
        <w:ind w:left="640" w:right="260" w:hanging="316"/>
        <w:spacing w:after="0" w:line="254" w:lineRule="auto"/>
        <w:tabs>
          <w:tab w:leader="none" w:pos="628" w:val="left"/>
        </w:tabs>
        <w:numPr>
          <w:ilvl w:val="0"/>
          <w:numId w:val="90"/>
        </w:numPr>
        <w:rPr>
          <w:rFonts w:ascii="Times New Roman" w:cs="Times New Roman" w:eastAsia="Times New Roman" w:hAnsi="Times New Roman"/>
          <w:sz w:val="19"/>
          <w:szCs w:val="19"/>
          <w:color w:val="auto"/>
        </w:rPr>
      </w:pPr>
      <w:r>
        <w:rPr>
          <w:rFonts w:ascii="Arial" w:cs="Arial" w:eastAsia="Arial" w:hAnsi="Arial"/>
          <w:sz w:val="19"/>
          <w:szCs w:val="19"/>
          <w:color w:val="auto"/>
        </w:rPr>
        <w:t>Disclose material nonpublic information to persons within the Company whose jobs do not require them to have that information, or outside of the Company to other persons, including, but not limited to, Family Members,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2"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90"/>
        </w:numPr>
        <w:rPr>
          <w:rFonts w:ascii="Times New Roman" w:cs="Times New Roman" w:eastAsia="Times New Roman" w:hAnsi="Times New Roman"/>
          <w:sz w:val="19"/>
          <w:szCs w:val="19"/>
          <w:color w:val="auto"/>
        </w:rPr>
      </w:pPr>
      <w:r>
        <w:rPr>
          <w:rFonts w:ascii="Arial" w:cs="Arial" w:eastAsia="Arial" w:hAnsi="Arial"/>
          <w:sz w:val="19"/>
          <w:szCs w:val="19"/>
          <w:color w:val="auto"/>
        </w:rPr>
        <w:t>Assist anyone engaged in the above activities.</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221F1F"/>
        </w:rPr>
        <w:t>It is also the policy of the Company that the Company will not engage in transactions in Company Securities or securities of other companies with which the Company does business, while aware of material nonpublic information relating to the Company, Company Securities or such other companies and their securities.</w:t>
      </w:r>
    </w:p>
    <w:p>
      <w:pPr>
        <w:spacing w:after="0" w:line="190" w:lineRule="exact"/>
        <w:rPr>
          <w:sz w:val="20"/>
          <w:szCs w:val="20"/>
          <w:color w:val="auto"/>
        </w:rPr>
      </w:pPr>
    </w:p>
    <w:p>
      <w:pPr>
        <w:jc w:val="both"/>
        <w:ind w:right="80"/>
        <w:spacing w:after="0" w:line="264" w:lineRule="auto"/>
        <w:rPr>
          <w:sz w:val="20"/>
          <w:szCs w:val="20"/>
          <w:color w:val="auto"/>
        </w:rPr>
      </w:pPr>
      <w:r>
        <w:rPr>
          <w:rFonts w:ascii="Arial" w:cs="Arial" w:eastAsia="Arial" w:hAnsi="Arial"/>
          <w:sz w:val="19"/>
          <w:szCs w:val="19"/>
          <w:color w:val="221F1F"/>
        </w:rPr>
        <w:t xml:space="preserve">There are no exceptions to this Policy, except as specifically noted herein. </w:t>
      </w:r>
      <w:r>
        <w:rPr>
          <w:rFonts w:ascii="Arial" w:cs="Arial" w:eastAsia="Arial" w:hAnsi="Arial"/>
          <w:sz w:val="19"/>
          <w:szCs w:val="19"/>
          <w:color w:val="000000"/>
        </w:rPr>
        <w:t>The following are specifically exempted from this</w:t>
      </w:r>
      <w:r>
        <w:rPr>
          <w:rFonts w:ascii="Arial" w:cs="Arial" w:eastAsia="Arial" w:hAnsi="Arial"/>
          <w:sz w:val="19"/>
          <w:szCs w:val="19"/>
          <w:color w:val="221F1F"/>
        </w:rPr>
        <w:t xml:space="preserve"> </w:t>
      </w:r>
      <w:r>
        <w:rPr>
          <w:rFonts w:ascii="Arial" w:cs="Arial" w:eastAsia="Arial" w:hAnsi="Arial"/>
          <w:sz w:val="19"/>
          <w:szCs w:val="19"/>
          <w:color w:val="000000"/>
        </w:rPr>
        <w:t>Policy: where disclosure of nonpublic information is required by law, or when (i) disclosure is required for legitimate Company business purposes, (ii) you are authorized by the Chief Legal Officer to disclose the information and (iii) appropriate steps have been taken to prevent misuse of that information (including entering an appropriate nondisclosure agreement that restricts the disclosure and use of the information, if applicable).</w:t>
      </w:r>
    </w:p>
    <w:p>
      <w:pPr>
        <w:spacing w:after="0" w:line="190" w:lineRule="exact"/>
        <w:rPr>
          <w:sz w:val="20"/>
          <w:szCs w:val="20"/>
          <w:color w:val="auto"/>
        </w:rPr>
      </w:pPr>
    </w:p>
    <w:p>
      <w:pPr>
        <w:jc w:val="both"/>
        <w:ind w:right="260"/>
        <w:spacing w:after="0" w:line="264" w:lineRule="auto"/>
        <w:rPr>
          <w:sz w:val="20"/>
          <w:szCs w:val="20"/>
          <w:color w:val="auto"/>
        </w:rPr>
      </w:pPr>
      <w:r>
        <w:rPr>
          <w:rFonts w:ascii="Arial" w:cs="Arial" w:eastAsia="Arial" w:hAnsi="Arial"/>
          <w:sz w:val="19"/>
          <w:szCs w:val="19"/>
          <w:color w:val="221F1F"/>
        </w:rPr>
        <w:t xml:space="preserve">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 </w:t>
      </w:r>
      <w:r>
        <w:rPr>
          <w:rFonts w:ascii="Arial" w:cs="Arial" w:eastAsia="Arial" w:hAnsi="Arial"/>
          <w:sz w:val="19"/>
          <w:szCs w:val="19"/>
          <w:color w:val="000000"/>
        </w:rPr>
        <w:t>You may not enter into any transaction, including those discussed</w:t>
      </w:r>
      <w:r>
        <w:rPr>
          <w:rFonts w:ascii="Arial" w:cs="Arial" w:eastAsia="Arial" w:hAnsi="Arial"/>
          <w:sz w:val="19"/>
          <w:szCs w:val="19"/>
          <w:color w:val="221F1F"/>
        </w:rPr>
        <w:t xml:space="preserve"> </w:t>
      </w:r>
      <w:r>
        <w:rPr>
          <w:rFonts w:ascii="Arial" w:cs="Arial" w:eastAsia="Arial" w:hAnsi="Arial"/>
          <w:sz w:val="19"/>
          <w:szCs w:val="19"/>
          <w:color w:val="000000"/>
        </w:rPr>
        <w:t>under the headings “Transactions Under Company Plans,” and “Rule 10b5-1 Plans” unless you have disclosed any material nonpublic information that you become aware of in the course of your service with the Company, and that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Page 3 of #NUM_PAGES#</w:t>
      </w:r>
    </w:p>
    <w:p>
      <w:pPr>
        <w:spacing w:after="0" w:line="25"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240"/>
          </w:cols>
          <w:pgMar w:left="320" w:top="1150" w:right="339" w:bottom="1440" w:gutter="0" w:footer="0" w:header="0"/>
        </w:sectPr>
      </w:pPr>
    </w:p>
    <w:bookmarkStart w:id="163" w:name="page164"/>
    <w:bookmarkEnd w:id="163"/>
    <w:p>
      <w:pPr>
        <w:jc w:val="both"/>
        <w:spacing w:after="0" w:line="260" w:lineRule="auto"/>
        <w:rPr>
          <w:sz w:val="20"/>
          <w:szCs w:val="20"/>
          <w:color w:val="auto"/>
        </w:rPr>
      </w:pPr>
      <w:r>
        <w:rPr>
          <w:rFonts w:ascii="Arial" w:cs="Arial" w:eastAsia="Arial" w:hAnsi="Arial"/>
          <w:sz w:val="19"/>
          <w:szCs w:val="19"/>
          <w:color w:val="auto"/>
        </w:rPr>
        <w:t xml:space="preserve">management is not aware of, to the </w:t>
      </w:r>
      <w:r>
        <w:rPr>
          <w:rFonts w:ascii="Arial" w:cs="Arial" w:eastAsia="Arial" w:hAnsi="Arial"/>
          <w:sz w:val="19"/>
          <w:szCs w:val="19"/>
          <w:color w:val="221F1F"/>
        </w:rPr>
        <w:t>Chief Legal Officer</w:t>
      </w:r>
      <w:r>
        <w:rPr>
          <w:rFonts w:ascii="Arial" w:cs="Arial" w:eastAsia="Arial" w:hAnsi="Arial"/>
          <w:sz w:val="19"/>
          <w:szCs w:val="19"/>
          <w:color w:val="auto"/>
        </w:rPr>
        <w:t>. If you are a member of senior management, the information must be disclosed to the Chief Executive Officer, and if you are the Chief Executive Officer or a director, you must disclose the information to the board of directors, before any transaction is permissible. In the event you receive an inquiry from someone outside of the Company, such as a stock analyst, for information, you should refer the inquiry to the Chief Financial Officer.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Regulation FD Policy for more details.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DEFINITION OF MATERIAL NONPUBLIC INFORMATION</w:t>
      </w:r>
    </w:p>
    <w:p>
      <w:pPr>
        <w:spacing w:after="0" w:line="40"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u w:val="single" w:color="auto"/>
          <w:color w:val="221F1F"/>
        </w:rPr>
        <w:t>Material Information</w:t>
      </w:r>
      <w:r>
        <w:rPr>
          <w:rFonts w:ascii="Arial" w:cs="Arial" w:eastAsia="Arial" w:hAnsi="Arial"/>
          <w:sz w:val="19"/>
          <w:szCs w:val="19"/>
          <w:color w:val="221F1F"/>
        </w:rPr>
        <w:t>: 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Projections of future earnings or losses, or other earnings guidance;</w:t>
      </w:r>
    </w:p>
    <w:p>
      <w:pPr>
        <w:spacing w:after="0" w:line="19"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Changes to previously announced earnings guidance, or the decision to suspend earnings guidance;</w:t>
      </w:r>
    </w:p>
    <w:p>
      <w:pPr>
        <w:spacing w:after="0" w:line="16"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A pending or proposed merger, acquisition, joint venture, disposition of a significant asset or tender offer;</w:t>
      </w:r>
    </w:p>
    <w:p>
      <w:pPr>
        <w:spacing w:after="0" w:line="17"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A Company restructuring;</w:t>
      </w:r>
    </w:p>
    <w:p>
      <w:pPr>
        <w:spacing w:after="0" w:line="23"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Significant related party transactions;</w:t>
      </w:r>
    </w:p>
    <w:p>
      <w:pPr>
        <w:spacing w:after="0" w:line="16"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A change in dividend policy, the declaration of a stock split, or an offering of additional securities;</w:t>
      </w:r>
    </w:p>
    <w:p>
      <w:pPr>
        <w:spacing w:after="0" w:line="17"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Bank borrowings or other financing transactions out of the ordinary course;</w:t>
      </w:r>
    </w:p>
    <w:p>
      <w:pPr>
        <w:spacing w:after="0" w:line="16"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The establishment of a repurchase program for Company Securities;</w:t>
      </w:r>
    </w:p>
    <w:p>
      <w:pPr>
        <w:spacing w:after="0" w:line="17"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A change in government payor reimbursement rates or a change in the Company’s pricing or cost structure;</w:t>
      </w:r>
    </w:p>
    <w:p>
      <w:pPr>
        <w:spacing w:after="0" w:line="23"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Major marketing changes;</w:t>
      </w:r>
    </w:p>
    <w:p>
      <w:pPr>
        <w:spacing w:after="0" w:line="16"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A change in management or other significant personnel;</w:t>
      </w:r>
    </w:p>
    <w:p>
      <w:pPr>
        <w:spacing w:after="0" w:line="17"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A change in auditors or notification that the auditor’s reports may no longer be relied upon;</w:t>
      </w:r>
    </w:p>
    <w:p>
      <w:pPr>
        <w:spacing w:after="0" w:line="16"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Development of a significant new center, offering, process, or service;</w:t>
      </w:r>
    </w:p>
    <w:p>
      <w:pPr>
        <w:spacing w:after="0" w:line="17"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The gain or loss of a significant government payor, strategic partner or supplier;</w:t>
      </w:r>
    </w:p>
    <w:p>
      <w:pPr>
        <w:spacing w:after="0" w:line="23"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Significant events concerning the Company’s physical assets;</w:t>
      </w:r>
    </w:p>
    <w:p>
      <w:pPr>
        <w:spacing w:after="0" w:line="16"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1"/>
        </w:numPr>
        <w:rPr>
          <w:rFonts w:ascii="Times New Roman" w:cs="Times New Roman" w:eastAsia="Times New Roman" w:hAnsi="Times New Roman"/>
          <w:sz w:val="21"/>
          <w:szCs w:val="21"/>
          <w:color w:val="auto"/>
        </w:rPr>
      </w:pPr>
      <w:r>
        <w:rPr>
          <w:rFonts w:ascii="Arial" w:cs="Arial" w:eastAsia="Arial" w:hAnsi="Arial"/>
          <w:sz w:val="19"/>
          <w:szCs w:val="19"/>
          <w:color w:val="auto"/>
        </w:rPr>
        <w:t>Pending or threatened significant litigation, or the resolution of such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808080"/>
        </w:rPr>
        <w:t>Page 4 of #NUM_PAGES#</w:t>
      </w:r>
    </w:p>
    <w:p>
      <w:pPr>
        <w:spacing w:after="0" w:line="25"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0940"/>
          </w:cols>
          <w:pgMar w:left="320" w:top="1152" w:right="639" w:bottom="1440" w:gutter="0" w:footer="0" w:header="0"/>
        </w:sectPr>
      </w:pPr>
    </w:p>
    <w:bookmarkStart w:id="164" w:name="page165"/>
    <w:bookmarkEnd w:id="164"/>
    <w:p>
      <w:pPr>
        <w:ind w:left="880" w:hanging="150"/>
        <w:spacing w:after="0"/>
        <w:tabs>
          <w:tab w:leader="none" w:pos="880" w:val="left"/>
        </w:tabs>
        <w:numPr>
          <w:ilvl w:val="0"/>
          <w:numId w:val="92"/>
        </w:numPr>
        <w:rPr>
          <w:rFonts w:ascii="Times New Roman" w:cs="Times New Roman" w:eastAsia="Times New Roman" w:hAnsi="Times New Roman"/>
          <w:sz w:val="21"/>
          <w:szCs w:val="21"/>
          <w:color w:val="auto"/>
        </w:rPr>
      </w:pPr>
      <w:r>
        <w:rPr>
          <w:rFonts w:ascii="Arial" w:cs="Arial" w:eastAsia="Arial" w:hAnsi="Arial"/>
          <w:sz w:val="19"/>
          <w:szCs w:val="19"/>
          <w:color w:val="auto"/>
        </w:rPr>
        <w:t>Regulatory approvals or changes in regulations and any analysis of how they affect the Company;</w:t>
      </w:r>
    </w:p>
    <w:p>
      <w:pPr>
        <w:spacing w:after="0" w:line="23"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2"/>
        </w:numPr>
        <w:rPr>
          <w:rFonts w:ascii="Times New Roman" w:cs="Times New Roman" w:eastAsia="Times New Roman" w:hAnsi="Times New Roman"/>
          <w:sz w:val="21"/>
          <w:szCs w:val="21"/>
          <w:color w:val="auto"/>
        </w:rPr>
      </w:pPr>
      <w:r>
        <w:rPr>
          <w:rFonts w:ascii="Arial" w:cs="Arial" w:eastAsia="Arial" w:hAnsi="Arial"/>
          <w:sz w:val="19"/>
          <w:szCs w:val="19"/>
          <w:color w:val="auto"/>
        </w:rPr>
        <w:t>Impending bankruptcy or the existence of severe liquidity problems;</w:t>
      </w:r>
    </w:p>
    <w:p>
      <w:pPr>
        <w:spacing w:after="0" w:line="23"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2"/>
        </w:numPr>
        <w:rPr>
          <w:rFonts w:ascii="Times New Roman" w:cs="Times New Roman" w:eastAsia="Times New Roman" w:hAnsi="Times New Roman"/>
          <w:sz w:val="21"/>
          <w:szCs w:val="21"/>
          <w:color w:val="auto"/>
        </w:rPr>
      </w:pPr>
      <w:r>
        <w:rPr>
          <w:rFonts w:ascii="Arial" w:cs="Arial" w:eastAsia="Arial" w:hAnsi="Arial"/>
          <w:sz w:val="19"/>
          <w:szCs w:val="19"/>
          <w:color w:val="auto"/>
        </w:rPr>
        <w:t>Significant cybersecurity incidents; and</w:t>
      </w:r>
    </w:p>
    <w:p>
      <w:pPr>
        <w:spacing w:after="0" w:line="16" w:lineRule="exact"/>
        <w:rPr>
          <w:rFonts w:ascii="Times New Roman" w:cs="Times New Roman" w:eastAsia="Times New Roman" w:hAnsi="Times New Roman"/>
          <w:sz w:val="21"/>
          <w:szCs w:val="21"/>
          <w:color w:val="auto"/>
        </w:rPr>
      </w:pPr>
    </w:p>
    <w:p>
      <w:pPr>
        <w:ind w:left="880" w:hanging="150"/>
        <w:spacing w:after="0"/>
        <w:tabs>
          <w:tab w:leader="none" w:pos="880" w:val="left"/>
        </w:tabs>
        <w:numPr>
          <w:ilvl w:val="0"/>
          <w:numId w:val="92"/>
        </w:numPr>
        <w:rPr>
          <w:rFonts w:ascii="Times New Roman" w:cs="Times New Roman" w:eastAsia="Times New Roman" w:hAnsi="Times New Roman"/>
          <w:sz w:val="21"/>
          <w:szCs w:val="21"/>
          <w:color w:val="auto"/>
        </w:rPr>
      </w:pPr>
      <w:r>
        <w:rPr>
          <w:rFonts w:ascii="Arial" w:cs="Arial" w:eastAsia="Arial" w:hAnsi="Arial"/>
          <w:sz w:val="19"/>
          <w:szCs w:val="19"/>
          <w:color w:val="auto"/>
        </w:rPr>
        <w:t>The imposition of a ban on trading in Company Securities or the securities of another company.</w:t>
      </w:r>
    </w:p>
    <w:p>
      <w:pPr>
        <w:spacing w:after="0" w:line="229" w:lineRule="exact"/>
        <w:rPr>
          <w:sz w:val="20"/>
          <w:szCs w:val="20"/>
          <w:color w:val="auto"/>
        </w:rPr>
      </w:pPr>
    </w:p>
    <w:p>
      <w:pPr>
        <w:jc w:val="both"/>
        <w:ind w:right="320"/>
        <w:spacing w:after="0" w:line="275" w:lineRule="auto"/>
        <w:rPr>
          <w:sz w:val="20"/>
          <w:szCs w:val="20"/>
          <w:color w:val="auto"/>
        </w:rPr>
      </w:pPr>
      <w:r>
        <w:rPr>
          <w:rFonts w:ascii="Arial" w:cs="Arial" w:eastAsia="Arial" w:hAnsi="Arial"/>
          <w:sz w:val="19"/>
          <w:szCs w:val="19"/>
          <w:color w:val="auto"/>
        </w:rPr>
        <w:t xml:space="preserve">If you are unsure whether information is material, you should either (i) consult the </w:t>
      </w:r>
      <w:r>
        <w:rPr>
          <w:rFonts w:ascii="Arial" w:cs="Arial" w:eastAsia="Arial" w:hAnsi="Arial"/>
          <w:sz w:val="19"/>
          <w:szCs w:val="19"/>
          <w:color w:val="221F1F"/>
        </w:rPr>
        <w:t>Chief Legal Officer</w:t>
      </w:r>
      <w:r>
        <w:rPr>
          <w:rFonts w:ascii="Arial" w:cs="Arial" w:eastAsia="Arial" w:hAnsi="Arial"/>
          <w:sz w:val="19"/>
          <w:szCs w:val="19"/>
          <w:color w:val="auto"/>
        </w:rPr>
        <w:t xml:space="preserve"> before making any decision to disclose such information (other than to persons who need to know it) or to trade in or recommend securities to which that information relates or (ii) assume that the information is material.</w:t>
      </w:r>
    </w:p>
    <w:p>
      <w:pPr>
        <w:spacing w:after="0" w:line="190" w:lineRule="exact"/>
        <w:rPr>
          <w:sz w:val="20"/>
          <w:szCs w:val="20"/>
          <w:color w:val="auto"/>
        </w:rPr>
      </w:pPr>
    </w:p>
    <w:p>
      <w:pPr>
        <w:jc w:val="both"/>
        <w:ind w:right="80"/>
        <w:spacing w:after="0" w:line="259" w:lineRule="auto"/>
        <w:rPr>
          <w:sz w:val="20"/>
          <w:szCs w:val="20"/>
          <w:color w:val="auto"/>
        </w:rPr>
      </w:pPr>
      <w:r>
        <w:rPr>
          <w:rFonts w:ascii="Arial" w:cs="Arial" w:eastAsia="Arial" w:hAnsi="Arial"/>
          <w:sz w:val="19"/>
          <w:szCs w:val="19"/>
          <w:u w:val="single" w:color="auto"/>
          <w:color w:val="221F1F"/>
        </w:rPr>
        <w:t>When Information is Considered Public</w:t>
      </w:r>
      <w:r>
        <w:rPr>
          <w:rFonts w:ascii="Arial" w:cs="Arial" w:eastAsia="Arial" w:hAnsi="Arial"/>
          <w:sz w:val="19"/>
          <w:szCs w:val="19"/>
          <w:color w:val="221F1F"/>
        </w:rPr>
        <w:t>: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w:t>
      </w:r>
    </w:p>
    <w:p>
      <w:pPr>
        <w:spacing w:after="0" w:line="4" w:lineRule="exact"/>
        <w:rPr>
          <w:sz w:val="20"/>
          <w:szCs w:val="20"/>
          <w:color w:val="auto"/>
        </w:rPr>
      </w:pPr>
    </w:p>
    <w:p>
      <w:pPr>
        <w:jc w:val="both"/>
        <w:ind w:right="180"/>
        <w:spacing w:after="0" w:line="265" w:lineRule="auto"/>
        <w:rPr>
          <w:sz w:val="20"/>
          <w:szCs w:val="20"/>
          <w:color w:val="auto"/>
        </w:rPr>
      </w:pPr>
      <w:r>
        <w:rPr>
          <w:rFonts w:ascii="Arial" w:cs="Arial" w:eastAsia="Arial" w:hAnsi="Arial"/>
          <w:sz w:val="19"/>
          <w:szCs w:val="19"/>
          <w:color w:val="221F1F"/>
        </w:rPr>
        <w:t>widely-available newspaper, magazine or news website, or public disclosure documents filed with the SEC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221F1F"/>
        </w:rPr>
        <w:t>Once information is widely disseminated, it is still necessary to afford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TRANSACTIONS BY FAMILY MEMBERS AND OTHERS</w:t>
      </w:r>
    </w:p>
    <w:p>
      <w:pPr>
        <w:spacing w:after="0" w:line="40" w:lineRule="exact"/>
        <w:rPr>
          <w:sz w:val="20"/>
          <w:szCs w:val="20"/>
          <w:color w:val="auto"/>
        </w:rPr>
      </w:pPr>
    </w:p>
    <w:p>
      <w:pPr>
        <w:jc w:val="both"/>
        <w:ind w:right="180"/>
        <w:spacing w:after="0" w:line="259" w:lineRule="auto"/>
        <w:rPr>
          <w:sz w:val="20"/>
          <w:szCs w:val="20"/>
          <w:color w:val="auto"/>
        </w:rPr>
      </w:pPr>
      <w:r>
        <w:rPr>
          <w:rFonts w:ascii="Arial" w:cs="Arial" w:eastAsia="Arial" w:hAnsi="Arial"/>
          <w:sz w:val="19"/>
          <w:szCs w:val="19"/>
          <w:color w:val="221F1F"/>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Page 5 of #NUM_PAGES#</w:t>
      </w:r>
    </w:p>
    <w:p>
      <w:pPr>
        <w:spacing w:after="0" w:line="12"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240"/>
          </w:cols>
          <w:pgMar w:left="320" w:top="1178" w:right="339" w:bottom="1440" w:gutter="0" w:footer="0" w:header="0"/>
        </w:sectPr>
      </w:pPr>
    </w:p>
    <w:bookmarkStart w:id="165" w:name="page166"/>
    <w:bookmarkEnd w:id="165"/>
    <w:p>
      <w:pPr>
        <w:spacing w:after="0"/>
        <w:rPr>
          <w:sz w:val="20"/>
          <w:szCs w:val="20"/>
          <w:color w:val="auto"/>
        </w:rPr>
      </w:pPr>
      <w:r>
        <w:rPr>
          <w:rFonts w:ascii="Arial" w:cs="Arial" w:eastAsia="Arial" w:hAnsi="Arial"/>
          <w:sz w:val="19"/>
          <w:szCs w:val="19"/>
          <w:b w:val="1"/>
          <w:bCs w:val="1"/>
          <w:color w:val="221F1F"/>
        </w:rPr>
        <w:t>TRANSACTIONS BY ENTITIES THAT YOU INFLUENCE OR CONTROL</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221F1F"/>
        </w:rPr>
        <w:t>This Policy applies to any entities that you influence or control, including any corporations, partnerships or trusts, in each case other than Welsh, Carson, Anderson &amp; Stowe and Apax Partners and any of their affiliated investment funds (collectively referred to as “Controlled Entities”), and transactions by these Controlled Entities should be treated for the purposes of this Policy and applicable securities laws as if they were for your own account.</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TRANSACTIONS UNDER COMPANY PLANS</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221F1F"/>
        </w:rPr>
        <w:t>This Policy does not apply in the case of the following transactions, except as specifically noted:</w:t>
      </w:r>
    </w:p>
    <w:p>
      <w:pPr>
        <w:spacing w:after="0" w:line="29" w:lineRule="exact"/>
        <w:rPr>
          <w:sz w:val="20"/>
          <w:szCs w:val="20"/>
          <w:color w:val="auto"/>
        </w:rPr>
      </w:pPr>
    </w:p>
    <w:p>
      <w:pPr>
        <w:jc w:val="both"/>
        <w:ind w:left="720" w:right="160" w:hanging="627"/>
        <w:spacing w:after="0" w:line="258" w:lineRule="auto"/>
        <w:tabs>
          <w:tab w:leader="none" w:pos="719" w:val="left"/>
        </w:tabs>
        <w:numPr>
          <w:ilvl w:val="0"/>
          <w:numId w:val="93"/>
        </w:numPr>
        <w:rPr>
          <w:rFonts w:ascii="Times New Roman" w:cs="Times New Roman" w:eastAsia="Times New Roman" w:hAnsi="Times New Roman"/>
          <w:sz w:val="21"/>
          <w:szCs w:val="21"/>
          <w:color w:val="auto"/>
        </w:rPr>
      </w:pPr>
      <w:r>
        <w:rPr>
          <w:rFonts w:ascii="Arial" w:cs="Arial" w:eastAsia="Arial" w:hAnsi="Arial"/>
          <w:sz w:val="19"/>
          <w:szCs w:val="19"/>
          <w:u w:val="single" w:color="auto"/>
          <w:color w:val="221F1F"/>
        </w:rPr>
        <w:t>Stock Option Exercises</w:t>
      </w:r>
      <w:r>
        <w:rPr>
          <w:rFonts w:ascii="Arial" w:cs="Arial" w:eastAsia="Arial" w:hAnsi="Arial"/>
          <w:sz w:val="19"/>
          <w:szCs w:val="19"/>
          <w:color w:val="221F1F"/>
        </w:rPr>
        <w:t>: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 assisted cashless exercise of an option, or any other market sale for the purpose of generating the cash needed to pay the exercise price of, or the tax liability related to, an option.</w:t>
      </w:r>
    </w:p>
    <w:p>
      <w:pPr>
        <w:spacing w:after="0" w:line="231" w:lineRule="exact"/>
        <w:rPr>
          <w:rFonts w:ascii="Times New Roman" w:cs="Times New Roman" w:eastAsia="Times New Roman" w:hAnsi="Times New Roman"/>
          <w:sz w:val="21"/>
          <w:szCs w:val="21"/>
          <w:color w:val="auto"/>
        </w:rPr>
      </w:pPr>
    </w:p>
    <w:p>
      <w:pPr>
        <w:jc w:val="both"/>
        <w:ind w:left="720" w:right="320" w:hanging="627"/>
        <w:spacing w:after="0" w:line="258" w:lineRule="auto"/>
        <w:tabs>
          <w:tab w:leader="none" w:pos="719" w:val="left"/>
        </w:tabs>
        <w:numPr>
          <w:ilvl w:val="0"/>
          <w:numId w:val="93"/>
        </w:numPr>
        <w:rPr>
          <w:rFonts w:ascii="Times New Roman" w:cs="Times New Roman" w:eastAsia="Times New Roman" w:hAnsi="Times New Roman"/>
          <w:sz w:val="21"/>
          <w:szCs w:val="21"/>
          <w:color w:val="auto"/>
        </w:rPr>
      </w:pPr>
      <w:r>
        <w:rPr>
          <w:rFonts w:ascii="Arial" w:cs="Arial" w:eastAsia="Arial" w:hAnsi="Arial"/>
          <w:sz w:val="19"/>
          <w:szCs w:val="19"/>
          <w:u w:val="single" w:color="auto"/>
          <w:color w:val="221F1F"/>
        </w:rPr>
        <w:t>Restricted Stock or Restricted Stock Unit Awards</w:t>
      </w:r>
      <w:r>
        <w:rPr>
          <w:rFonts w:ascii="Arial" w:cs="Arial" w:eastAsia="Arial" w:hAnsi="Arial"/>
          <w:sz w:val="19"/>
          <w:szCs w:val="19"/>
          <w:color w:val="221F1F"/>
        </w:rPr>
        <w:t>: This Policy does not apply to the vesting of restricted stock or restricted stock units, or the exercise of a tax withholding right pursuant to which you elect to have the Company withhold shares of stock to satisfy tax withholding requirements upon the vesting of any restricted stock or restricted stock units. The Policy does apply, however, to any market sale of the common stock received upon vesting and settlement of restricted stock or restricted stock units.</w:t>
      </w:r>
    </w:p>
    <w:p>
      <w:pPr>
        <w:spacing w:after="0" w:line="231" w:lineRule="exact"/>
        <w:rPr>
          <w:rFonts w:ascii="Times New Roman" w:cs="Times New Roman" w:eastAsia="Times New Roman" w:hAnsi="Times New Roman"/>
          <w:sz w:val="21"/>
          <w:szCs w:val="21"/>
          <w:color w:val="auto"/>
        </w:rPr>
      </w:pPr>
    </w:p>
    <w:p>
      <w:pPr>
        <w:jc w:val="both"/>
        <w:ind w:left="720" w:right="160" w:hanging="627"/>
        <w:spacing w:after="0" w:line="257" w:lineRule="auto"/>
        <w:tabs>
          <w:tab w:leader="none" w:pos="719" w:val="left"/>
        </w:tabs>
        <w:numPr>
          <w:ilvl w:val="0"/>
          <w:numId w:val="93"/>
        </w:numPr>
        <w:rPr>
          <w:rFonts w:ascii="Times New Roman" w:cs="Times New Roman" w:eastAsia="Times New Roman" w:hAnsi="Times New Roman"/>
          <w:sz w:val="21"/>
          <w:szCs w:val="21"/>
          <w:color w:val="auto"/>
        </w:rPr>
      </w:pPr>
      <w:r>
        <w:rPr>
          <w:rFonts w:ascii="Arial" w:cs="Arial" w:eastAsia="Arial" w:hAnsi="Arial"/>
          <w:sz w:val="19"/>
          <w:szCs w:val="19"/>
          <w:u w:val="single" w:color="auto"/>
          <w:color w:val="221F1F"/>
        </w:rPr>
        <w:t>401(k) Plan</w:t>
      </w:r>
      <w:r>
        <w:rPr>
          <w:rFonts w:ascii="Arial" w:cs="Arial" w:eastAsia="Arial" w:hAnsi="Arial"/>
          <w:sz w:val="19"/>
          <w:szCs w:val="19"/>
          <w:color w:val="221F1F"/>
        </w:rPr>
        <w:t>: This Policy does not apply to purchases of Company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 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 payment will result in allocation of loan proceeds to the Company stock fund.</w:t>
      </w:r>
    </w:p>
    <w:p>
      <w:pPr>
        <w:spacing w:after="0" w:line="223" w:lineRule="exact"/>
        <w:rPr>
          <w:rFonts w:ascii="Times New Roman" w:cs="Times New Roman" w:eastAsia="Times New Roman" w:hAnsi="Times New Roman"/>
          <w:sz w:val="21"/>
          <w:szCs w:val="21"/>
          <w:color w:val="auto"/>
        </w:rPr>
      </w:pPr>
    </w:p>
    <w:p>
      <w:pPr>
        <w:jc w:val="both"/>
        <w:ind w:left="720" w:right="100" w:hanging="627"/>
        <w:spacing w:after="0" w:line="261" w:lineRule="auto"/>
        <w:tabs>
          <w:tab w:leader="none" w:pos="719" w:val="left"/>
        </w:tabs>
        <w:numPr>
          <w:ilvl w:val="0"/>
          <w:numId w:val="93"/>
        </w:numPr>
        <w:rPr>
          <w:rFonts w:ascii="Times New Roman" w:cs="Times New Roman" w:eastAsia="Times New Roman" w:hAnsi="Times New Roman"/>
          <w:sz w:val="21"/>
          <w:szCs w:val="21"/>
          <w:color w:val="auto"/>
        </w:rPr>
      </w:pPr>
      <w:r>
        <w:rPr>
          <w:rFonts w:ascii="Arial" w:cs="Arial" w:eastAsia="Arial" w:hAnsi="Arial"/>
          <w:sz w:val="19"/>
          <w:szCs w:val="19"/>
          <w:u w:val="single" w:color="auto"/>
          <w:color w:val="221F1F"/>
        </w:rPr>
        <w:t>Employee Stock Purchase Plan</w:t>
      </w:r>
      <w:r>
        <w:rPr>
          <w:rFonts w:ascii="Arial" w:cs="Arial" w:eastAsia="Arial" w:hAnsi="Arial"/>
          <w:sz w:val="19"/>
          <w:szCs w:val="19"/>
          <w:color w:val="221F1F"/>
        </w:rPr>
        <w:t>: This Policy does not apply to purchases of Company Securities in any employee stock purchase plan resulting from your periodic or lump sum contribution of money to the plan pursuant to the election you made at the time of your enrollment in such plan. This Policy does apply, however, to your initial election to participate in such plan, changes to your election to participate in such plan for any enrollment period, and to your sales of Company Securities purchased pursuant to such plan.</w:t>
      </w:r>
    </w:p>
    <w:p>
      <w:pPr>
        <w:spacing w:after="0" w:line="217" w:lineRule="exact"/>
        <w:rPr>
          <w:rFonts w:ascii="Times New Roman" w:cs="Times New Roman" w:eastAsia="Times New Roman" w:hAnsi="Times New Roman"/>
          <w:sz w:val="21"/>
          <w:szCs w:val="21"/>
          <w:color w:val="auto"/>
        </w:rPr>
      </w:pPr>
    </w:p>
    <w:p>
      <w:pPr>
        <w:jc w:val="both"/>
        <w:ind w:left="720" w:right="140" w:hanging="627"/>
        <w:spacing w:after="0" w:line="261" w:lineRule="auto"/>
        <w:tabs>
          <w:tab w:leader="none" w:pos="719" w:val="left"/>
        </w:tabs>
        <w:numPr>
          <w:ilvl w:val="0"/>
          <w:numId w:val="93"/>
        </w:numPr>
        <w:rPr>
          <w:rFonts w:ascii="Times New Roman" w:cs="Times New Roman" w:eastAsia="Times New Roman" w:hAnsi="Times New Roman"/>
          <w:sz w:val="21"/>
          <w:szCs w:val="21"/>
          <w:color w:val="auto"/>
        </w:rPr>
      </w:pPr>
      <w:r>
        <w:rPr>
          <w:rFonts w:ascii="Arial" w:cs="Arial" w:eastAsia="Arial" w:hAnsi="Arial"/>
          <w:sz w:val="19"/>
          <w:szCs w:val="19"/>
          <w:u w:val="single" w:color="auto"/>
          <w:color w:val="221F1F"/>
        </w:rPr>
        <w:t>Dividend Reinvestment Plan</w:t>
      </w:r>
      <w:r>
        <w:rPr>
          <w:rFonts w:ascii="Arial" w:cs="Arial" w:eastAsia="Arial" w:hAnsi="Arial"/>
          <w:sz w:val="19"/>
          <w:szCs w:val="19"/>
          <w:color w:val="221F1F"/>
        </w:rPr>
        <w:t>: This Policy does not apply to purchases of Company Securities under any Company dividend reinvestment plan resulting from your reinvestment of dividends paid on Company Securities. This Policy does apply, however, to voluntary purchases of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808080"/>
        </w:rPr>
        <w:t>Page 6 of #NUM_PAGES#</w:t>
      </w:r>
    </w:p>
    <w:p>
      <w:pPr>
        <w:spacing w:after="0" w:line="25"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060"/>
          </w:cols>
          <w:pgMar w:left="320" w:top="1150" w:right="519" w:bottom="1440" w:gutter="0" w:footer="0" w:header="0"/>
        </w:sectPr>
      </w:pPr>
    </w:p>
    <w:bookmarkStart w:id="166" w:name="page167"/>
    <w:bookmarkEnd w:id="166"/>
    <w:p>
      <w:pPr>
        <w:jc w:val="both"/>
        <w:ind w:left="740" w:right="400"/>
        <w:spacing w:after="0" w:line="282" w:lineRule="auto"/>
        <w:rPr>
          <w:sz w:val="20"/>
          <w:szCs w:val="20"/>
          <w:color w:val="auto"/>
        </w:rPr>
      </w:pPr>
      <w:r>
        <w:rPr>
          <w:rFonts w:ascii="Arial" w:cs="Arial" w:eastAsia="Arial" w:hAnsi="Arial"/>
          <w:sz w:val="19"/>
          <w:szCs w:val="19"/>
          <w:color w:val="221F1F"/>
        </w:rPr>
        <w:t>resulting from additional contributions you choose to make to the dividend reinvestment plan, and to your election to participate in such plan or increase your level of participation in such plan. This Policy also applies to your sale of any Company Securities purchased pursuant to such plan.</w:t>
      </w:r>
    </w:p>
    <w:p>
      <w:pPr>
        <w:spacing w:after="0" w:line="197" w:lineRule="exact"/>
        <w:rPr>
          <w:sz w:val="20"/>
          <w:szCs w:val="20"/>
          <w:color w:val="auto"/>
        </w:rPr>
      </w:pPr>
    </w:p>
    <w:p>
      <w:pPr>
        <w:ind w:left="720" w:right="700" w:hanging="627"/>
        <w:spacing w:after="0" w:line="277" w:lineRule="auto"/>
        <w:tabs>
          <w:tab w:leader="none" w:pos="719" w:val="left"/>
        </w:tabs>
        <w:numPr>
          <w:ilvl w:val="0"/>
          <w:numId w:val="94"/>
        </w:numPr>
        <w:rPr>
          <w:rFonts w:ascii="Times New Roman" w:cs="Times New Roman" w:eastAsia="Times New Roman" w:hAnsi="Times New Roman"/>
          <w:sz w:val="21"/>
          <w:szCs w:val="21"/>
          <w:color w:val="auto"/>
        </w:rPr>
      </w:pPr>
      <w:r>
        <w:rPr>
          <w:rFonts w:ascii="Arial" w:cs="Arial" w:eastAsia="Arial" w:hAnsi="Arial"/>
          <w:sz w:val="19"/>
          <w:szCs w:val="19"/>
          <w:u w:val="single" w:color="auto"/>
          <w:color w:val="auto"/>
        </w:rPr>
        <w:t>Mutual Funds</w:t>
      </w:r>
      <w:r>
        <w:rPr>
          <w:rFonts w:ascii="Arial" w:cs="Arial" w:eastAsia="Arial" w:hAnsi="Arial"/>
          <w:sz w:val="19"/>
          <w:szCs w:val="19"/>
          <w:color w:val="auto"/>
        </w:rPr>
        <w:t>: This Policy does not apply to transactions in portfolio products, including mutual funds or index funds, of which Company Securities are not a significant portion.</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SPECIAL AND PROHIBITED TRANSACTIONS</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221F1F"/>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9"/>
          <w:szCs w:val="19"/>
          <w:u w:val="single" w:color="auto"/>
          <w:color w:val="221F1F"/>
        </w:rPr>
        <w:t>Short Sales</w:t>
      </w:r>
      <w:r>
        <w:rPr>
          <w:rFonts w:ascii="Arial" w:cs="Arial" w:eastAsia="Arial" w:hAnsi="Arial"/>
          <w:sz w:val="19"/>
          <w:szCs w:val="19"/>
          <w:color w:val="221F1F"/>
        </w:rPr>
        <w:t>: Short sales of Company Securities (</w:t>
      </w:r>
      <w:r>
        <w:rPr>
          <w:rFonts w:ascii="Arial" w:cs="Arial" w:eastAsia="Arial" w:hAnsi="Arial"/>
          <w:sz w:val="19"/>
          <w:szCs w:val="19"/>
          <w:i w:val="1"/>
          <w:iCs w:val="1"/>
          <w:color w:val="221F1F"/>
        </w:rPr>
        <w:t>i.e.</w:t>
      </w:r>
      <w:r>
        <w:rPr>
          <w:rFonts w:ascii="Arial" w:cs="Arial" w:eastAsia="Arial" w:hAnsi="Arial"/>
          <w:sz w:val="19"/>
          <w:szCs w:val="19"/>
          <w:color w:val="221F1F"/>
        </w:rPr>
        <w:t>,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Securities Exchange Act of 1934, as amended (the “Exchange Act”) prohibits officers and directors from engaging in short sales. (Short sales arising from certain types of hedging transactions are governed by the paragraph below captioned “Hedging Transactions.”)</w:t>
      </w:r>
    </w:p>
    <w:p>
      <w:pPr>
        <w:spacing w:after="0" w:line="206" w:lineRule="exact"/>
        <w:rPr>
          <w:sz w:val="20"/>
          <w:szCs w:val="20"/>
          <w:color w:val="auto"/>
        </w:rPr>
      </w:pPr>
    </w:p>
    <w:p>
      <w:pPr>
        <w:jc w:val="both"/>
        <w:ind w:right="240"/>
        <w:spacing w:after="0" w:line="265" w:lineRule="auto"/>
        <w:rPr>
          <w:sz w:val="20"/>
          <w:szCs w:val="20"/>
          <w:color w:val="auto"/>
        </w:rPr>
      </w:pPr>
      <w:r>
        <w:rPr>
          <w:rFonts w:ascii="Arial" w:cs="Arial" w:eastAsia="Arial" w:hAnsi="Arial"/>
          <w:sz w:val="19"/>
          <w:szCs w:val="19"/>
          <w:u w:val="single" w:color="auto"/>
          <w:color w:val="auto"/>
        </w:rPr>
        <w:t>Short-Term Trading</w:t>
      </w:r>
      <w:r>
        <w:rPr>
          <w:rFonts w:ascii="Arial" w:cs="Arial" w:eastAsia="Arial" w:hAnsi="Arial"/>
          <w:sz w:val="19"/>
          <w:szCs w:val="19"/>
          <w:color w:val="auto"/>
        </w:rPr>
        <w:t>: 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spacing w:after="0" w:line="201" w:lineRule="exact"/>
        <w:rPr>
          <w:sz w:val="20"/>
          <w:szCs w:val="20"/>
          <w:color w:val="auto"/>
        </w:rPr>
      </w:pPr>
    </w:p>
    <w:p>
      <w:pPr>
        <w:jc w:val="both"/>
        <w:ind w:right="180"/>
        <w:spacing w:after="0" w:line="264" w:lineRule="auto"/>
        <w:rPr>
          <w:sz w:val="20"/>
          <w:szCs w:val="20"/>
          <w:color w:val="auto"/>
        </w:rPr>
      </w:pPr>
      <w:r>
        <w:rPr>
          <w:rFonts w:ascii="Arial" w:cs="Arial" w:eastAsia="Arial" w:hAnsi="Arial"/>
          <w:sz w:val="19"/>
          <w:szCs w:val="19"/>
          <w:u w:val="single" w:color="auto"/>
          <w:color w:val="221F1F"/>
        </w:rPr>
        <w:t>Publicly-Traded Options</w:t>
      </w:r>
      <w:r>
        <w:rPr>
          <w:rFonts w:ascii="Arial" w:cs="Arial" w:eastAsia="Arial" w:hAnsi="Arial"/>
          <w:sz w:val="19"/>
          <w:szCs w:val="19"/>
          <w:color w:val="221F1F"/>
        </w:rPr>
        <w:t>: Given the relatively short term of publicly-traded options, transactions in options may create the appearance that a director, officer or 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9"/>
          <w:szCs w:val="19"/>
          <w:u w:val="single" w:color="auto"/>
          <w:color w:val="221F1F"/>
        </w:rPr>
        <w:t>Hedging Transactions</w:t>
      </w:r>
      <w:r>
        <w:rPr>
          <w:rFonts w:ascii="Arial" w:cs="Arial" w:eastAsia="Arial" w:hAnsi="Arial"/>
          <w:sz w:val="19"/>
          <w:szCs w:val="19"/>
          <w:color w:val="221F1F"/>
        </w:rPr>
        <w:t>: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the Company prohibits you from engaging in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Page 7 of #NUM_PAGES#</w:t>
      </w:r>
    </w:p>
    <w:p>
      <w:pPr>
        <w:spacing w:after="0" w:line="25"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240"/>
          </w:cols>
          <w:pgMar w:left="320" w:top="1152" w:right="339" w:bottom="1440" w:gutter="0" w:footer="0" w:header="0"/>
        </w:sectPr>
      </w:pPr>
    </w:p>
    <w:bookmarkStart w:id="167" w:name="page168"/>
    <w:bookmarkEnd w:id="167"/>
    <w:p>
      <w:pPr>
        <w:jc w:val="both"/>
        <w:ind w:right="80"/>
        <w:spacing w:after="0" w:line="271" w:lineRule="auto"/>
        <w:rPr>
          <w:sz w:val="20"/>
          <w:szCs w:val="20"/>
          <w:color w:val="auto"/>
        </w:rPr>
      </w:pPr>
      <w:r>
        <w:rPr>
          <w:rFonts w:ascii="Arial" w:cs="Arial" w:eastAsia="Arial" w:hAnsi="Arial"/>
          <w:sz w:val="19"/>
          <w:szCs w:val="19"/>
          <w:u w:val="single" w:color="auto"/>
          <w:color w:val="221F1F"/>
        </w:rPr>
        <w:t>Margin Accounts and Pledged Securities</w:t>
      </w:r>
      <w:r>
        <w:rPr>
          <w:rFonts w:ascii="Arial" w:cs="Arial" w:eastAsia="Arial" w:hAnsi="Arial"/>
          <w:sz w:val="19"/>
          <w:szCs w:val="19"/>
          <w:color w:val="221F1F"/>
        </w:rPr>
        <w:t>: Securities held in a margin account as collateral for a margin loan may be sold by the broker without the customer’s consent if the customer fails to meet a margin call.</w:t>
      </w:r>
    </w:p>
    <w:p>
      <w:pPr>
        <w:spacing w:after="0" w:line="1" w:lineRule="exact"/>
        <w:rPr>
          <w:sz w:val="20"/>
          <w:szCs w:val="20"/>
          <w:color w:val="auto"/>
        </w:rPr>
      </w:pPr>
    </w:p>
    <w:p>
      <w:pPr>
        <w:jc w:val="both"/>
        <w:ind w:right="100"/>
        <w:spacing w:after="0" w:line="260" w:lineRule="auto"/>
        <w:rPr>
          <w:sz w:val="20"/>
          <w:szCs w:val="20"/>
          <w:color w:val="auto"/>
        </w:rPr>
      </w:pPr>
      <w:r>
        <w:rPr>
          <w:rFonts w:ascii="Arial" w:cs="Arial" w:eastAsia="Arial" w:hAnsi="Arial"/>
          <w:sz w:val="19"/>
          <w:szCs w:val="19"/>
          <w:color w:val="221F1F"/>
        </w:rPr>
        <w:t>Similarly, securities pledged (or hypothecated) as collateral for a loan may be sold in foreclosure if the borrower defaults on the loan. Because a margin sale or foreclosure sale may occur at a time when the pledger is aware of material nonpublic information or otherwise is not permitted to trade in Company Securities, directors,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u w:val="single" w:color="auto"/>
          <w:color w:val="221F1F"/>
        </w:rPr>
        <w:t>Standing and Limit Orders</w:t>
      </w:r>
      <w:r>
        <w:rPr>
          <w:rFonts w:ascii="Arial" w:cs="Arial" w:eastAsia="Arial" w:hAnsi="Arial"/>
          <w:sz w:val="19"/>
          <w:szCs w:val="19"/>
          <w:color w:val="221F1F"/>
        </w:rPr>
        <w:t>: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“Pre-Clearance and Blackouts.” Standing orders (except under approved Rule 10b5-1 Plans) that have not been executed at the start of a Blackout Period should be cancelled prior thereto.</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PRE-CLEARANCE AND BLACKOUTS</w:t>
      </w:r>
    </w:p>
    <w:p>
      <w:pPr>
        <w:spacing w:after="0" w:line="40" w:lineRule="exact"/>
        <w:rPr>
          <w:sz w:val="20"/>
          <w:szCs w:val="20"/>
          <w:color w:val="auto"/>
        </w:rPr>
      </w:pPr>
    </w:p>
    <w:p>
      <w:pPr>
        <w:jc w:val="both"/>
        <w:ind w:right="100"/>
        <w:spacing w:after="0" w:line="265" w:lineRule="auto"/>
        <w:rPr>
          <w:sz w:val="20"/>
          <w:szCs w:val="20"/>
          <w:color w:val="auto"/>
        </w:rPr>
      </w:pPr>
      <w:r>
        <w:rPr>
          <w:rFonts w:ascii="Arial" w:cs="Arial" w:eastAsia="Arial" w:hAnsi="Arial"/>
          <w:sz w:val="19"/>
          <w:szCs w:val="19"/>
          <w:color w:val="221F1F"/>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86" w:lineRule="exact"/>
        <w:rPr>
          <w:sz w:val="20"/>
          <w:szCs w:val="20"/>
          <w:color w:val="auto"/>
        </w:rPr>
      </w:pPr>
    </w:p>
    <w:p>
      <w:pPr>
        <w:jc w:val="both"/>
        <w:ind w:right="140"/>
        <w:spacing w:after="0" w:line="264" w:lineRule="auto"/>
        <w:rPr>
          <w:sz w:val="20"/>
          <w:szCs w:val="20"/>
          <w:color w:val="auto"/>
        </w:rPr>
      </w:pPr>
      <w:r>
        <w:rPr>
          <w:rFonts w:ascii="Arial" w:cs="Arial" w:eastAsia="Arial" w:hAnsi="Arial"/>
          <w:sz w:val="19"/>
          <w:szCs w:val="19"/>
          <w:u w:val="single" w:color="auto"/>
          <w:color w:val="221F1F"/>
        </w:rPr>
        <w:t>Pre-Clearance Procedures</w:t>
      </w:r>
      <w:r>
        <w:rPr>
          <w:rFonts w:ascii="Arial" w:cs="Arial" w:eastAsia="Arial" w:hAnsi="Arial"/>
          <w:sz w:val="19"/>
          <w:szCs w:val="19"/>
          <w:color w:val="221F1F"/>
        </w:rPr>
        <w:t xml:space="preserve">: The individuals listed on </w:t>
      </w:r>
      <w:r>
        <w:rPr>
          <w:rFonts w:ascii="Arial" w:cs="Arial" w:eastAsia="Arial" w:hAnsi="Arial"/>
          <w:sz w:val="19"/>
          <w:szCs w:val="19"/>
          <w:u w:val="single" w:color="auto"/>
          <w:color w:val="221F1F"/>
        </w:rPr>
        <w:t>Schedule I</w:t>
      </w:r>
      <w:r>
        <w:rPr>
          <w:rFonts w:ascii="Arial" w:cs="Arial" w:eastAsia="Arial" w:hAnsi="Arial"/>
          <w:sz w:val="19"/>
          <w:szCs w:val="19"/>
          <w:color w:val="221F1F"/>
        </w:rPr>
        <w:t xml:space="preserve"> (“Covered Senior Persons”) may not engage in any transaction in Company Securities without first obtaining pre-clearance of the transaction from the Chief Legal Officer. A request for pre-clearance should be submitted to the Chief Legal Officer at least two business days in advance of the proposed transaction. The Chief Legal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201" w:lineRule="exact"/>
        <w:rPr>
          <w:sz w:val="20"/>
          <w:szCs w:val="20"/>
          <w:color w:val="auto"/>
        </w:rPr>
      </w:pPr>
    </w:p>
    <w:p>
      <w:pPr>
        <w:jc w:val="both"/>
        <w:ind w:right="20"/>
        <w:spacing w:after="0" w:line="264" w:lineRule="auto"/>
        <w:rPr>
          <w:sz w:val="20"/>
          <w:szCs w:val="20"/>
          <w:color w:val="auto"/>
        </w:rPr>
      </w:pPr>
      <w:r>
        <w:rPr>
          <w:rFonts w:ascii="Arial" w:cs="Arial" w:eastAsia="Arial" w:hAnsi="Arial"/>
          <w:sz w:val="19"/>
          <w:szCs w:val="19"/>
          <w:color w:val="221F1F"/>
        </w:rPr>
        <w:t>When a request for pre-clearance is made, the requestor should carefully consider whether he or she may be aware of any material nonpublic information about the Company, and should describe fully those circumstances to the Chief Legal Officer. The requestor should also indicate whether he or she has effected any non-exempt “opposite-way” transactions within the past six months, and if the requestor is a director or officer of the Company, should be prepared to report the proposed transaction on an appropriate Form 4 or Form 5 and comply with SEC Rule 144 and file Form 144, if necessary, at the time of any sale. See “Compliance with Section 16 of the Exchange Act and Rule 144 of the Securities Act”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40"/>
        <w:spacing w:after="0"/>
        <w:rPr>
          <w:sz w:val="20"/>
          <w:szCs w:val="20"/>
          <w:color w:val="auto"/>
        </w:rPr>
      </w:pPr>
      <w:r>
        <w:rPr>
          <w:rFonts w:ascii="Arial" w:cs="Arial" w:eastAsia="Arial" w:hAnsi="Arial"/>
          <w:sz w:val="14"/>
          <w:szCs w:val="14"/>
          <w:color w:val="808080"/>
        </w:rPr>
        <w:t>Page 8 of #NUM_PAGES#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ind w:left="22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060"/>
          </w:cols>
          <w:pgMar w:left="320" w:top="1152" w:right="519" w:bottom="1440" w:gutter="0" w:footer="0" w:header="0"/>
        </w:sectPr>
      </w:pPr>
    </w:p>
    <w:bookmarkStart w:id="168" w:name="page169"/>
    <w:bookmarkEnd w:id="168"/>
    <w:p>
      <w:pPr>
        <w:jc w:val="both"/>
        <w:ind w:right="160"/>
        <w:spacing w:after="0" w:line="270" w:lineRule="auto"/>
        <w:rPr>
          <w:sz w:val="20"/>
          <w:szCs w:val="20"/>
          <w:color w:val="auto"/>
        </w:rPr>
      </w:pPr>
      <w:r>
        <w:rPr>
          <w:rFonts w:ascii="Arial" w:cs="Arial" w:eastAsia="Arial" w:hAnsi="Arial"/>
          <w:sz w:val="19"/>
          <w:szCs w:val="19"/>
          <w:color w:val="221F1F"/>
        </w:rPr>
        <w:t>If a person seeks pre-clearance and permission to engage in the transaction is granted, then such trade must be effected within five business days of receipt of pre-clearance unless an exception is granted. Such person must promptly notify the Chief Legal Officer following the completion of the transaction. A person who has not effected a transaction within the time limit may not engage in such transaction without again obtaining pre-clearance of the transaction from the Chief Legal Officer.</w:t>
      </w:r>
    </w:p>
    <w:p>
      <w:pPr>
        <w:spacing w:after="0" w:line="1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9"/>
          <w:szCs w:val="19"/>
          <w:u w:val="single" w:color="auto"/>
          <w:color w:val="221F1F"/>
        </w:rPr>
        <w:t>Quarterly Blackout Periods</w:t>
      </w:r>
      <w:r>
        <w:rPr>
          <w:rFonts w:ascii="Arial" w:cs="Arial" w:eastAsia="Arial" w:hAnsi="Arial"/>
          <w:sz w:val="19"/>
          <w:szCs w:val="19"/>
          <w:color w:val="221F1F"/>
        </w:rPr>
        <w:t>: Covered Senior Persons may not conduct any transactions involving Company Securities (other than as specified by this Policy), during a “Blackout Period” beginning fourteen days prior to the end of each fiscal quarter and ending on the second business day following the date of the public release of the Company’s earnings results for that quarter. In other words, these</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221F1F"/>
        </w:rPr>
        <w:t>persons may only conduct transactions in Company Securities during the “Window Period” beginning after the second business day following the public release of the Company’s quarterly earnings and ending fourteen days prior to the end of the next fiscal quarter.</w:t>
      </w:r>
    </w:p>
    <w:p>
      <w:pPr>
        <w:spacing w:after="0" w:line="200" w:lineRule="exact"/>
        <w:rPr>
          <w:sz w:val="20"/>
          <w:szCs w:val="20"/>
          <w:color w:val="auto"/>
        </w:rPr>
      </w:pPr>
    </w:p>
    <w:p>
      <w:pPr>
        <w:spacing w:after="0" w:line="226" w:lineRule="exact"/>
        <w:rPr>
          <w:sz w:val="20"/>
          <w:szCs w:val="20"/>
          <w:color w:val="auto"/>
        </w:rPr>
      </w:pPr>
    </w:p>
    <w:p>
      <w:pPr>
        <w:jc w:val="both"/>
        <w:ind w:right="60"/>
        <w:spacing w:after="0" w:line="260" w:lineRule="auto"/>
        <w:rPr>
          <w:sz w:val="20"/>
          <w:szCs w:val="20"/>
          <w:color w:val="auto"/>
        </w:rPr>
      </w:pPr>
      <w:r>
        <w:rPr>
          <w:rFonts w:ascii="Arial" w:cs="Arial" w:eastAsia="Arial" w:hAnsi="Arial"/>
          <w:sz w:val="19"/>
          <w:szCs w:val="19"/>
          <w:u w:val="single" w:color="auto"/>
          <w:color w:val="221F1F"/>
        </w:rPr>
        <w:t>Event-Specific Blackout Periods</w:t>
      </w:r>
      <w:r>
        <w:rPr>
          <w:rFonts w:ascii="Arial" w:cs="Arial" w:eastAsia="Arial" w:hAnsi="Arial"/>
          <w:sz w:val="19"/>
          <w:szCs w:val="19"/>
          <w:color w:val="221F1F"/>
        </w:rPr>
        <w:t>: From time to time, an event may occur that is material to the Company and is known by only a few directors, officers and/or employees, such as a cybersecurity incident. So long as the event remains material and nonpublic, the persons designated by the Chief Legal Officer may not trade Company Securities. In addition, the Company’s financial results may be sufficiently material in a particular fiscal quarter that, in the judgment of the Chief Legal Officer, designated persons should refrain from trading in Company Securities sooner than the typical Blackout Period described above. In that situation, the Chief Legal Officer may notify these persons that they should not trade in Company Securities, without disclosing the reason for the restriction. The existence of an event-specific trading restriction period or extension of a Blackout Period will not be announced to the Company as a whole, and should not be communicated to any other person. Even if the Chief Legal Officer has not designated you as a person who should not trade due to an event-specific restriction, you should not trade while aware of material nonpublic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Regulation BTR Blackouts</w:t>
      </w:r>
      <w:r>
        <w:rPr>
          <w:rFonts w:ascii="Arial" w:cs="Arial" w:eastAsia="Arial" w:hAnsi="Arial"/>
          <w:sz w:val="19"/>
          <w:szCs w:val="19"/>
          <w:color w:val="auto"/>
        </w:rPr>
        <w:t>: Directors and executive officers may also be subject to trading blackouts</w:t>
      </w:r>
    </w:p>
    <w:p>
      <w:pPr>
        <w:spacing w:after="0" w:line="3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pursuant to Regulation Blackout Trading Restriction (“Regulation BTR”), under U.S. federal securities laws. In general, 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has provided, or will provide, separate memoranda and other appropriate materials to its directors and executive officers regarding compliance with Regulation BTR. The Company will notify directors and executive officers if they are subject to a blackout trading restriction under Regulation BTR. Failure to comply with an applicable trading blackout in accordance with Regulation BTR is a violation of law and this Policy.</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No “Safe Harbors”</w:t>
      </w:r>
      <w:r>
        <w:rPr>
          <w:rFonts w:ascii="Arial" w:cs="Arial" w:eastAsia="Arial" w:hAnsi="Arial"/>
          <w:sz w:val="19"/>
          <w:szCs w:val="19"/>
          <w:color w:val="auto"/>
        </w:rPr>
        <w:t>: 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808080"/>
        </w:rPr>
        <w:t>Page 9 of #NUM_PAGES#</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060"/>
          </w:cols>
          <w:pgMar w:left="320" w:top="1152" w:right="519" w:bottom="1440" w:gutter="0" w:footer="0" w:header="0"/>
        </w:sectPr>
      </w:pPr>
    </w:p>
    <w:bookmarkStart w:id="169" w:name="page170"/>
    <w:bookmarkEnd w:id="169"/>
    <w:p>
      <w:pPr>
        <w:ind w:right="340"/>
        <w:spacing w:after="0" w:line="271" w:lineRule="auto"/>
        <w:rPr>
          <w:sz w:val="20"/>
          <w:szCs w:val="20"/>
          <w:color w:val="auto"/>
        </w:rPr>
      </w:pPr>
      <w:r>
        <w:rPr>
          <w:rFonts w:ascii="Arial" w:cs="Arial" w:eastAsia="Arial" w:hAnsi="Arial"/>
          <w:sz w:val="19"/>
          <w:szCs w:val="19"/>
          <w:color w:val="auto"/>
        </w:rPr>
        <w:t>because you possess material nonpublic information, are subject to a special blackout period or are otherwise restricted under this Policy.</w:t>
      </w:r>
    </w:p>
    <w:p>
      <w:pPr>
        <w:spacing w:after="0" w:line="1" w:lineRule="exact"/>
        <w:rPr>
          <w:sz w:val="20"/>
          <w:szCs w:val="20"/>
          <w:color w:val="auto"/>
        </w:rPr>
      </w:pPr>
    </w:p>
    <w:p>
      <w:pPr>
        <w:jc w:val="both"/>
        <w:ind w:right="180"/>
        <w:spacing w:after="0" w:line="259" w:lineRule="auto"/>
        <w:rPr>
          <w:sz w:val="20"/>
          <w:szCs w:val="20"/>
          <w:color w:val="auto"/>
        </w:rPr>
      </w:pPr>
      <w:r>
        <w:rPr>
          <w:rFonts w:ascii="Arial" w:cs="Arial" w:eastAsia="Arial" w:hAnsi="Arial"/>
          <w:sz w:val="19"/>
          <w:szCs w:val="19"/>
          <w:u w:val="single" w:color="auto"/>
          <w:color w:val="221F1F"/>
        </w:rPr>
        <w:t>Exceptions</w:t>
      </w:r>
      <w:r>
        <w:rPr>
          <w:rFonts w:ascii="Arial" w:cs="Arial" w:eastAsia="Arial" w:hAnsi="Arial"/>
          <w:sz w:val="19"/>
          <w:szCs w:val="19"/>
          <w:color w:val="221F1F"/>
        </w:rPr>
        <w:t>: The quarterly trading restrictions and event-driven trading restrictions do not apply to those transactions to which this Policy does not apply, as described above under the heading “Transactions Under Company Plans.” Further, the requirement for pre-clearance, the quarterly trading restrictions and event- driven trading restrictions do not apply to transactions conducted pursuant to approved Rule 10b5- 1 plans, described under the heading “Rule 10b5-1 Plans.”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RULE 10B5-1 PLANS</w:t>
      </w:r>
    </w:p>
    <w:p>
      <w:pPr>
        <w:spacing w:after="0" w:line="40" w:lineRule="exact"/>
        <w:rPr>
          <w:sz w:val="20"/>
          <w:szCs w:val="20"/>
          <w:color w:val="auto"/>
        </w:rPr>
      </w:pPr>
    </w:p>
    <w:p>
      <w:pPr>
        <w:jc w:val="both"/>
        <w:ind w:right="180"/>
        <w:spacing w:after="0" w:line="258" w:lineRule="auto"/>
        <w:rPr>
          <w:sz w:val="20"/>
          <w:szCs w:val="20"/>
          <w:color w:val="auto"/>
        </w:rPr>
      </w:pPr>
      <w:r>
        <w:rPr>
          <w:rFonts w:ascii="Arial" w:cs="Arial" w:eastAsia="Arial" w:hAnsi="Arial"/>
          <w:sz w:val="19"/>
          <w:szCs w:val="19"/>
          <w:color w:val="221F1F"/>
        </w:rPr>
        <w:t>Rule 10b5-1 under the Exchange Act provides an affirmative defense (but not a safe harbor) from insider trading liability under Rule 10b-5. In order to be eligible to rely on this defense, a person subject to this Policy must enter into a Rule 10b5-1 plan for transactions in Company Securities that meets certain conditions specified in Rule 10b-5 (a “Rule 10b5-1 Plan”). If the plan meets the requirements of Rule 10b5-1, Company Securities may be purchased or sold without regard to certain insider trading restrictions described in this Policy. To comply with the Policy, a Rule 10b5-1 Plan must be approved by the Chief Legal Officer and meet the requirements of Rule 10b5-1. A Rule 10b5-1 Plan must be entered into (i) at a time when the person entering into the plan is not aware of material nonpublic information about the Company or Company Securities, and (ii) in the case of Covered Senior Persons, during a “Window Period.”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200" w:lineRule="exact"/>
        <w:rPr>
          <w:sz w:val="20"/>
          <w:szCs w:val="20"/>
          <w:color w:val="auto"/>
        </w:rPr>
      </w:pPr>
    </w:p>
    <w:p>
      <w:pPr>
        <w:spacing w:after="0" w:line="229" w:lineRule="exact"/>
        <w:rPr>
          <w:sz w:val="20"/>
          <w:szCs w:val="20"/>
          <w:color w:val="auto"/>
        </w:rPr>
      </w:pPr>
    </w:p>
    <w:p>
      <w:pPr>
        <w:jc w:val="both"/>
        <w:ind w:right="180"/>
        <w:spacing w:after="0" w:line="275" w:lineRule="auto"/>
        <w:rPr>
          <w:sz w:val="20"/>
          <w:szCs w:val="20"/>
          <w:color w:val="auto"/>
        </w:rPr>
      </w:pPr>
      <w:r>
        <w:rPr>
          <w:rFonts w:ascii="Arial" w:cs="Arial" w:eastAsia="Arial" w:hAnsi="Arial"/>
          <w:sz w:val="19"/>
          <w:szCs w:val="19"/>
          <w:color w:val="221F1F"/>
        </w:rPr>
        <w:t>Any Rule 10b5-1 Plan to be entered into by Covered Senior Persons must be submitted for approval by the Chief Legal Officer five days prior to the entry into the Rule 10b5-1 Plan. No further pre-approval of transactions conducted pursuant to the Rule 10b5-1 Plan will be required.</w:t>
      </w:r>
    </w:p>
    <w:p>
      <w:pPr>
        <w:spacing w:after="0" w:line="190" w:lineRule="exact"/>
        <w:rPr>
          <w:sz w:val="20"/>
          <w:szCs w:val="20"/>
          <w:color w:val="auto"/>
        </w:rPr>
      </w:pPr>
    </w:p>
    <w:p>
      <w:pPr>
        <w:jc w:val="both"/>
        <w:ind w:left="100"/>
        <w:spacing w:after="0" w:line="265" w:lineRule="auto"/>
        <w:rPr>
          <w:sz w:val="20"/>
          <w:szCs w:val="20"/>
          <w:color w:val="auto"/>
        </w:rPr>
      </w:pPr>
      <w:r>
        <w:rPr>
          <w:rFonts w:ascii="Arial" w:cs="Arial" w:eastAsia="Arial" w:hAnsi="Arial"/>
          <w:sz w:val="19"/>
          <w:szCs w:val="19"/>
          <w:color w:val="221F1F"/>
        </w:rPr>
        <w:t>There are limitations on your ability to amend, modify and/or terminate a Rule 10b5-1 Plan. Covered Senior Persons may only amend or modify a Rule 10b5-1 Plan during a “Window Period,” and may only amend, modify or terminate a Rule 10b5-1 Plan following pre-clearance by the Chief Legal Officer. No individual, including Covered Senior Persons, may amend or modify the plan if at any time of the proposed amendment or suspension modification they possess material nonpublic information regarding the Company or Company Securities. Any amendment, modification or termination re-starts the Cooling-Off Period (defined below).</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221F1F"/>
        </w:rPr>
        <w:t>The first trade under any new or modified Rule 10b5-1 Plan is subject to the following “Cooling-Off Period”:</w:t>
      </w:r>
    </w:p>
    <w:p>
      <w:pPr>
        <w:spacing w:after="0" w:line="47" w:lineRule="exact"/>
        <w:rPr>
          <w:sz w:val="20"/>
          <w:szCs w:val="20"/>
          <w:color w:val="auto"/>
        </w:rPr>
      </w:pPr>
    </w:p>
    <w:p>
      <w:pPr>
        <w:ind w:left="740" w:right="580" w:hanging="328"/>
        <w:spacing w:after="0" w:line="257" w:lineRule="auto"/>
        <w:tabs>
          <w:tab w:leader="none" w:pos="735" w:val="left"/>
        </w:tabs>
        <w:numPr>
          <w:ilvl w:val="0"/>
          <w:numId w:val="95"/>
        </w:numPr>
        <w:rPr>
          <w:rFonts w:ascii="Times New Roman" w:cs="Times New Roman" w:eastAsia="Times New Roman" w:hAnsi="Times New Roman"/>
          <w:sz w:val="21"/>
          <w:szCs w:val="21"/>
          <w:color w:val="auto"/>
        </w:rPr>
      </w:pPr>
      <w:r>
        <w:rPr>
          <w:rFonts w:ascii="Arial" w:cs="Arial" w:eastAsia="Arial" w:hAnsi="Arial"/>
          <w:sz w:val="19"/>
          <w:szCs w:val="19"/>
          <w:color w:val="auto"/>
        </w:rPr>
        <w:t>The first trade under any Rule 10b5-1 Plan entered into by a member of the Board or individuals designated by the Board as “officers” as defined by Rule 16a-1 of the Exchange Act cannot occur until the later of:</w:t>
      </w:r>
    </w:p>
    <w:p>
      <w:pPr>
        <w:spacing w:after="0" w:line="1" w:lineRule="exact"/>
        <w:rPr>
          <w:rFonts w:ascii="Times New Roman" w:cs="Times New Roman" w:eastAsia="Times New Roman" w:hAnsi="Times New Roman"/>
          <w:sz w:val="21"/>
          <w:szCs w:val="21"/>
          <w:color w:val="auto"/>
        </w:rPr>
      </w:pPr>
    </w:p>
    <w:p>
      <w:pPr>
        <w:ind w:left="1320" w:hanging="272"/>
        <w:spacing w:after="0"/>
        <w:tabs>
          <w:tab w:leader="none" w:pos="1320" w:val="left"/>
        </w:tabs>
        <w:numPr>
          <w:ilvl w:val="1"/>
          <w:numId w:val="95"/>
        </w:numPr>
        <w:rPr>
          <w:rFonts w:ascii="Times New Roman" w:cs="Times New Roman" w:eastAsia="Times New Roman" w:hAnsi="Times New Roman"/>
          <w:sz w:val="21"/>
          <w:szCs w:val="21"/>
          <w:color w:val="auto"/>
        </w:rPr>
      </w:pPr>
      <w:r>
        <w:rPr>
          <w:rFonts w:ascii="Arial" w:cs="Arial" w:eastAsia="Arial" w:hAnsi="Arial"/>
          <w:sz w:val="19"/>
          <w:szCs w:val="19"/>
          <w:color w:val="auto"/>
        </w:rPr>
        <w:t>ninety (90) days after the adoption of the Rule 10b5-1 Plan, or</w:t>
      </w:r>
    </w:p>
    <w:p>
      <w:pPr>
        <w:spacing w:after="0" w:line="19" w:lineRule="exact"/>
        <w:rPr>
          <w:rFonts w:ascii="Times New Roman" w:cs="Times New Roman" w:eastAsia="Times New Roman" w:hAnsi="Times New Roman"/>
          <w:sz w:val="21"/>
          <w:szCs w:val="21"/>
          <w:color w:val="auto"/>
        </w:rPr>
      </w:pPr>
    </w:p>
    <w:p>
      <w:pPr>
        <w:jc w:val="both"/>
        <w:ind w:left="1040" w:right="780" w:firstLine="8"/>
        <w:spacing w:after="0" w:line="261" w:lineRule="auto"/>
        <w:tabs>
          <w:tab w:leader="none" w:pos="1897" w:val="left"/>
        </w:tabs>
        <w:numPr>
          <w:ilvl w:val="1"/>
          <w:numId w:val="95"/>
        </w:numPr>
        <w:rPr>
          <w:rFonts w:ascii="Times New Roman" w:cs="Times New Roman" w:eastAsia="Times New Roman" w:hAnsi="Times New Roman"/>
          <w:sz w:val="21"/>
          <w:szCs w:val="21"/>
          <w:color w:val="auto"/>
        </w:rPr>
      </w:pPr>
      <w:r>
        <w:rPr>
          <w:rFonts w:ascii="Arial" w:cs="Arial" w:eastAsia="Arial" w:hAnsi="Arial"/>
          <w:sz w:val="19"/>
          <w:szCs w:val="19"/>
          <w:color w:val="auto"/>
        </w:rPr>
        <w:t>two business days following the disclosure of the Company’s financial results in a Quarterly Report on Form 10-Q or Annual Report on Form 10-K for the completed fiscal quarter in which the plan was adopted (but in any event, not to exceed 120 days after the adoption of the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Page 10 of #NUM_PAGES#</w:t>
      </w:r>
    </w:p>
    <w:p>
      <w:pPr>
        <w:spacing w:after="0" w:line="25"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240"/>
          </w:cols>
          <w:pgMar w:left="320" w:top="1152" w:right="339" w:bottom="1440" w:gutter="0" w:footer="0" w:header="0"/>
        </w:sectPr>
      </w:pPr>
    </w:p>
    <w:bookmarkStart w:id="170" w:name="page171"/>
    <w:bookmarkEnd w:id="170"/>
    <w:p>
      <w:pPr>
        <w:ind w:left="740" w:right="860" w:hanging="328"/>
        <w:spacing w:after="0" w:line="277" w:lineRule="auto"/>
        <w:tabs>
          <w:tab w:leader="none" w:pos="735" w:val="left"/>
        </w:tabs>
        <w:numPr>
          <w:ilvl w:val="0"/>
          <w:numId w:val="96"/>
        </w:numPr>
        <w:rPr>
          <w:rFonts w:ascii="Times New Roman" w:cs="Times New Roman" w:eastAsia="Times New Roman" w:hAnsi="Times New Roman"/>
          <w:sz w:val="21"/>
          <w:szCs w:val="21"/>
          <w:color w:val="auto"/>
        </w:rPr>
      </w:pPr>
      <w:r>
        <w:rPr>
          <w:rFonts w:ascii="Arial" w:cs="Arial" w:eastAsia="Arial" w:hAnsi="Arial"/>
          <w:sz w:val="19"/>
          <w:szCs w:val="19"/>
          <w:color w:val="auto"/>
        </w:rPr>
        <w:t>The first trade under any Rule 10b5-1 Plan entered into by other Company employees cannot occur until thirty (30) days after the adoption of the Rule 10b5-1 Plan.</w:t>
      </w:r>
    </w:p>
    <w:p>
      <w:pPr>
        <w:spacing w:after="0" w:line="185" w:lineRule="exact"/>
        <w:rPr>
          <w:sz w:val="20"/>
          <w:szCs w:val="20"/>
          <w:color w:val="auto"/>
        </w:rPr>
      </w:pPr>
    </w:p>
    <w:p>
      <w:pPr>
        <w:jc w:val="both"/>
        <w:ind w:right="100"/>
        <w:spacing w:after="0" w:line="265" w:lineRule="auto"/>
        <w:rPr>
          <w:sz w:val="20"/>
          <w:szCs w:val="20"/>
          <w:color w:val="auto"/>
        </w:rPr>
      </w:pPr>
      <w:r>
        <w:rPr>
          <w:rFonts w:ascii="Arial" w:cs="Arial" w:eastAsia="Arial" w:hAnsi="Arial"/>
          <w:sz w:val="19"/>
          <w:szCs w:val="19"/>
          <w:color w:val="auto"/>
        </w:rPr>
        <w:t>Directors and officers must include a representation in their Rule 10b5-1 Plan certifying that: (i) they are not aware of any material nonpublic information about the Company or Company Securities and (ii) they are adopting the plan in good faith and not as part of a plan or scheme to evade the prohibitions in Rule 10b-5. Anyone entering into a Rule 10b5-1 plan must act in good faith with respect to that plan.</w:t>
      </w:r>
    </w:p>
    <w:p>
      <w:pPr>
        <w:spacing w:after="0" w:line="201" w:lineRule="exact"/>
        <w:rPr>
          <w:sz w:val="20"/>
          <w:szCs w:val="20"/>
          <w:color w:val="auto"/>
        </w:rPr>
      </w:pPr>
    </w:p>
    <w:p>
      <w:pPr>
        <w:jc w:val="both"/>
        <w:ind w:right="280"/>
        <w:spacing w:after="0" w:line="275" w:lineRule="auto"/>
        <w:rPr>
          <w:sz w:val="20"/>
          <w:szCs w:val="20"/>
          <w:color w:val="auto"/>
        </w:rPr>
      </w:pPr>
      <w:r>
        <w:rPr>
          <w:rFonts w:ascii="Arial" w:cs="Arial" w:eastAsia="Arial" w:hAnsi="Arial"/>
          <w:sz w:val="19"/>
          <w:szCs w:val="19"/>
          <w:color w:val="auto"/>
        </w:rPr>
        <w:t>An individual may not have more than one Rule 10b5-1 Plan outstanding at the same time (except in limited circumstances permitted under Rule 10b5-1 and subject to pre-approval by the Chief Legal Officer in the case of Covered Senior Persons) and may only enter into one single-trade Rule 10b5-1 Plan during any twelve- month period.</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OTHER LIMITED EXCEPTIONS</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u w:val="single" w:color="auto"/>
          <w:color w:val="auto"/>
        </w:rPr>
        <w:t>Stock Splits, Stock Dividends and Similar Transactions</w:t>
      </w:r>
      <w:r>
        <w:rPr>
          <w:rFonts w:ascii="Arial" w:cs="Arial" w:eastAsia="Arial" w:hAnsi="Arial"/>
          <w:sz w:val="19"/>
          <w:szCs w:val="19"/>
          <w:color w:val="auto"/>
        </w:rPr>
        <w:t>: The trading restrictions under this Policy do not apply to a change in the number of securities held as a result of a stock split or stock dividend applying equally to all securities of a class, or similar transactions.</w:t>
      </w:r>
    </w:p>
    <w:p>
      <w:pPr>
        <w:jc w:val="both"/>
        <w:ind w:right="280"/>
        <w:spacing w:after="0" w:line="273" w:lineRule="auto"/>
        <w:rPr>
          <w:sz w:val="20"/>
          <w:szCs w:val="20"/>
          <w:color w:val="auto"/>
        </w:rPr>
      </w:pPr>
      <w:r>
        <w:rPr>
          <w:rFonts w:ascii="Arial" w:cs="Arial" w:eastAsia="Arial" w:hAnsi="Arial"/>
          <w:sz w:val="19"/>
          <w:szCs w:val="19"/>
          <w:u w:val="single" w:color="auto"/>
          <w:color w:val="auto"/>
        </w:rPr>
        <w:t>Change in Form of Ownership</w:t>
      </w:r>
      <w:r>
        <w:rPr>
          <w:rFonts w:ascii="Arial" w:cs="Arial" w:eastAsia="Arial" w:hAnsi="Arial"/>
          <w:sz w:val="19"/>
          <w:szCs w:val="19"/>
          <w:color w:val="auto"/>
        </w:rPr>
        <w:t xml:space="preserve">: Transactions that involve merely a change in the form in which you own securities are permissible. For example, you may transfer shares to an </w:t>
      </w:r>
      <w:r>
        <w:rPr>
          <w:rFonts w:ascii="Arial" w:cs="Arial" w:eastAsia="Arial" w:hAnsi="Arial"/>
          <w:sz w:val="19"/>
          <w:szCs w:val="19"/>
          <w:i w:val="1"/>
          <w:iCs w:val="1"/>
          <w:color w:val="auto"/>
        </w:rPr>
        <w:t>inter vivos</w:t>
      </w:r>
      <w:r>
        <w:rPr>
          <w:rFonts w:ascii="Arial" w:cs="Arial" w:eastAsia="Arial" w:hAnsi="Arial"/>
          <w:sz w:val="19"/>
          <w:szCs w:val="19"/>
          <w:color w:val="auto"/>
        </w:rPr>
        <w:t xml:space="preserve"> trust of which you are the sole beneficiary during your lifetime.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POST-TERMINATION TRANSACTIONS</w:t>
      </w:r>
    </w:p>
    <w:p>
      <w:pPr>
        <w:spacing w:after="0" w:line="40" w:lineRule="exact"/>
        <w:rPr>
          <w:sz w:val="20"/>
          <w:szCs w:val="20"/>
          <w:color w:val="auto"/>
        </w:rPr>
      </w:pPr>
    </w:p>
    <w:p>
      <w:pPr>
        <w:jc w:val="both"/>
        <w:ind w:right="180"/>
        <w:spacing w:after="0" w:line="260" w:lineRule="auto"/>
        <w:rPr>
          <w:sz w:val="20"/>
          <w:szCs w:val="20"/>
          <w:color w:val="auto"/>
        </w:rPr>
      </w:pPr>
      <w:r>
        <w:rPr>
          <w:rFonts w:ascii="Arial" w:cs="Arial" w:eastAsia="Arial" w:hAnsi="Arial"/>
          <w:sz w:val="19"/>
          <w:szCs w:val="19"/>
          <w:color w:val="221F1F"/>
        </w:rPr>
        <w:t>This Policy continues to apply to transactions in Company Securities even after termination of service to the Company. If an individual is in possession of material nonpublic information when his or her service terminates, that individual may not engage in transactions in Company Securities until that information has become public or is no longer material. The pre-clearance procedures specified under the heading “Pre- Clearance and Blackouts” above, however, will cease to apply to transactions in Company Securities upon the expiration of any Blackout Period or other Company-imposed trading restrictions applicable at the time of the termination of service.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CONSEQUENCES OF VIOLATIONS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221F1F"/>
        </w:rPr>
        <w:t>The purchase or sale of securities while aware of material nonpublic information, or the disclosure of material nonpublic information to others who then engage in transactions in Company Securities, is prohibited by federal and state laws. Insider trading violations are pursued vigorously by the SEC, U.S. Attorneys and state enforcement authorities as well as the laws of foreign jurisdictions.</w:t>
      </w:r>
    </w:p>
    <w:p>
      <w:pPr>
        <w:spacing w:after="0" w:line="200" w:lineRule="exact"/>
        <w:rPr>
          <w:sz w:val="20"/>
          <w:szCs w:val="20"/>
          <w:color w:val="auto"/>
        </w:rPr>
      </w:pPr>
    </w:p>
    <w:p>
      <w:pPr>
        <w:spacing w:after="0" w:line="235" w:lineRule="exact"/>
        <w:rPr>
          <w:sz w:val="20"/>
          <w:szCs w:val="20"/>
          <w:color w:val="auto"/>
        </w:rPr>
      </w:pPr>
    </w:p>
    <w:p>
      <w:pPr>
        <w:ind w:right="320"/>
        <w:spacing w:after="0" w:line="302" w:lineRule="auto"/>
        <w:rPr>
          <w:sz w:val="20"/>
          <w:szCs w:val="20"/>
          <w:color w:val="auto"/>
        </w:rPr>
      </w:pPr>
      <w:r>
        <w:rPr>
          <w:rFonts w:ascii="Arial" w:cs="Arial" w:eastAsia="Arial" w:hAnsi="Arial"/>
          <w:sz w:val="19"/>
          <w:szCs w:val="19"/>
          <w:color w:val="221F1F"/>
        </w:rPr>
        <w:t>Punishment for insider trading violations is severe, and could include significant fines and imprisonment. As of the effective date of this Policy, potential penalties for insider trading violations under U.S. federal securities laws include:</w:t>
      </w:r>
    </w:p>
    <w:p>
      <w:pPr>
        <w:spacing w:after="0" w:line="179" w:lineRule="exact"/>
        <w:rPr>
          <w:sz w:val="20"/>
          <w:szCs w:val="20"/>
          <w:color w:val="auto"/>
        </w:rPr>
      </w:pPr>
    </w:p>
    <w:p>
      <w:pPr>
        <w:ind w:left="720" w:hanging="228"/>
        <w:spacing w:after="0"/>
        <w:tabs>
          <w:tab w:leader="none" w:pos="720" w:val="left"/>
        </w:tabs>
        <w:numPr>
          <w:ilvl w:val="0"/>
          <w:numId w:val="97"/>
        </w:numPr>
        <w:rPr>
          <w:rFonts w:ascii="Times New Roman" w:cs="Times New Roman" w:eastAsia="Times New Roman" w:hAnsi="Times New Roman"/>
          <w:sz w:val="21"/>
          <w:szCs w:val="21"/>
          <w:color w:val="auto"/>
        </w:rPr>
      </w:pPr>
      <w:r>
        <w:rPr>
          <w:rFonts w:ascii="Arial" w:cs="Arial" w:eastAsia="Arial" w:hAnsi="Arial"/>
          <w:sz w:val="19"/>
          <w:szCs w:val="19"/>
          <w:color w:val="auto"/>
        </w:rPr>
        <w:t>damages in a private lawsuit;</w:t>
      </w:r>
    </w:p>
    <w:p>
      <w:pPr>
        <w:spacing w:after="0" w:line="23" w:lineRule="exact"/>
        <w:rPr>
          <w:rFonts w:ascii="Times New Roman" w:cs="Times New Roman" w:eastAsia="Times New Roman" w:hAnsi="Times New Roman"/>
          <w:sz w:val="21"/>
          <w:szCs w:val="21"/>
          <w:color w:val="auto"/>
        </w:rPr>
      </w:pPr>
    </w:p>
    <w:p>
      <w:pPr>
        <w:ind w:left="720" w:hanging="228"/>
        <w:spacing w:after="0"/>
        <w:tabs>
          <w:tab w:leader="none" w:pos="720" w:val="left"/>
        </w:tabs>
        <w:numPr>
          <w:ilvl w:val="0"/>
          <w:numId w:val="97"/>
        </w:numPr>
        <w:rPr>
          <w:rFonts w:ascii="Times New Roman" w:cs="Times New Roman" w:eastAsia="Times New Roman" w:hAnsi="Times New Roman"/>
          <w:sz w:val="21"/>
          <w:szCs w:val="21"/>
          <w:color w:val="auto"/>
        </w:rPr>
      </w:pPr>
      <w:r>
        <w:rPr>
          <w:rFonts w:ascii="Arial" w:cs="Arial" w:eastAsia="Arial" w:hAnsi="Arial"/>
          <w:sz w:val="19"/>
          <w:szCs w:val="19"/>
          <w:color w:val="auto"/>
        </w:rPr>
        <w:t>disgorging any profits made or losses avoided;</w:t>
      </w:r>
    </w:p>
    <w:p>
      <w:pPr>
        <w:spacing w:after="0" w:line="16" w:lineRule="exact"/>
        <w:rPr>
          <w:rFonts w:ascii="Times New Roman" w:cs="Times New Roman" w:eastAsia="Times New Roman" w:hAnsi="Times New Roman"/>
          <w:sz w:val="21"/>
          <w:szCs w:val="21"/>
          <w:color w:val="auto"/>
        </w:rPr>
      </w:pPr>
    </w:p>
    <w:p>
      <w:pPr>
        <w:ind w:left="720" w:hanging="228"/>
        <w:spacing w:after="0"/>
        <w:tabs>
          <w:tab w:leader="none" w:pos="720" w:val="left"/>
        </w:tabs>
        <w:numPr>
          <w:ilvl w:val="0"/>
          <w:numId w:val="97"/>
        </w:numPr>
        <w:rPr>
          <w:rFonts w:ascii="Times New Roman" w:cs="Times New Roman" w:eastAsia="Times New Roman" w:hAnsi="Times New Roman"/>
          <w:sz w:val="21"/>
          <w:szCs w:val="21"/>
          <w:color w:val="auto"/>
        </w:rPr>
      </w:pPr>
      <w:r>
        <w:rPr>
          <w:rFonts w:ascii="Arial" w:cs="Arial" w:eastAsia="Arial" w:hAnsi="Arial"/>
          <w:sz w:val="19"/>
          <w:szCs w:val="19"/>
          <w:color w:val="auto"/>
        </w:rPr>
        <w:t>imprisonment;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Page 11 of #NUM_PAGES#</w:t>
      </w:r>
    </w:p>
    <w:p>
      <w:pPr>
        <w:spacing w:after="0" w:line="25"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240"/>
          </w:cols>
          <w:pgMar w:left="320" w:top="1178" w:right="339" w:bottom="1440" w:gutter="0" w:footer="0" w:header="0"/>
        </w:sectPr>
      </w:pPr>
    </w:p>
    <w:bookmarkStart w:id="171" w:name="page172"/>
    <w:bookmarkEnd w:id="171"/>
    <w:p>
      <w:pPr>
        <w:ind w:left="720" w:hanging="228"/>
        <w:spacing w:after="0"/>
        <w:tabs>
          <w:tab w:leader="none" w:pos="720" w:val="left"/>
        </w:tabs>
        <w:numPr>
          <w:ilvl w:val="0"/>
          <w:numId w:val="98"/>
        </w:numPr>
        <w:rPr>
          <w:rFonts w:ascii="Times New Roman" w:cs="Times New Roman" w:eastAsia="Times New Roman" w:hAnsi="Times New Roman"/>
          <w:sz w:val="21"/>
          <w:szCs w:val="21"/>
          <w:color w:val="auto"/>
        </w:rPr>
      </w:pPr>
      <w:r>
        <w:rPr>
          <w:rFonts w:ascii="Arial" w:cs="Arial" w:eastAsia="Arial" w:hAnsi="Arial"/>
          <w:sz w:val="19"/>
          <w:szCs w:val="19"/>
          <w:color w:val="auto"/>
        </w:rPr>
        <w:t>substantial criminal fines;</w:t>
      </w:r>
    </w:p>
    <w:p>
      <w:pPr>
        <w:spacing w:after="0" w:line="23" w:lineRule="exact"/>
        <w:rPr>
          <w:rFonts w:ascii="Times New Roman" w:cs="Times New Roman" w:eastAsia="Times New Roman" w:hAnsi="Times New Roman"/>
          <w:sz w:val="21"/>
          <w:szCs w:val="21"/>
          <w:color w:val="auto"/>
        </w:rPr>
      </w:pPr>
    </w:p>
    <w:p>
      <w:pPr>
        <w:ind w:left="720" w:hanging="228"/>
        <w:spacing w:after="0"/>
        <w:tabs>
          <w:tab w:leader="none" w:pos="720" w:val="left"/>
        </w:tabs>
        <w:numPr>
          <w:ilvl w:val="0"/>
          <w:numId w:val="98"/>
        </w:numPr>
        <w:rPr>
          <w:rFonts w:ascii="Times New Roman" w:cs="Times New Roman" w:eastAsia="Times New Roman" w:hAnsi="Times New Roman"/>
          <w:sz w:val="21"/>
          <w:szCs w:val="21"/>
          <w:color w:val="auto"/>
        </w:rPr>
      </w:pPr>
      <w:r>
        <w:rPr>
          <w:rFonts w:ascii="Arial" w:cs="Arial" w:eastAsia="Arial" w:hAnsi="Arial"/>
          <w:sz w:val="19"/>
          <w:szCs w:val="19"/>
          <w:color w:val="auto"/>
        </w:rPr>
        <w:t>substantial civil fines up to three times the profit gained or loss avoided;</w:t>
      </w:r>
    </w:p>
    <w:p>
      <w:pPr>
        <w:spacing w:after="0" w:line="23" w:lineRule="exact"/>
        <w:rPr>
          <w:rFonts w:ascii="Times New Roman" w:cs="Times New Roman" w:eastAsia="Times New Roman" w:hAnsi="Times New Roman"/>
          <w:sz w:val="21"/>
          <w:szCs w:val="21"/>
          <w:color w:val="auto"/>
        </w:rPr>
      </w:pPr>
    </w:p>
    <w:p>
      <w:pPr>
        <w:ind w:left="720" w:hanging="228"/>
        <w:spacing w:after="0"/>
        <w:tabs>
          <w:tab w:leader="none" w:pos="720" w:val="left"/>
        </w:tabs>
        <w:numPr>
          <w:ilvl w:val="0"/>
          <w:numId w:val="98"/>
        </w:numPr>
        <w:rPr>
          <w:rFonts w:ascii="Times New Roman" w:cs="Times New Roman" w:eastAsia="Times New Roman" w:hAnsi="Times New Roman"/>
          <w:sz w:val="21"/>
          <w:szCs w:val="21"/>
          <w:color w:val="auto"/>
        </w:rPr>
      </w:pPr>
      <w:r>
        <w:rPr>
          <w:rFonts w:ascii="Arial" w:cs="Arial" w:eastAsia="Arial" w:hAnsi="Arial"/>
          <w:sz w:val="19"/>
          <w:szCs w:val="19"/>
          <w:color w:val="auto"/>
        </w:rPr>
        <w:t>a bar against serving as an officer or director of a public company; and</w:t>
      </w:r>
    </w:p>
    <w:p>
      <w:pPr>
        <w:spacing w:after="0" w:line="16" w:lineRule="exact"/>
        <w:rPr>
          <w:rFonts w:ascii="Times New Roman" w:cs="Times New Roman" w:eastAsia="Times New Roman" w:hAnsi="Times New Roman"/>
          <w:sz w:val="21"/>
          <w:szCs w:val="21"/>
          <w:color w:val="auto"/>
        </w:rPr>
      </w:pPr>
    </w:p>
    <w:p>
      <w:pPr>
        <w:ind w:left="720" w:hanging="228"/>
        <w:spacing w:after="0"/>
        <w:tabs>
          <w:tab w:leader="none" w:pos="720" w:val="left"/>
        </w:tabs>
        <w:numPr>
          <w:ilvl w:val="0"/>
          <w:numId w:val="98"/>
        </w:numPr>
        <w:rPr>
          <w:rFonts w:ascii="Times New Roman" w:cs="Times New Roman" w:eastAsia="Times New Roman" w:hAnsi="Times New Roman"/>
          <w:sz w:val="21"/>
          <w:szCs w:val="21"/>
          <w:color w:val="auto"/>
        </w:rPr>
      </w:pPr>
      <w:r>
        <w:rPr>
          <w:rFonts w:ascii="Arial" w:cs="Arial" w:eastAsia="Arial" w:hAnsi="Arial"/>
          <w:sz w:val="19"/>
          <w:szCs w:val="19"/>
          <w:color w:val="auto"/>
        </w:rPr>
        <w:t>an injunction against future violations.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9"/>
          <w:szCs w:val="19"/>
          <w:color w:val="221F1F"/>
        </w:rPr>
        <w:t>Civil and criminal penalties also apply to tipping. The SEC has imposed large penalties in tipping cases even when the disclosing person did not trade or gain any benefit from another person’s trading.</w:t>
      </w:r>
    </w:p>
    <w:p>
      <w:pPr>
        <w:spacing w:after="0" w:line="178" w:lineRule="exact"/>
        <w:rPr>
          <w:sz w:val="20"/>
          <w:szCs w:val="20"/>
          <w:color w:val="auto"/>
        </w:rPr>
      </w:pPr>
    </w:p>
    <w:p>
      <w:pPr>
        <w:jc w:val="both"/>
        <w:ind w:right="240"/>
        <w:spacing w:after="0" w:line="260" w:lineRule="auto"/>
        <w:rPr>
          <w:sz w:val="20"/>
          <w:szCs w:val="20"/>
          <w:color w:val="auto"/>
        </w:rPr>
      </w:pPr>
      <w:r>
        <w:rPr>
          <w:rFonts w:ascii="Arial" w:cs="Arial" w:eastAsia="Arial" w:hAnsi="Arial"/>
          <w:sz w:val="19"/>
          <w:szCs w:val="19"/>
          <w:color w:val="221F1F"/>
        </w:rPr>
        <w:t>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As of the effective date of this policy, the penalty for “controlling person liability” includes civil fines, as well as potential criminal fines and imprisonment. If the Company has a reasonable basis to conclude that an employee, officer, director, or consultant has failed to comply with this Policy, such person may be subject to disciplinary action by the Company, up to and including dismissal for cause if the person is an employee or officer, or subject to termination of services if the person is a director or consultant, regardless of whether or not failure to comply with this Policy results in a violation of law. It is not necessary for the Company to wait for the filing or conclusion of any civil or criminal action against an alleged violator before taking disciplinary action. In addition, the Company may give stop transfer and other instructions to the Company’s transfer agent to enforce compliance with this Policy.</w:t>
      </w:r>
    </w:p>
    <w:p>
      <w:pPr>
        <w:spacing w:after="0" w:line="204" w:lineRule="exact"/>
        <w:rPr>
          <w:sz w:val="20"/>
          <w:szCs w:val="20"/>
          <w:color w:val="auto"/>
        </w:rPr>
      </w:pPr>
    </w:p>
    <w:p>
      <w:pPr>
        <w:jc w:val="both"/>
        <w:ind w:right="180"/>
        <w:spacing w:after="0" w:line="270" w:lineRule="auto"/>
        <w:rPr>
          <w:sz w:val="20"/>
          <w:szCs w:val="20"/>
          <w:color w:val="auto"/>
        </w:rPr>
      </w:pPr>
      <w:r>
        <w:rPr>
          <w:rFonts w:ascii="Arial" w:cs="Arial" w:eastAsia="Arial" w:hAnsi="Arial"/>
          <w:sz w:val="19"/>
          <w:szCs w:val="19"/>
          <w:color w:val="221F1F"/>
        </w:rPr>
        <w:t>In addition, an individual’s failure to comply with this Policy may subject the individual to Company- 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COMPLIANCE WITH SECTION 16 OF THE EXCHANGE ACT AND RULE 144 OF THE SECURITIES ACT</w:t>
      </w:r>
    </w:p>
    <w:p>
      <w:pPr>
        <w:spacing w:after="0" w:line="40" w:lineRule="exact"/>
        <w:rPr>
          <w:sz w:val="20"/>
          <w:szCs w:val="20"/>
          <w:color w:val="auto"/>
        </w:rPr>
      </w:pPr>
    </w:p>
    <w:p>
      <w:pPr>
        <w:jc w:val="both"/>
        <w:ind w:right="180"/>
        <w:spacing w:after="0" w:line="258" w:lineRule="auto"/>
        <w:rPr>
          <w:sz w:val="20"/>
          <w:szCs w:val="20"/>
          <w:color w:val="auto"/>
        </w:rPr>
      </w:pPr>
      <w:r>
        <w:rPr>
          <w:rFonts w:ascii="Arial" w:cs="Arial" w:eastAsia="Arial" w:hAnsi="Arial"/>
          <w:sz w:val="19"/>
          <w:szCs w:val="19"/>
          <w:u w:val="single" w:color="auto"/>
          <w:color w:val="auto"/>
        </w:rPr>
        <w:t>Notification Requirements to Facilitate Section 16 Reporting.</w:t>
      </w:r>
      <w:r>
        <w:rPr>
          <w:rFonts w:ascii="Arial" w:cs="Arial" w:eastAsia="Arial" w:hAnsi="Arial"/>
          <w:sz w:val="19"/>
          <w:szCs w:val="19"/>
          <w:color w:val="auto"/>
        </w:rPr>
        <w:t xml:space="preserve"> </w:t>
      </w:r>
      <w:r>
        <w:rPr>
          <w:rFonts w:ascii="Arial" w:cs="Arial" w:eastAsia="Arial" w:hAnsi="Arial"/>
          <w:sz w:val="19"/>
          <w:szCs w:val="19"/>
          <w:color w:val="221F1F"/>
        </w:rPr>
        <w:t>Section 16(a) of the Exchange Act requires that certain</w:t>
      </w:r>
      <w:r>
        <w:rPr>
          <w:rFonts w:ascii="Arial" w:cs="Arial" w:eastAsia="Arial" w:hAnsi="Arial"/>
          <w:sz w:val="19"/>
          <w:szCs w:val="19"/>
          <w:color w:val="auto"/>
        </w:rPr>
        <w:t xml:space="preserve"> </w:t>
      </w:r>
      <w:r>
        <w:rPr>
          <w:rFonts w:ascii="Arial" w:cs="Arial" w:eastAsia="Arial" w:hAnsi="Arial"/>
          <w:sz w:val="19"/>
          <w:szCs w:val="19"/>
          <w:color w:val="221F1F"/>
        </w:rPr>
        <w:t xml:space="preserve">transactions by members of the Board and individuals designated by the Board, from time to time, as “officers” as defined by Rule 16a-1 of the Exchange Act be reported on Form 4s filed with the SEC within two business days following the date of the transaction. </w:t>
      </w:r>
      <w:r>
        <w:rPr>
          <w:rFonts w:ascii="Arial" w:cs="Arial" w:eastAsia="Arial" w:hAnsi="Arial"/>
          <w:sz w:val="19"/>
          <w:szCs w:val="19"/>
          <w:color w:val="000000"/>
        </w:rPr>
        <w:t>To facilitate timely reporting of transactions pursuant to Section 16 requirements, each person subject to Section 16</w:t>
      </w:r>
      <w:r>
        <w:rPr>
          <w:rFonts w:ascii="Arial" w:cs="Arial" w:eastAsia="Arial" w:hAnsi="Arial"/>
          <w:sz w:val="19"/>
          <w:szCs w:val="19"/>
          <w:color w:val="221F1F"/>
        </w:rPr>
        <w:t xml:space="preserve"> </w:t>
      </w:r>
      <w:r>
        <w:rPr>
          <w:rFonts w:ascii="Arial" w:cs="Arial" w:eastAsia="Arial" w:hAnsi="Arial"/>
          <w:sz w:val="19"/>
          <w:szCs w:val="19"/>
          <w:color w:val="000000"/>
        </w:rPr>
        <w:t>reporting requirements must provide, or must ensure that his or her broker provides, the Chief Legal Officer with detailed information (e.g., trade date, number of shares, exact price, etc.) regarding his or her transactions involving the Company Securities, including gifts, transfers, pledges and transactions pursuant to a trading plan, both prior to (to confirm compliance with pre-clearance procedures, if applicable) and promptly following execution.</w:t>
      </w:r>
    </w:p>
    <w:p>
      <w:pPr>
        <w:spacing w:after="0" w:line="210" w:lineRule="exact"/>
        <w:rPr>
          <w:sz w:val="20"/>
          <w:szCs w:val="20"/>
          <w:color w:val="auto"/>
        </w:rPr>
      </w:pPr>
    </w:p>
    <w:p>
      <w:pPr>
        <w:ind w:right="640"/>
        <w:spacing w:after="0" w:line="288" w:lineRule="auto"/>
        <w:rPr>
          <w:sz w:val="20"/>
          <w:szCs w:val="20"/>
          <w:color w:val="auto"/>
        </w:rPr>
      </w:pPr>
      <w:r>
        <w:rPr>
          <w:rFonts w:ascii="Arial" w:cs="Arial" w:eastAsia="Arial" w:hAnsi="Arial"/>
          <w:sz w:val="19"/>
          <w:szCs w:val="19"/>
          <w:u w:val="single" w:color="auto"/>
          <w:color w:val="auto"/>
        </w:rPr>
        <w:t>Personal responsibility.</w:t>
      </w:r>
      <w:r>
        <w:rPr>
          <w:rFonts w:ascii="Arial" w:cs="Arial" w:eastAsia="Arial" w:hAnsi="Arial"/>
          <w:sz w:val="19"/>
          <w:szCs w:val="19"/>
          <w:color w:val="auto"/>
        </w:rPr>
        <w:t xml:space="preserve"> The obligation to file Section 16 reports, and to otherwise comply with Section 16, is personal. The Company is not responsible for the failure to comply with Section 16 requirements.</w:t>
      </w:r>
    </w:p>
    <w:p>
      <w:pPr>
        <w:spacing w:after="0" w:line="178" w:lineRule="exact"/>
        <w:rPr>
          <w:sz w:val="20"/>
          <w:szCs w:val="20"/>
          <w:color w:val="auto"/>
        </w:rPr>
      </w:pPr>
    </w:p>
    <w:p>
      <w:pPr>
        <w:ind w:right="440"/>
        <w:spacing w:after="0" w:line="264" w:lineRule="auto"/>
        <w:rPr>
          <w:sz w:val="20"/>
          <w:szCs w:val="20"/>
          <w:color w:val="auto"/>
        </w:rPr>
      </w:pPr>
      <w:r>
        <w:rPr>
          <w:rFonts w:ascii="Arial" w:cs="Arial" w:eastAsia="Arial" w:hAnsi="Arial"/>
          <w:sz w:val="19"/>
          <w:szCs w:val="19"/>
          <w:u w:val="single" w:color="auto"/>
          <w:color w:val="auto"/>
        </w:rPr>
        <w:t>Notification Requirements to Facilitate Form 144 Reports.</w:t>
      </w:r>
      <w:r>
        <w:rPr>
          <w:rFonts w:ascii="Arial" w:cs="Arial" w:eastAsia="Arial" w:hAnsi="Arial"/>
          <w:sz w:val="19"/>
          <w:szCs w:val="19"/>
          <w:color w:val="auto"/>
        </w:rPr>
        <w:t xml:space="preserve"> </w:t>
      </w:r>
      <w:r>
        <w:rPr>
          <w:rFonts w:ascii="Arial" w:cs="Arial" w:eastAsia="Arial" w:hAnsi="Arial"/>
          <w:sz w:val="19"/>
          <w:szCs w:val="19"/>
          <w:color w:val="221F1F"/>
        </w:rPr>
        <w:t>Members of the Board and individuals designated by the Board,</w:t>
      </w:r>
      <w:r>
        <w:rPr>
          <w:rFonts w:ascii="Arial" w:cs="Arial" w:eastAsia="Arial" w:hAnsi="Arial"/>
          <w:sz w:val="19"/>
          <w:szCs w:val="19"/>
          <w:color w:val="auto"/>
        </w:rPr>
        <w:t xml:space="preserve"> </w:t>
      </w:r>
      <w:r>
        <w:rPr>
          <w:rFonts w:ascii="Arial" w:cs="Arial" w:eastAsia="Arial" w:hAnsi="Arial"/>
          <w:sz w:val="19"/>
          <w:szCs w:val="19"/>
          <w:color w:val="221F1F"/>
        </w:rPr>
        <w:t>from time to time, as “officers” as defined in Rule 16a-1 of the Exchange Act are</w:t>
      </w:r>
    </w:p>
    <w:p>
      <w:pPr>
        <w:spacing w:after="0"/>
        <w:rPr>
          <w:sz w:val="20"/>
          <w:szCs w:val="20"/>
          <w:color w:val="auto"/>
        </w:rPr>
      </w:pPr>
      <w:r>
        <w:rPr>
          <w:rFonts w:ascii="Arial" w:cs="Arial" w:eastAsia="Arial" w:hAnsi="Arial"/>
          <w:sz w:val="19"/>
          <w:szCs w:val="19"/>
          <w:color w:val="221F1F"/>
        </w:rPr>
        <w:t>required to file a Form 144 with the SEC before making an open market sale of Company Securities. Form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Page 12 of #NUM_PAGES#</w:t>
      </w:r>
    </w:p>
    <w:p>
      <w:pPr>
        <w:spacing w:after="0" w:line="25"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240"/>
          </w:cols>
          <w:pgMar w:left="320" w:top="1178" w:right="339" w:bottom="1440" w:gutter="0" w:footer="0" w:header="0"/>
        </w:sectPr>
      </w:pPr>
    </w:p>
    <w:bookmarkStart w:id="172" w:name="page173"/>
    <w:bookmarkEnd w:id="172"/>
    <w:p>
      <w:pPr>
        <w:jc w:val="both"/>
        <w:spacing w:after="0" w:line="282" w:lineRule="auto"/>
        <w:rPr>
          <w:sz w:val="20"/>
          <w:szCs w:val="20"/>
          <w:color w:val="auto"/>
        </w:rPr>
      </w:pPr>
      <w:r>
        <w:rPr>
          <w:rFonts w:ascii="Arial" w:cs="Arial" w:eastAsia="Arial" w:hAnsi="Arial"/>
          <w:sz w:val="19"/>
          <w:szCs w:val="19"/>
          <w:color w:val="221F1F"/>
        </w:rPr>
        <w:t>notifies the SEC of an individual’s intent to sell Company Securities. Often prepared and filed by a broker pursuant to a previously executed limited power of attorney, this form and its timely filing is each individual’s personal responsibility and is in addition to the filing of a Form 4 or Form 5, as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COMPANY ASSISTANCE</w:t>
      </w:r>
    </w:p>
    <w:p>
      <w:pPr>
        <w:spacing w:after="0" w:line="4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221F1F"/>
        </w:rPr>
        <w:t xml:space="preserve">Any person who has a question about this Policy or its application to any proposed transaction may obtain additional guidance from the Chief Legal Officer </w:t>
      </w:r>
      <w:r>
        <w:rPr>
          <w:rFonts w:ascii="Arial" w:cs="Arial" w:eastAsia="Arial" w:hAnsi="Arial"/>
          <w:sz w:val="19"/>
          <w:szCs w:val="19"/>
          <w:color w:val="000000"/>
        </w:rPr>
        <w:t>by email at</w:t>
      </w:r>
      <w:r>
        <w:rPr>
          <w:rFonts w:ascii="Arial" w:cs="Arial" w:eastAsia="Arial" w:hAnsi="Arial"/>
          <w:sz w:val="19"/>
          <w:szCs w:val="19"/>
          <w:color w:val="221F1F"/>
        </w:rPr>
        <w:t xml:space="preserve"> legal@innovage.com.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221F1F"/>
        </w:rPr>
        <w:t>ADDITIONAL INFORMATION</w:t>
      </w:r>
    </w:p>
    <w:p>
      <w:pPr>
        <w:spacing w:after="0" w:line="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9"/>
          <w:szCs w:val="19"/>
          <w:u w:val="single" w:color="auto"/>
          <w:color w:val="221F1F"/>
        </w:rPr>
        <w:t>Delivery of this Policy.</w:t>
      </w:r>
      <w:r>
        <w:rPr>
          <w:rFonts w:ascii="Arial" w:cs="Arial" w:eastAsia="Arial" w:hAnsi="Arial"/>
          <w:sz w:val="19"/>
          <w:szCs w:val="19"/>
          <w:color w:val="221F1F"/>
        </w:rPr>
        <w:t xml:space="preserve"> </w:t>
      </w:r>
      <w:r>
        <w:rPr>
          <w:rFonts w:ascii="Arial" w:cs="Arial" w:eastAsia="Arial" w:hAnsi="Arial"/>
          <w:sz w:val="19"/>
          <w:szCs w:val="19"/>
          <w:color w:val="000000"/>
        </w:rPr>
        <w:t>This Policy will be delivered to all directors, officers, employees and agents, such as consultants,</w:t>
      </w:r>
      <w:r>
        <w:rPr>
          <w:rFonts w:ascii="Arial" w:cs="Arial" w:eastAsia="Arial" w:hAnsi="Arial"/>
          <w:sz w:val="19"/>
          <w:szCs w:val="19"/>
          <w:color w:val="221F1F"/>
        </w:rPr>
        <w:t xml:space="preserve"> </w:t>
      </w:r>
      <w:r>
        <w:rPr>
          <w:rFonts w:ascii="Arial" w:cs="Arial" w:eastAsia="Arial" w:hAnsi="Arial"/>
          <w:sz w:val="19"/>
          <w:szCs w:val="19"/>
          <w:color w:val="000000"/>
        </w:rPr>
        <w:t>independent contractors, or other outside personnel retained by the Company who may obtain material nonpublic information about the Company when they commence service with the Company. In addition, this Policy (or a summary of this Policy) will be circulated periodically. Each director and officer of the Company, are required to acknowledge that he or she understands this Policy.</w:t>
      </w:r>
    </w:p>
    <w:p>
      <w:pPr>
        <w:spacing w:after="0" w:line="203" w:lineRule="exact"/>
        <w:rPr>
          <w:sz w:val="20"/>
          <w:szCs w:val="20"/>
          <w:color w:val="auto"/>
        </w:rPr>
      </w:pPr>
    </w:p>
    <w:p>
      <w:pPr>
        <w:jc w:val="both"/>
        <w:ind w:right="180"/>
        <w:spacing w:after="0" w:line="275" w:lineRule="auto"/>
        <w:rPr>
          <w:sz w:val="20"/>
          <w:szCs w:val="20"/>
          <w:color w:val="auto"/>
        </w:rPr>
      </w:pPr>
      <w:r>
        <w:rPr>
          <w:rFonts w:ascii="Arial" w:cs="Arial" w:eastAsia="Arial" w:hAnsi="Arial"/>
          <w:sz w:val="19"/>
          <w:szCs w:val="19"/>
          <w:u w:val="single" w:color="auto"/>
          <w:color w:val="221F1F"/>
        </w:rPr>
        <w:t>Amendments.</w:t>
      </w:r>
      <w:r>
        <w:rPr>
          <w:rFonts w:ascii="Arial" w:cs="Arial" w:eastAsia="Arial" w:hAnsi="Arial"/>
          <w:sz w:val="19"/>
          <w:szCs w:val="19"/>
          <w:color w:val="221F1F"/>
        </w:rPr>
        <w:t xml:space="preserve"> We are committed to continuously reviewing and updating our policies and procedures. The Company therefore reserves the right to amend, alter or terminate this Policy at any time and for any reason, subject to applicable law. A current copy of the Company’s policies regarding insider trading may be obtained by contacting the Chief Legal Officer.</w:t>
      </w:r>
    </w:p>
    <w:p>
      <w:pPr>
        <w:spacing w:after="0" w:line="176" w:lineRule="exact"/>
        <w:rPr>
          <w:sz w:val="20"/>
          <w:szCs w:val="20"/>
          <w:color w:val="auto"/>
        </w:rPr>
      </w:pPr>
    </w:p>
    <w:p>
      <w:pPr>
        <w:spacing w:after="0" w:line="302" w:lineRule="auto"/>
        <w:rPr>
          <w:sz w:val="20"/>
          <w:szCs w:val="20"/>
          <w:color w:val="auto"/>
        </w:rPr>
      </w:pPr>
      <w:r>
        <w:rPr>
          <w:rFonts w:ascii="Arial" w:cs="Arial" w:eastAsia="Arial" w:hAnsi="Arial"/>
          <w:sz w:val="19"/>
          <w:szCs w:val="19"/>
          <w:i w:val="1"/>
          <w:iCs w:val="1"/>
          <w:color w:val="auto"/>
        </w:rPr>
        <w:t>The policies in this Insider Trading Policy do not constitute a complete list of Company policies or a complete list of the types of conduct that can result in discipline, up to and including 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Page 13 of #NUM_PAGES#</w:t>
      </w:r>
    </w:p>
    <w:p>
      <w:pPr>
        <w:spacing w:after="0" w:line="25"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1240"/>
          </w:cols>
          <w:pgMar w:left="320" w:top="1152" w:right="339" w:bottom="1440" w:gutter="0" w:footer="0" w:header="0"/>
        </w:sectPr>
      </w:pPr>
    </w:p>
    <w:bookmarkStart w:id="173" w:name="page174"/>
    <w:bookmarkEnd w:id="173"/>
    <w:p>
      <w:pPr>
        <w:ind w:left="3740"/>
        <w:spacing w:after="0"/>
        <w:rPr>
          <w:sz w:val="20"/>
          <w:szCs w:val="20"/>
          <w:color w:val="auto"/>
        </w:rPr>
      </w:pPr>
      <w:r>
        <w:rPr>
          <w:rFonts w:ascii="Arial" w:cs="Arial" w:eastAsia="Arial" w:hAnsi="Arial"/>
          <w:sz w:val="19"/>
          <w:szCs w:val="19"/>
          <w:b w:val="1"/>
          <w:bCs w:val="1"/>
          <w:u w:val="single" w:color="auto"/>
          <w:color w:val="auto"/>
        </w:rPr>
        <w:t>SCHEDULE I</w:t>
      </w:r>
      <w:r>
        <w:rPr>
          <w:rFonts w:ascii="Arial" w:cs="Arial" w:eastAsia="Arial" w:hAnsi="Arial"/>
          <w:sz w:val="19"/>
          <w:szCs w:val="19"/>
          <w:b w:val="1"/>
          <w:bCs w:val="1"/>
          <w:color w:val="auto"/>
        </w:rPr>
        <w:t xml:space="preserve"> INDIVIDUALS SUBJECT TO</w:t>
      </w:r>
    </w:p>
    <w:p>
      <w:pPr>
        <w:spacing w:after="0" w:line="40" w:lineRule="exact"/>
        <w:rPr>
          <w:sz w:val="20"/>
          <w:szCs w:val="20"/>
          <w:color w:val="auto"/>
        </w:rPr>
      </w:pPr>
    </w:p>
    <w:p>
      <w:pPr>
        <w:ind w:left="2660"/>
        <w:spacing w:after="0"/>
        <w:rPr>
          <w:sz w:val="20"/>
          <w:szCs w:val="20"/>
          <w:color w:val="auto"/>
        </w:rPr>
      </w:pPr>
      <w:r>
        <w:rPr>
          <w:rFonts w:ascii="Arial" w:cs="Arial" w:eastAsia="Arial" w:hAnsi="Arial"/>
          <w:sz w:val="19"/>
          <w:szCs w:val="19"/>
          <w:b w:val="1"/>
          <w:bCs w:val="1"/>
          <w:color w:val="auto"/>
        </w:rPr>
        <w:t>QUARTERLY</w:t>
      </w:r>
    </w:p>
    <w:p>
      <w:pPr>
        <w:spacing w:after="0" w:line="20"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BLACKOUT PERIODS AND PRE-CLEARANCE</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REQUIREMENTS</w:t>
      </w:r>
    </w:p>
    <w:p>
      <w:pPr>
        <w:spacing w:after="0" w:line="200" w:lineRule="exact"/>
        <w:rPr>
          <w:sz w:val="20"/>
          <w:szCs w:val="20"/>
          <w:color w:val="auto"/>
        </w:rPr>
      </w:pPr>
    </w:p>
    <w:p>
      <w:pPr>
        <w:spacing w:after="0" w:line="279" w:lineRule="exact"/>
        <w:rPr>
          <w:sz w:val="20"/>
          <w:szCs w:val="20"/>
          <w:color w:val="auto"/>
        </w:rPr>
      </w:pPr>
    </w:p>
    <w:p>
      <w:pPr>
        <w:ind w:left="200" w:right="5220"/>
        <w:spacing w:after="0" w:line="264" w:lineRule="auto"/>
        <w:rPr>
          <w:sz w:val="20"/>
          <w:szCs w:val="20"/>
          <w:color w:val="auto"/>
        </w:rPr>
      </w:pPr>
      <w:r>
        <w:rPr>
          <w:rFonts w:ascii="Arial" w:cs="Arial" w:eastAsia="Arial" w:hAnsi="Arial"/>
          <w:sz w:val="19"/>
          <w:szCs w:val="19"/>
          <w:color w:val="auto"/>
        </w:rPr>
        <w:t>All members of the Board of Directors All executive officers of the Company</w:t>
      </w:r>
    </w:p>
    <w:p>
      <w:pPr>
        <w:ind w:left="200" w:right="2620"/>
        <w:spacing w:after="0" w:line="255" w:lineRule="auto"/>
        <w:rPr>
          <w:sz w:val="20"/>
          <w:szCs w:val="20"/>
          <w:color w:val="auto"/>
        </w:rPr>
      </w:pPr>
      <w:r>
        <w:rPr>
          <w:rFonts w:ascii="Arial" w:cs="Arial" w:eastAsia="Arial" w:hAnsi="Arial"/>
          <w:sz w:val="19"/>
          <w:szCs w:val="19"/>
          <w:color w:val="auto"/>
        </w:rPr>
        <w:t>All employees of the Company at the level of Vice President and above All members of the Finance and Tax Departments</w:t>
      </w:r>
    </w:p>
    <w:p>
      <w:pPr>
        <w:ind w:left="200"/>
        <w:spacing w:after="0"/>
        <w:rPr>
          <w:sz w:val="20"/>
          <w:szCs w:val="20"/>
          <w:color w:val="auto"/>
        </w:rPr>
      </w:pPr>
      <w:r>
        <w:rPr>
          <w:rFonts w:ascii="Arial" w:cs="Arial" w:eastAsia="Arial" w:hAnsi="Arial"/>
          <w:sz w:val="19"/>
          <w:szCs w:val="19"/>
          <w:color w:val="auto"/>
        </w:rPr>
        <w:t>All employees at the level of Director or above (or the equivalent thereof) with access to sensitive financial data</w:t>
      </w:r>
    </w:p>
    <w:p>
      <w:pPr>
        <w:spacing w:after="0" w:line="19" w:lineRule="exact"/>
        <w:rPr>
          <w:sz w:val="20"/>
          <w:szCs w:val="20"/>
          <w:color w:val="auto"/>
        </w:rPr>
      </w:pPr>
    </w:p>
    <w:p>
      <w:pPr>
        <w:ind w:left="200"/>
        <w:spacing w:after="0" w:line="254" w:lineRule="auto"/>
        <w:rPr>
          <w:sz w:val="20"/>
          <w:szCs w:val="20"/>
          <w:color w:val="auto"/>
        </w:rPr>
      </w:pPr>
      <w:r>
        <w:rPr>
          <w:rFonts w:ascii="Arial" w:cs="Arial" w:eastAsia="Arial" w:hAnsi="Arial"/>
          <w:sz w:val="19"/>
          <w:szCs w:val="19"/>
          <w:color w:val="auto"/>
        </w:rPr>
        <w:t>Those members of the Accounting Department with access to sensitive financial data Systems Administrators with readily available access to sensitive financial data</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All members of the Legal Department</w:t>
      </w:r>
    </w:p>
    <w:p>
      <w:pPr>
        <w:spacing w:after="0" w:line="20" w:lineRule="exact"/>
        <w:rPr>
          <w:sz w:val="20"/>
          <w:szCs w:val="20"/>
          <w:color w:val="auto"/>
        </w:rPr>
      </w:pPr>
    </w:p>
    <w:p>
      <w:pPr>
        <w:ind w:left="200" w:right="980"/>
        <w:spacing w:after="0" w:line="254" w:lineRule="auto"/>
        <w:rPr>
          <w:sz w:val="20"/>
          <w:szCs w:val="20"/>
          <w:color w:val="auto"/>
        </w:rPr>
      </w:pPr>
      <w:r>
        <w:rPr>
          <w:rFonts w:ascii="Arial" w:cs="Arial" w:eastAsia="Arial" w:hAnsi="Arial"/>
          <w:sz w:val="19"/>
          <w:szCs w:val="19"/>
          <w:color w:val="auto"/>
        </w:rPr>
        <w:t xml:space="preserve">All members of the Investor Relations Department that assist with earnings releases and other public disclosures Administrative assistants of all persons on this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Family Members of all persons 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80"/>
        <w:spacing w:after="0"/>
        <w:rPr>
          <w:sz w:val="20"/>
          <w:szCs w:val="20"/>
          <w:color w:val="auto"/>
        </w:rPr>
      </w:pPr>
      <w:r>
        <w:rPr>
          <w:rFonts w:ascii="Arial" w:cs="Arial" w:eastAsia="Arial" w:hAnsi="Arial"/>
          <w:sz w:val="14"/>
          <w:szCs w:val="14"/>
          <w:color w:val="808080"/>
        </w:rPr>
        <w:t>Page 14 of #NUM_PAGES#</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0840"/>
          </w:cols>
          <w:pgMar w:left="540" w:top="1150" w:right="51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Form of Acknowledgement of Insider Trading Policy for Employees, Officers and Directors</w:t>
      </w:r>
    </w:p>
    <w:p>
      <w:pPr>
        <w:spacing w:after="0" w:line="247" w:lineRule="exact"/>
        <w:rPr>
          <w:sz w:val="20"/>
          <w:szCs w:val="20"/>
          <w:color w:val="auto"/>
        </w:rPr>
      </w:pPr>
    </w:p>
    <w:p>
      <w:pPr>
        <w:jc w:val="both"/>
        <w:ind w:left="420" w:firstLine="635"/>
        <w:spacing w:after="0" w:line="282" w:lineRule="auto"/>
        <w:rPr>
          <w:sz w:val="20"/>
          <w:szCs w:val="20"/>
          <w:color w:val="auto"/>
        </w:rPr>
      </w:pPr>
      <w:r>
        <w:rPr>
          <w:rFonts w:ascii="Arial" w:cs="Arial" w:eastAsia="Arial" w:hAnsi="Arial"/>
          <w:sz w:val="19"/>
          <w:szCs w:val="19"/>
          <w:color w:val="auto"/>
        </w:rPr>
        <w:t>I have received and read the InnovAge Holding Corp. Insider Trading Policy (the “Policy”). I understand the standards and policies contained in the Policy and understand that there may be additional policies or laws specific to my position with InnovAge Holding Corp. I agree to comply with the Policy.</w:t>
      </w:r>
    </w:p>
    <w:p>
      <w:pPr>
        <w:spacing w:after="0" w:line="171" w:lineRule="exact"/>
        <w:rPr>
          <w:sz w:val="20"/>
          <w:szCs w:val="20"/>
          <w:color w:val="auto"/>
        </w:rPr>
      </w:pPr>
    </w:p>
    <w:p>
      <w:pPr>
        <w:jc w:val="both"/>
        <w:ind w:left="420" w:firstLine="635"/>
        <w:spacing w:after="0" w:line="270" w:lineRule="auto"/>
        <w:rPr>
          <w:sz w:val="20"/>
          <w:szCs w:val="20"/>
          <w:color w:val="auto"/>
        </w:rPr>
      </w:pPr>
      <w:r>
        <w:rPr>
          <w:rFonts w:ascii="Arial" w:cs="Arial" w:eastAsia="Arial" w:hAnsi="Arial"/>
          <w:sz w:val="19"/>
          <w:szCs w:val="19"/>
          <w:color w:val="auto"/>
        </w:rPr>
        <w:t xml:space="preserve">If I have questions concerning the meaning or application of the Policy, any other InnovAge Holding Corp. policies or procedures, or the legal and regulatory requirements applicable to my position with InnovAge Holding Corp. I know that I can consult with the Company’s </w:t>
      </w:r>
      <w:r>
        <w:rPr>
          <w:rFonts w:ascii="Arial" w:cs="Arial" w:eastAsia="Arial" w:hAnsi="Arial"/>
          <w:sz w:val="19"/>
          <w:szCs w:val="19"/>
          <w:color w:val="221F1F"/>
        </w:rPr>
        <w:t>Chief Legal Officer</w:t>
      </w:r>
      <w:r>
        <w:rPr>
          <w:rFonts w:ascii="Arial" w:cs="Arial" w:eastAsia="Arial" w:hAnsi="Arial"/>
          <w:sz w:val="19"/>
          <w:szCs w:val="19"/>
          <w:color w:val="auto"/>
        </w:rPr>
        <w:t>, knowing that my questions will be maintained in confidence, consistent with applicable law.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___________________________________________</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Print Name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___________________________________________</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9"/>
          <w:szCs w:val="19"/>
          <w:color w:val="auto"/>
        </w:rPr>
        <w:t>Signature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___________________________________________</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9"/>
          <w:szCs w:val="19"/>
          <w:color w:val="auto"/>
        </w:rPr>
        <w:t>Date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Please sign and return this form to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808080"/>
        </w:rPr>
        <w:t>Page 15 of #NUM_PAGES#</w:t>
      </w:r>
    </w:p>
    <w:p>
      <w:pPr>
        <w:spacing w:after="0" w:line="25"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808080"/>
        </w:rPr>
        <w:t>© InnovAge. 2021. All rights reserved. Do not duplicate or replicate without permission.</w:t>
      </w:r>
    </w:p>
    <w:p>
      <w:pPr>
        <w:spacing w:after="0" w:line="11"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808080"/>
        </w:rPr>
        <w:t>Printed copies of this document are uncontrolled. In the case of a conflict between printed and electronic versions, the controlled version published online prevails.</w:t>
      </w:r>
    </w:p>
    <w:p>
      <w:pPr>
        <w:sectPr>
          <w:pgSz w:w="11900" w:h="16838" w:orient="portrait"/>
          <w:cols w:equalWidth="0" w:num="1">
            <w:col w:w="10760"/>
          </w:cols>
          <w:pgMar w:left="320" w:top="1440" w:right="819" w:bottom="1440" w:gutter="0" w:footer="0" w:header="0"/>
        </w:sectPr>
      </w:pPr>
    </w:p>
    <w:bookmarkStart w:id="175" w:name="page176"/>
    <w:bookmarkEnd w:id="175"/>
    <w:tbl>
      <w:tblPr>
        <w:tblLayout w:type="fixed"/>
        <w:tblInd w:w="10" w:type="dxa"/>
        <w:tblCellMar>
          <w:top w:w="0" w:type="dxa"/>
          <w:left w:w="0" w:type="dxa"/>
          <w:bottom w:w="0" w:type="dxa"/>
          <w:right w:w="0" w:type="dxa"/>
        </w:tblCellMar>
      </w:tblPr>
      <w:tr>
        <w:trPr>
          <w:trHeight w:val="233"/>
        </w:trPr>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8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w w:val="95"/>
              </w:rPr>
              <w:t>Exhibit 21</w:t>
            </w:r>
          </w:p>
        </w:tc>
      </w:tr>
      <w:tr>
        <w:trPr>
          <w:trHeight w:val="171"/>
        </w:trPr>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r>
      <w:tr>
        <w:trPr>
          <w:trHeight w:val="219"/>
        </w:trPr>
        <w:tc>
          <w:tcPr>
            <w:tcW w:w="80" w:type="dxa"/>
            <w:vAlign w:val="bottom"/>
            <w:tcBorders>
              <w:top w:val="single" w:sz="8" w:color="auto"/>
              <w:left w:val="single" w:sz="8" w:color="auto"/>
            </w:tcBorders>
          </w:tcPr>
          <w:p>
            <w:pPr>
              <w:spacing w:after="0"/>
              <w:rPr>
                <w:sz w:val="19"/>
                <w:szCs w:val="19"/>
                <w:color w:val="auto"/>
              </w:rPr>
            </w:pPr>
          </w:p>
        </w:tc>
        <w:tc>
          <w:tcPr>
            <w:tcW w:w="51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9"/>
                <w:szCs w:val="19"/>
                <w:b w:val="1"/>
                <w:bCs w:val="1"/>
                <w:color w:val="auto"/>
              </w:rPr>
              <w:t>Entity Name</w:t>
            </w:r>
          </w:p>
        </w:tc>
        <w:tc>
          <w:tcPr>
            <w:tcW w:w="60" w:type="dxa"/>
            <w:vAlign w:val="bottom"/>
            <w:tcBorders>
              <w:top w:val="single" w:sz="8" w:color="auto"/>
            </w:tcBorders>
          </w:tcPr>
          <w:p>
            <w:pPr>
              <w:spacing w:after="0"/>
              <w:rPr>
                <w:sz w:val="19"/>
                <w:szCs w:val="19"/>
                <w:color w:val="auto"/>
              </w:rPr>
            </w:pPr>
          </w:p>
        </w:tc>
        <w:tc>
          <w:tcPr>
            <w:tcW w:w="3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9"/>
                <w:szCs w:val="19"/>
                <w:b w:val="1"/>
                <w:bCs w:val="1"/>
                <w:color w:val="auto"/>
              </w:rPr>
              <w:t>DBA</w:t>
            </w:r>
          </w:p>
        </w:tc>
        <w:tc>
          <w:tcPr>
            <w:tcW w:w="232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9"/>
                <w:szCs w:val="19"/>
                <w:b w:val="1"/>
                <w:bCs w:val="1"/>
                <w:color w:val="auto"/>
              </w:rPr>
              <w:t>State of Incorporation</w:t>
            </w:r>
          </w:p>
        </w:tc>
        <w:tc>
          <w:tcPr>
            <w:tcW w:w="120" w:type="dxa"/>
            <w:vAlign w:val="bottom"/>
          </w:tcPr>
          <w:p>
            <w:pPr>
              <w:spacing w:after="0"/>
              <w:rPr>
                <w:sz w:val="19"/>
                <w:szCs w:val="19"/>
                <w:color w:val="auto"/>
              </w:rPr>
            </w:pPr>
          </w:p>
        </w:tc>
      </w:tr>
      <w:tr>
        <w:trPr>
          <w:trHeight w:val="46"/>
        </w:trPr>
        <w:tc>
          <w:tcPr>
            <w:tcW w:w="80" w:type="dxa"/>
            <w:vAlign w:val="bottom"/>
            <w:tcBorders>
              <w:left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40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2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78"/>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ConcertoCare PACE of Bakersfield,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California PACE - Bakersfield</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ConcertoHealth PACE of Los Angeles,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California PACE - Crenshaw</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California PACE - Los Angeles,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California PACE - Sacramento,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Florida PACE II,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Florida PACE - Orlando</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Florida PACE,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Florida PACE - Tampa</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Greater Colorado PACE - Loveland,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Holding Corp.</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Investment Holdings,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57"/>
        </w:trPr>
        <w:tc>
          <w:tcPr>
            <w:tcW w:w="80" w:type="dxa"/>
            <w:vAlign w:val="bottom"/>
            <w:tcBorders>
              <w:left w:val="single" w:sz="8" w:color="auto"/>
            </w:tcBorders>
          </w:tcPr>
          <w:p>
            <w:pPr>
              <w:spacing w:after="0"/>
              <w:rPr>
                <w:sz w:val="22"/>
                <w:szCs w:val="22"/>
                <w:color w:val="auto"/>
              </w:rPr>
            </w:pPr>
          </w:p>
        </w:tc>
        <w:tc>
          <w:tcPr>
            <w:tcW w:w="514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Pennsylvania LIFE, LLC</w:t>
            </w:r>
          </w:p>
        </w:tc>
        <w:tc>
          <w:tcPr>
            <w:tcW w:w="60" w:type="dxa"/>
            <w:vAlign w:val="bottom"/>
          </w:tcPr>
          <w:p>
            <w:pPr>
              <w:spacing w:after="0"/>
              <w:rPr>
                <w:sz w:val="22"/>
                <w:szCs w:val="22"/>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Pennsylvania LIFE -</w:t>
            </w:r>
          </w:p>
        </w:tc>
        <w:tc>
          <w:tcPr>
            <w:tcW w:w="2320" w:type="dxa"/>
            <w:vAlign w:val="bottom"/>
            <w:tcBorders>
              <w:right w:val="single" w:sz="8" w:color="auto"/>
            </w:tcBorders>
            <w:gridSpan w:val="3"/>
          </w:tcPr>
          <w:p>
            <w:pPr>
              <w:ind w:left="60"/>
              <w:spacing w:after="0"/>
              <w:rPr>
                <w:sz w:val="20"/>
                <w:szCs w:val="20"/>
                <w:color w:val="auto"/>
              </w:rPr>
            </w:pPr>
            <w:r>
              <w:rPr>
                <w:rFonts w:ascii="Arial" w:cs="Arial" w:eastAsia="Arial" w:hAnsi="Arial"/>
                <w:sz w:val="19"/>
                <w:szCs w:val="19"/>
                <w:color w:val="auto"/>
              </w:rPr>
              <w:t>Pennsylvania</w:t>
            </w:r>
          </w:p>
        </w:tc>
        <w:tc>
          <w:tcPr>
            <w:tcW w:w="120" w:type="dxa"/>
            <w:vAlign w:val="bottom"/>
          </w:tcPr>
          <w:p>
            <w:pPr>
              <w:spacing w:after="0"/>
              <w:rPr>
                <w:sz w:val="22"/>
                <w:szCs w:val="22"/>
                <w:color w:val="auto"/>
              </w:rPr>
            </w:pPr>
          </w:p>
        </w:tc>
      </w:tr>
      <w:tr>
        <w:trPr>
          <w:trHeight w:val="252"/>
        </w:trPr>
        <w:tc>
          <w:tcPr>
            <w:tcW w:w="80" w:type="dxa"/>
            <w:vAlign w:val="bottom"/>
            <w:tcBorders>
              <w:lef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Allegheny</w:t>
            </w:r>
          </w:p>
        </w:tc>
        <w:tc>
          <w:tcPr>
            <w:tcW w:w="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8"/>
        </w:trPr>
        <w:tc>
          <w:tcPr>
            <w:tcW w:w="8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Pennsylvania LIFE -</w:t>
            </w:r>
          </w:p>
        </w:tc>
        <w:tc>
          <w:tcPr>
            <w:tcW w:w="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9"/>
        </w:trPr>
        <w:tc>
          <w:tcPr>
            <w:tcW w:w="8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Pennypack</w:t>
            </w:r>
          </w:p>
        </w:tc>
        <w:tc>
          <w:tcPr>
            <w:tcW w:w="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2"/>
        </w:trPr>
        <w:tc>
          <w:tcPr>
            <w:tcW w:w="80" w:type="dxa"/>
            <w:vAlign w:val="bottom"/>
            <w:tcBorders>
              <w:lef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Pennsylvania LIFE - Henry</w:t>
            </w:r>
          </w:p>
        </w:tc>
        <w:tc>
          <w:tcPr>
            <w:tcW w:w="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8"/>
        </w:trPr>
        <w:tc>
          <w:tcPr>
            <w:tcW w:w="8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Ave.</w:t>
            </w:r>
          </w:p>
        </w:tc>
        <w:tc>
          <w:tcPr>
            <w:tcW w:w="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7"/>
        </w:trPr>
        <w:tc>
          <w:tcPr>
            <w:tcW w:w="80" w:type="dxa"/>
            <w:vAlign w:val="bottom"/>
            <w:tcBorders>
              <w:left w:val="single" w:sz="8" w:color="auto"/>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02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Pennsylvania LIFE - St Bart's</w:t>
            </w:r>
          </w:p>
        </w:tc>
        <w:tc>
          <w:tcPr>
            <w:tcW w:w="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Pharmacy,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InnServioRx</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57"/>
        </w:trPr>
        <w:tc>
          <w:tcPr>
            <w:tcW w:w="80" w:type="dxa"/>
            <w:vAlign w:val="bottom"/>
            <w:tcBorders>
              <w:left w:val="single" w:sz="8" w:color="auto"/>
            </w:tcBorders>
          </w:tcPr>
          <w:p>
            <w:pPr>
              <w:spacing w:after="0"/>
              <w:rPr>
                <w:sz w:val="22"/>
                <w:szCs w:val="22"/>
                <w:color w:val="auto"/>
              </w:rPr>
            </w:pPr>
          </w:p>
        </w:tc>
        <w:tc>
          <w:tcPr>
            <w:tcW w:w="514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Senior Housing - Thornton (Managing Member),</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tcBorders>
              <w:right w:val="single" w:sz="8" w:color="auto"/>
            </w:tcBorders>
          </w:tcPr>
          <w:p>
            <w:pPr>
              <w:spacing w:after="0"/>
              <w:rPr>
                <w:sz w:val="22"/>
                <w:szCs w:val="22"/>
                <w:color w:val="auto"/>
              </w:rPr>
            </w:pPr>
          </w:p>
        </w:tc>
        <w:tc>
          <w:tcPr>
            <w:tcW w:w="2320" w:type="dxa"/>
            <w:vAlign w:val="bottom"/>
            <w:tcBorders>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c>
          <w:tcPr>
            <w:tcW w:w="120" w:type="dxa"/>
            <w:vAlign w:val="bottom"/>
          </w:tcPr>
          <w:p>
            <w:pPr>
              <w:spacing w:after="0"/>
              <w:rPr>
                <w:sz w:val="22"/>
                <w:szCs w:val="22"/>
                <w:color w:val="auto"/>
              </w:rPr>
            </w:pPr>
          </w:p>
        </w:tc>
      </w:tr>
      <w:tr>
        <w:trPr>
          <w:trHeight w:val="256"/>
        </w:trPr>
        <w:tc>
          <w:tcPr>
            <w:tcW w:w="80" w:type="dxa"/>
            <w:vAlign w:val="bottom"/>
            <w:tcBorders>
              <w:left w:val="single" w:sz="8" w:color="auto"/>
            </w:tcBorders>
          </w:tcPr>
          <w:p>
            <w:pPr>
              <w:spacing w:after="0"/>
              <w:rPr>
                <w:sz w:val="22"/>
                <w:szCs w:val="22"/>
                <w:color w:val="auto"/>
              </w:rPr>
            </w:pPr>
          </w:p>
        </w:tc>
        <w:tc>
          <w:tcPr>
            <w:tcW w:w="514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LLC</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31"/>
        </w:trPr>
        <w:tc>
          <w:tcPr>
            <w:tcW w:w="80" w:type="dxa"/>
            <w:vAlign w:val="bottom"/>
            <w:tcBorders>
              <w:left w:val="single" w:sz="8" w:color="auto"/>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78"/>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Senior Housing Thornton II,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Senior Housing, Thornton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 Charlottesville,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 Blue Ridge</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Virginia</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 Roanoke Valley,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Virginia</w:t>
            </w:r>
          </w:p>
        </w:tc>
        <w:tc>
          <w:tcPr>
            <w:tcW w:w="120" w:type="dxa"/>
            <w:vAlign w:val="bottom"/>
          </w:tcPr>
          <w:p>
            <w:pPr>
              <w:spacing w:after="0"/>
              <w:rPr>
                <w:sz w:val="24"/>
                <w:szCs w:val="24"/>
                <w:color w:val="auto"/>
              </w:rPr>
            </w:pPr>
          </w:p>
        </w:tc>
      </w:tr>
      <w:tr>
        <w:trPr>
          <w:trHeight w:val="257"/>
        </w:trPr>
        <w:tc>
          <w:tcPr>
            <w:tcW w:w="80" w:type="dxa"/>
            <w:vAlign w:val="bottom"/>
            <w:tcBorders>
              <w:left w:val="single" w:sz="8" w:color="auto"/>
            </w:tcBorders>
          </w:tcPr>
          <w:p>
            <w:pPr>
              <w:spacing w:after="0"/>
              <w:rPr>
                <w:sz w:val="22"/>
                <w:szCs w:val="22"/>
                <w:color w:val="auto"/>
              </w:rPr>
            </w:pPr>
          </w:p>
        </w:tc>
        <w:tc>
          <w:tcPr>
            <w:tcW w:w="514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II, LLC</w:t>
            </w:r>
          </w:p>
        </w:tc>
        <w:tc>
          <w:tcPr>
            <w:tcW w:w="60" w:type="dxa"/>
            <w:vAlign w:val="bottom"/>
          </w:tcPr>
          <w:p>
            <w:pPr>
              <w:spacing w:after="0"/>
              <w:rPr>
                <w:sz w:val="22"/>
                <w:szCs w:val="22"/>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 Richmond</w:t>
            </w:r>
          </w:p>
        </w:tc>
        <w:tc>
          <w:tcPr>
            <w:tcW w:w="2320" w:type="dxa"/>
            <w:vAlign w:val="bottom"/>
            <w:tcBorders>
              <w:right w:val="single" w:sz="8" w:color="auto"/>
            </w:tcBorders>
            <w:gridSpan w:val="3"/>
          </w:tcPr>
          <w:p>
            <w:pPr>
              <w:ind w:left="60"/>
              <w:spacing w:after="0"/>
              <w:rPr>
                <w:sz w:val="20"/>
                <w:szCs w:val="20"/>
                <w:color w:val="auto"/>
              </w:rPr>
            </w:pPr>
            <w:r>
              <w:rPr>
                <w:rFonts w:ascii="Arial" w:cs="Arial" w:eastAsia="Arial" w:hAnsi="Arial"/>
                <w:sz w:val="19"/>
                <w:szCs w:val="19"/>
                <w:color w:val="auto"/>
              </w:rPr>
              <w:t>Virginia</w:t>
            </w:r>
          </w:p>
        </w:tc>
        <w:tc>
          <w:tcPr>
            <w:tcW w:w="120" w:type="dxa"/>
            <w:vAlign w:val="bottom"/>
          </w:tcPr>
          <w:p>
            <w:pPr>
              <w:spacing w:after="0"/>
              <w:rPr>
                <w:sz w:val="22"/>
                <w:szCs w:val="22"/>
                <w:color w:val="auto"/>
              </w:rPr>
            </w:pPr>
          </w:p>
        </w:tc>
      </w:tr>
      <w:tr>
        <w:trPr>
          <w:trHeight w:val="256"/>
        </w:trPr>
        <w:tc>
          <w:tcPr>
            <w:tcW w:w="80" w:type="dxa"/>
            <w:vAlign w:val="bottom"/>
            <w:tcBorders>
              <w:lef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40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 Peninsula</w:t>
            </w:r>
          </w:p>
        </w:tc>
        <w:tc>
          <w:tcPr>
            <w:tcW w:w="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31"/>
        </w:trPr>
        <w:tc>
          <w:tcPr>
            <w:tcW w:w="80" w:type="dxa"/>
            <w:vAlign w:val="bottom"/>
            <w:tcBorders>
              <w:left w:val="single" w:sz="8" w:color="auto"/>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78"/>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Innovative Care Management, Inc.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Senior Life at Home II,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Senior Life at Home,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TCO Eastern Holdings,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TCO Intermediate Holdings, Inc.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TCO Western Holdings,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TLC Inland,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Total Community Care,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New Mexico PACE</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c>
          <w:tcPr>
            <w:tcW w:w="120" w:type="dxa"/>
            <w:vAlign w:val="bottom"/>
          </w:tcPr>
          <w:p>
            <w:pPr>
              <w:spacing w:after="0"/>
              <w:rPr>
                <w:sz w:val="24"/>
                <w:szCs w:val="24"/>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Total Community Options, Inc.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c>
          <w:tcPr>
            <w:tcW w:w="120" w:type="dxa"/>
            <w:vAlign w:val="bottom"/>
          </w:tcPr>
          <w:p>
            <w:pPr>
              <w:spacing w:after="0"/>
              <w:rPr>
                <w:sz w:val="24"/>
                <w:szCs w:val="24"/>
                <w:color w:val="auto"/>
              </w:rPr>
            </w:pPr>
          </w:p>
        </w:tc>
      </w:tr>
    </w:tbl>
    <w:p>
      <w:pPr>
        <w:sectPr>
          <w:pgSz w:w="11900" w:h="16838" w:orient="portrait"/>
          <w:cols w:equalWidth="0" w:num="1">
            <w:col w:w="11240"/>
          </w:cols>
          <w:pgMar w:left="320" w:top="901" w:right="339" w:bottom="1440" w:gutter="0" w:footer="0" w:header="0"/>
        </w:sectPr>
      </w:pPr>
    </w:p>
    <w:bookmarkStart w:id="176" w:name="page177"/>
    <w:bookmarkEnd w:id="1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8"/>
        </w:trPr>
        <w:tc>
          <w:tcPr>
            <w:tcW w:w="52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Total Longterm Care Solutions, LLC</w:t>
            </w:r>
          </w:p>
        </w:tc>
        <w:tc>
          <w:tcPr>
            <w:tcW w:w="35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InnovAge - Lowry</w:t>
            </w:r>
          </w:p>
        </w:tc>
        <w:tc>
          <w:tcPr>
            <w:tcW w:w="23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Colorado</w:t>
            </w:r>
          </w:p>
        </w:tc>
      </w:tr>
      <w:tr>
        <w:trPr>
          <w:trHeight w:val="257"/>
        </w:trPr>
        <w:tc>
          <w:tcPr>
            <w:tcW w:w="5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Total Longterm Care, Inc.</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Denver</w:t>
            </w:r>
          </w:p>
        </w:tc>
        <w:tc>
          <w:tcPr>
            <w:tcW w:w="23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Colorado</w:t>
            </w:r>
          </w:p>
        </w:tc>
      </w:tr>
      <w:tr>
        <w:trPr>
          <w:trHeight w:val="239"/>
        </w:trPr>
        <w:tc>
          <w:tcPr>
            <w:tcW w:w="5220" w:type="dxa"/>
            <w:vAlign w:val="bottom"/>
            <w:tcBorders>
              <w:left w:val="single" w:sz="8" w:color="auto"/>
              <w:right w:val="single" w:sz="8" w:color="auto"/>
            </w:tcBorders>
          </w:tcPr>
          <w:p>
            <w:pPr>
              <w:spacing w:after="0"/>
              <w:rPr>
                <w:sz w:val="20"/>
                <w:szCs w:val="20"/>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Lakewood</w:t>
            </w:r>
          </w:p>
        </w:tc>
        <w:tc>
          <w:tcPr>
            <w:tcW w:w="2320" w:type="dxa"/>
            <w:vAlign w:val="bottom"/>
            <w:tcBorders>
              <w:right w:val="single" w:sz="8" w:color="auto"/>
            </w:tcBorders>
          </w:tcPr>
          <w:p>
            <w:pPr>
              <w:spacing w:after="0"/>
              <w:rPr>
                <w:sz w:val="20"/>
                <w:szCs w:val="20"/>
                <w:color w:val="auto"/>
              </w:rPr>
            </w:pPr>
          </w:p>
        </w:tc>
      </w:tr>
      <w:tr>
        <w:trPr>
          <w:trHeight w:val="252"/>
        </w:trPr>
        <w:tc>
          <w:tcPr>
            <w:tcW w:w="5220" w:type="dxa"/>
            <w:vAlign w:val="bottom"/>
            <w:tcBorders>
              <w:left w:val="single" w:sz="8" w:color="auto"/>
              <w:right w:val="single" w:sz="8" w:color="auto"/>
            </w:tcBorders>
          </w:tcPr>
          <w:p>
            <w:pPr>
              <w:spacing w:after="0"/>
              <w:rPr>
                <w:sz w:val="21"/>
                <w:szCs w:val="21"/>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Thornton</w:t>
            </w:r>
          </w:p>
        </w:tc>
        <w:tc>
          <w:tcPr>
            <w:tcW w:w="2320" w:type="dxa"/>
            <w:vAlign w:val="bottom"/>
            <w:tcBorders>
              <w:right w:val="single" w:sz="8" w:color="auto"/>
            </w:tcBorders>
          </w:tcPr>
          <w:p>
            <w:pPr>
              <w:spacing w:after="0"/>
              <w:rPr>
                <w:sz w:val="21"/>
                <w:szCs w:val="21"/>
                <w:color w:val="auto"/>
              </w:rPr>
            </w:pPr>
          </w:p>
        </w:tc>
      </w:tr>
      <w:tr>
        <w:trPr>
          <w:trHeight w:val="238"/>
        </w:trPr>
        <w:tc>
          <w:tcPr>
            <w:tcW w:w="5220" w:type="dxa"/>
            <w:vAlign w:val="bottom"/>
            <w:tcBorders>
              <w:left w:val="single" w:sz="8" w:color="auto"/>
              <w:right w:val="single" w:sz="8" w:color="auto"/>
            </w:tcBorders>
          </w:tcPr>
          <w:p>
            <w:pPr>
              <w:spacing w:after="0"/>
              <w:rPr>
                <w:sz w:val="20"/>
                <w:szCs w:val="20"/>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Aurora</w:t>
            </w:r>
          </w:p>
        </w:tc>
        <w:tc>
          <w:tcPr>
            <w:tcW w:w="2320" w:type="dxa"/>
            <w:vAlign w:val="bottom"/>
            <w:tcBorders>
              <w:right w:val="single" w:sz="8" w:color="auto"/>
            </w:tcBorders>
          </w:tcPr>
          <w:p>
            <w:pPr>
              <w:spacing w:after="0"/>
              <w:rPr>
                <w:sz w:val="20"/>
                <w:szCs w:val="20"/>
                <w:color w:val="auto"/>
              </w:rPr>
            </w:pPr>
          </w:p>
        </w:tc>
      </w:tr>
      <w:tr>
        <w:trPr>
          <w:trHeight w:val="238"/>
        </w:trPr>
        <w:tc>
          <w:tcPr>
            <w:tcW w:w="5220" w:type="dxa"/>
            <w:vAlign w:val="bottom"/>
            <w:tcBorders>
              <w:left w:val="single" w:sz="8" w:color="auto"/>
              <w:right w:val="single" w:sz="8" w:color="auto"/>
            </w:tcBorders>
          </w:tcPr>
          <w:p>
            <w:pPr>
              <w:spacing w:after="0"/>
              <w:rPr>
                <w:sz w:val="20"/>
                <w:szCs w:val="20"/>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Loveland</w:t>
            </w:r>
          </w:p>
        </w:tc>
        <w:tc>
          <w:tcPr>
            <w:tcW w:w="2320" w:type="dxa"/>
            <w:vAlign w:val="bottom"/>
            <w:tcBorders>
              <w:right w:val="single" w:sz="8" w:color="auto"/>
            </w:tcBorders>
          </w:tcPr>
          <w:p>
            <w:pPr>
              <w:spacing w:after="0"/>
              <w:rPr>
                <w:sz w:val="20"/>
                <w:szCs w:val="20"/>
                <w:color w:val="auto"/>
              </w:rPr>
            </w:pPr>
          </w:p>
        </w:tc>
      </w:tr>
      <w:tr>
        <w:trPr>
          <w:trHeight w:val="252"/>
        </w:trPr>
        <w:tc>
          <w:tcPr>
            <w:tcW w:w="5220" w:type="dxa"/>
            <w:vAlign w:val="bottom"/>
            <w:tcBorders>
              <w:left w:val="single" w:sz="8" w:color="auto"/>
              <w:right w:val="single" w:sz="8" w:color="auto"/>
            </w:tcBorders>
          </w:tcPr>
          <w:p>
            <w:pPr>
              <w:spacing w:after="0"/>
              <w:rPr>
                <w:sz w:val="21"/>
                <w:szCs w:val="21"/>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Pueblo</w:t>
            </w:r>
          </w:p>
        </w:tc>
        <w:tc>
          <w:tcPr>
            <w:tcW w:w="2320" w:type="dxa"/>
            <w:vAlign w:val="bottom"/>
            <w:tcBorders>
              <w:right w:val="single" w:sz="8" w:color="auto"/>
            </w:tcBorders>
          </w:tcPr>
          <w:p>
            <w:pPr>
              <w:spacing w:after="0"/>
              <w:rPr>
                <w:sz w:val="21"/>
                <w:szCs w:val="21"/>
                <w:color w:val="auto"/>
              </w:rPr>
            </w:pPr>
          </w:p>
        </w:tc>
      </w:tr>
      <w:tr>
        <w:trPr>
          <w:trHeight w:val="238"/>
        </w:trPr>
        <w:tc>
          <w:tcPr>
            <w:tcW w:w="5220" w:type="dxa"/>
            <w:vAlign w:val="bottom"/>
            <w:tcBorders>
              <w:left w:val="single" w:sz="8" w:color="auto"/>
              <w:right w:val="single" w:sz="8" w:color="auto"/>
            </w:tcBorders>
          </w:tcPr>
          <w:p>
            <w:pPr>
              <w:spacing w:after="0"/>
              <w:rPr>
                <w:sz w:val="20"/>
                <w:szCs w:val="20"/>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California PACE - Inland</w:t>
            </w:r>
          </w:p>
        </w:tc>
        <w:tc>
          <w:tcPr>
            <w:tcW w:w="2320" w:type="dxa"/>
            <w:vAlign w:val="bottom"/>
            <w:tcBorders>
              <w:right w:val="single" w:sz="8" w:color="auto"/>
            </w:tcBorders>
          </w:tcPr>
          <w:p>
            <w:pPr>
              <w:spacing w:after="0"/>
              <w:rPr>
                <w:sz w:val="20"/>
                <w:szCs w:val="20"/>
                <w:color w:val="auto"/>
              </w:rPr>
            </w:pPr>
          </w:p>
        </w:tc>
      </w:tr>
      <w:tr>
        <w:trPr>
          <w:trHeight w:val="256"/>
        </w:trPr>
        <w:tc>
          <w:tcPr>
            <w:tcW w:w="5220" w:type="dxa"/>
            <w:vAlign w:val="bottom"/>
            <w:tcBorders>
              <w:left w:val="single" w:sz="8" w:color="auto"/>
              <w:right w:val="single" w:sz="8" w:color="auto"/>
            </w:tcBorders>
          </w:tcPr>
          <w:p>
            <w:pPr>
              <w:spacing w:after="0"/>
              <w:rPr>
                <w:sz w:val="22"/>
                <w:szCs w:val="22"/>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Empire</w:t>
            </w:r>
          </w:p>
        </w:tc>
        <w:tc>
          <w:tcPr>
            <w:tcW w:w="2320" w:type="dxa"/>
            <w:vAlign w:val="bottom"/>
            <w:tcBorders>
              <w:right w:val="single" w:sz="8" w:color="auto"/>
            </w:tcBorders>
          </w:tcPr>
          <w:p>
            <w:pPr>
              <w:spacing w:after="0"/>
              <w:rPr>
                <w:sz w:val="22"/>
                <w:szCs w:val="22"/>
                <w:color w:val="auto"/>
              </w:rPr>
            </w:pPr>
          </w:p>
        </w:tc>
      </w:tr>
      <w:tr>
        <w:trPr>
          <w:trHeight w:val="31"/>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00"/>
          </w:cols>
          <w:pgMar w:left="320" w:top="928" w:right="479" w:bottom="1440" w:gutter="0" w:footer="0" w:header="0"/>
        </w:sectPr>
      </w:pPr>
    </w:p>
    <w:bookmarkStart w:id="177" w:name="page178"/>
    <w:bookmarkEnd w:id="177"/>
    <w:p>
      <w:pPr>
        <w:spacing w:after="0" w:line="104"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231F20"/>
        </w:rPr>
        <w:t>CONSENT OF INDEPENDENT REGISTERED PUBLIC ACCOUNTING FIRM</w:t>
      </w:r>
    </w:p>
    <w:p>
      <w:pPr>
        <w:spacing w:after="0" w:line="283"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231F20"/>
        </w:rPr>
        <w:t>We consent to the incorporation by reference in Registration Statement No. 333-253902 on Form S-8 of our report dated September 9, 2025, relating to the financial statements of InnovAge Holding Corp. appearing in this Annual Report on Form 10-K for the year ended June 30, 2025.</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359" w:lineRule="exact"/>
        <w:rPr>
          <w:sz w:val="20"/>
          <w:szCs w:val="20"/>
          <w:color w:val="auto"/>
        </w:rPr>
      </w:pPr>
    </w:p>
    <w:p>
      <w:pPr>
        <w:spacing w:after="0"/>
        <w:rPr>
          <w:sz w:val="20"/>
          <w:szCs w:val="20"/>
          <w:color w:val="auto"/>
        </w:rPr>
      </w:pPr>
      <w:r>
        <w:rPr>
          <w:rFonts w:ascii="Verdana" w:cs="Verdana" w:eastAsia="Verdana" w:hAnsi="Verdana"/>
          <w:sz w:val="16"/>
          <w:szCs w:val="16"/>
          <w:color w:val="231F20"/>
        </w:rPr>
        <w:t>Denver, CO</w:t>
      </w:r>
    </w:p>
    <w:p>
      <w:pPr>
        <w:spacing w:after="0" w:line="44" w:lineRule="exact"/>
        <w:rPr>
          <w:sz w:val="20"/>
          <w:szCs w:val="20"/>
          <w:color w:val="auto"/>
        </w:rPr>
      </w:pPr>
    </w:p>
    <w:p>
      <w:pPr>
        <w:spacing w:after="0"/>
        <w:rPr>
          <w:sz w:val="20"/>
          <w:szCs w:val="20"/>
          <w:color w:val="auto"/>
        </w:rPr>
      </w:pPr>
      <w:r>
        <w:rPr>
          <w:rFonts w:ascii="Verdana" w:cs="Verdana" w:eastAsia="Verdana" w:hAnsi="Verdana"/>
          <w:sz w:val="16"/>
          <w:szCs w:val="16"/>
          <w:color w:val="231F20"/>
        </w:rPr>
        <w:t>September 9, 2025</w:t>
      </w:r>
    </w:p>
    <w:p>
      <w:pPr>
        <w:sectPr>
          <w:pgSz w:w="11900" w:h="16838" w:orient="portrait"/>
          <w:cols w:equalWidth="0" w:num="1">
            <w:col w:w="11200"/>
          </w:cols>
          <w:pgMar w:left="320" w:top="1440" w:right="37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Blair, certify that:</w:t>
      </w:r>
    </w:p>
    <w:p>
      <w:pPr>
        <w:spacing w:after="0" w:line="177" w:lineRule="exact"/>
        <w:rPr>
          <w:sz w:val="20"/>
          <w:szCs w:val="20"/>
          <w:color w:val="auto"/>
        </w:rPr>
      </w:pPr>
    </w:p>
    <w:p>
      <w:pPr>
        <w:ind w:left="320" w:hanging="314"/>
        <w:spacing w:after="0"/>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InnovAge Holding Corp.;</w:t>
      </w:r>
    </w:p>
    <w:p>
      <w:pPr>
        <w:spacing w:after="0" w:line="190"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8"/>
          <w:szCs w:val="18"/>
          <w:color w:val="auto"/>
        </w:rPr>
      </w:pPr>
    </w:p>
    <w:p>
      <w:pPr>
        <w:ind w:left="640" w:hanging="316"/>
        <w:spacing w:after="0" w:line="274" w:lineRule="auto"/>
        <w:tabs>
          <w:tab w:leader="none" w:pos="63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9, 2025</w:t>
      </w:r>
    </w:p>
    <w:p>
      <w:pPr>
        <w:spacing w:after="0" w:line="3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74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Patrick Blair</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08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C. Adams, certify that:</w:t>
      </w:r>
    </w:p>
    <w:p>
      <w:pPr>
        <w:spacing w:after="0" w:line="177" w:lineRule="exact"/>
        <w:rPr>
          <w:sz w:val="20"/>
          <w:szCs w:val="20"/>
          <w:color w:val="auto"/>
        </w:rPr>
      </w:pPr>
    </w:p>
    <w:p>
      <w:pPr>
        <w:ind w:left="320" w:hanging="314"/>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InnovAge Holding Corp.;</w:t>
      </w:r>
    </w:p>
    <w:p>
      <w:pPr>
        <w:spacing w:after="0" w:line="190"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8"/>
          <w:szCs w:val="18"/>
          <w:color w:val="auto"/>
        </w:rPr>
      </w:pPr>
    </w:p>
    <w:p>
      <w:pPr>
        <w:ind w:left="640" w:hanging="316"/>
        <w:spacing w:after="0" w:line="274" w:lineRule="auto"/>
        <w:tabs>
          <w:tab w:leader="none" w:pos="63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9, 2025</w:t>
      </w:r>
    </w:p>
    <w:p>
      <w:pPr>
        <w:spacing w:after="0" w:line="3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74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Benjamin C. Adams</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086"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InnovAge Holding Corp. (the “Company”) for the year ended June 30, 2025,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151" w:lineRule="exact"/>
        <w:rPr>
          <w:sz w:val="20"/>
          <w:szCs w:val="20"/>
          <w:color w:val="auto"/>
        </w:rPr>
      </w:pPr>
    </w:p>
    <w:p>
      <w:pPr>
        <w:ind w:left="640" w:hanging="316"/>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7" w:lineRule="exact"/>
        <w:rPr>
          <w:rFonts w:ascii="Times New Roman" w:cs="Times New Roman" w:eastAsia="Times New Roman" w:hAnsi="Times New Roman"/>
          <w:sz w:val="18"/>
          <w:szCs w:val="18"/>
          <w:color w:val="auto"/>
        </w:rPr>
      </w:pPr>
    </w:p>
    <w:p>
      <w:pPr>
        <w:ind w:left="20" w:right="360" w:firstLine="304"/>
        <w:spacing w:after="0" w:line="535" w:lineRule="auto"/>
        <w:tabs>
          <w:tab w:leader="none" w:pos="6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9, 2025</w:t>
      </w:r>
    </w:p>
    <w:p>
      <w:pPr>
        <w:spacing w:after="0" w:line="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74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Patrick Blair</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087"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InnovAge Holding Corp. (the “Company”) for the year ended June 30, 2025, as filed with the U.S. Securities and Exchange Commission (the “Report”), I, Benjamin C. Adams, Chief Financial Officer of the Company, hereby certify, pursuant to 18 U.S.C. Section 1350, as adopted pursuant to Section 906 of the Sarbanes-Oxley Act of 2002, that, to my knowledge:</w:t>
      </w:r>
    </w:p>
    <w:p>
      <w:pPr>
        <w:spacing w:after="0" w:line="151" w:lineRule="exact"/>
        <w:rPr>
          <w:sz w:val="20"/>
          <w:szCs w:val="20"/>
          <w:color w:val="auto"/>
        </w:rPr>
      </w:pPr>
    </w:p>
    <w:p>
      <w:pPr>
        <w:ind w:left="640" w:hanging="316"/>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7" w:lineRule="exact"/>
        <w:rPr>
          <w:rFonts w:ascii="Times New Roman" w:cs="Times New Roman" w:eastAsia="Times New Roman" w:hAnsi="Times New Roman"/>
          <w:sz w:val="18"/>
          <w:szCs w:val="18"/>
          <w:color w:val="auto"/>
        </w:rPr>
      </w:pPr>
    </w:p>
    <w:p>
      <w:pPr>
        <w:ind w:left="20" w:right="360" w:firstLine="304"/>
        <w:spacing w:after="0" w:line="335" w:lineRule="auto"/>
        <w:tabs>
          <w:tab w:leader="none" w:pos="63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9, 2025</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74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Benjamin C. Adams</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0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9A1DEAA"/>
    <w:multiLevelType w:val="hybridMultilevel"/>
    <w:lvl w:ilvl="0">
      <w:lvlJc w:val="left"/>
      <w:lvlText w:val="x"/>
      <w:numFmt w:val="bullet"/>
      <w:start w:val="1"/>
    </w:lvl>
  </w:abstractNum>
  <w:abstractNum w:abstractNumId="1">
    <w:nsid w:val="75C6C33A"/>
    <w:multiLevelType w:val="hybridMultilevel"/>
    <w:lvl w:ilvl="0">
      <w:lvlJc w:val="left"/>
      <w:lvlText w:val="o"/>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1)"/>
      <w:numFmt w:val="lowerRoman"/>
      <w:start w:val="2"/>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1)"/>
      <w:numFmt w:val="lowerLetter"/>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1)"/>
      <w:numFmt w:val="lowerLetter"/>
      <w:start w:val="1"/>
    </w:lvl>
  </w:abstractNum>
  <w:abstractNum w:abstractNumId="38">
    <w:nsid w:val="98A3148"/>
    <w:multiLevelType w:val="hybridMultilevel"/>
    <w:lvl w:ilvl="0">
      <w:lvlJc w:val="left"/>
      <w:lvlText w:val="(%1)"/>
      <w:numFmt w:val="decimal"/>
      <w:start w:val="1"/>
    </w:lvl>
  </w:abstractNum>
  <w:abstractNum w:abstractNumId="39">
    <w:nsid w:val="799D0247"/>
    <w:multiLevelType w:val="hybridMultilevel"/>
    <w:lvl w:ilvl="0">
      <w:lvlJc w:val="left"/>
      <w:lvlText w:val="(%1)"/>
      <w:numFmt w:val="lowerLetter"/>
      <w:start w:val="1"/>
    </w:lvl>
  </w:abstractNum>
  <w:abstractNum w:abstractNumId="40">
    <w:nsid w:val="6B94764"/>
    <w:multiLevelType w:val="hybridMultilevel"/>
    <w:lvl w:ilvl="0">
      <w:lvlJc w:val="left"/>
      <w:lvlText w:val="%1"/>
      <w:numFmt w:val="lowerLetter"/>
      <w:start w:val="1"/>
    </w:lvl>
    <w:lvl w:ilvl="1">
      <w:lvlJc w:val="left"/>
      <w:lvlText w:val="(%2)"/>
      <w:numFmt w:val="lowerLetter"/>
      <w:start w:val="35"/>
    </w:lvl>
  </w:abstractNum>
  <w:abstractNum w:abstractNumId="41">
    <w:nsid w:val="42C296BD"/>
    <w:multiLevelType w:val="hybridMultilevel"/>
    <w:lvl w:ilvl="0">
      <w:lvlJc w:val="left"/>
      <w:lvlText w:val="(%1)"/>
      <w:numFmt w:val="lowerLetter"/>
      <w:start w:val="3"/>
    </w:lvl>
    <w:lvl w:ilvl="1">
      <w:lvlJc w:val="left"/>
      <w:lvlText w:val="%2"/>
      <w:numFmt w:val="lowerLetter"/>
      <w:start w:val="1"/>
    </w:lvl>
  </w:abstractNum>
  <w:abstractNum w:abstractNumId="42">
    <w:nsid w:val="168E121F"/>
    <w:multiLevelType w:val="hybridMultilevel"/>
    <w:lvl w:ilvl="0">
      <w:lvlJc w:val="left"/>
      <w:lvlText w:val="(%1)"/>
      <w:numFmt w:val="decimal"/>
      <w:start w:val="1"/>
    </w:lvl>
  </w:abstractNum>
  <w:abstractNum w:abstractNumId="43">
    <w:nsid w:val="1EBA5D23"/>
    <w:multiLevelType w:val="hybridMultilevel"/>
    <w:lvl w:ilvl="0">
      <w:lvlJc w:val="left"/>
      <w:lvlText w:val="(%1)"/>
      <w:numFmt w:val="lowerLetter"/>
      <w:start w:val="1"/>
    </w:lvl>
  </w:abstractNum>
  <w:abstractNum w:abstractNumId="44">
    <w:nsid w:val="661E3F1E"/>
    <w:multiLevelType w:val="hybridMultilevel"/>
    <w:lvl w:ilvl="0">
      <w:lvlJc w:val="left"/>
      <w:lvlText w:val="(%1)"/>
      <w:numFmt w:val="decimal"/>
      <w:start w:val="1"/>
    </w:lvl>
  </w:abstractNum>
  <w:abstractNum w:abstractNumId="45">
    <w:nsid w:val="5DC79EA8"/>
    <w:multiLevelType w:val="hybridMultilevel"/>
    <w:lvl w:ilvl="0">
      <w:lvlJc w:val="left"/>
      <w:lvlText w:val="%1"/>
      <w:numFmt w:val="decimal"/>
      <w:start w:val="97"/>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1."/>
      <w:numFmt w:val="decimal"/>
      <w:start w:val="1"/>
    </w:lvl>
    <w:lvl w:ilvl="1">
      <w:lvlJc w:val="left"/>
      <w:lvlText w:val="(%2)"/>
      <w:numFmt w:val="lowerLetter"/>
      <w:start w:val="1"/>
    </w:lvl>
  </w:abstractNum>
  <w:abstractNum w:abstractNumId="51">
    <w:nsid w:val="11447B73"/>
    <w:multiLevelType w:val="hybridMultilevel"/>
    <w:lvl w:ilvl="0">
      <w:lvlJc w:val="left"/>
      <w:lvlText w:val="%1."/>
      <w:numFmt w:val="decimal"/>
      <w:start w:val="4"/>
    </w:lvl>
    <w:lvl w:ilvl="1">
      <w:lvlJc w:val="left"/>
      <w:lvlText w:val="(%2)"/>
      <w:numFmt w:val="lowerLetter"/>
      <w:start w:val="1"/>
    </w:lvl>
  </w:abstractNum>
  <w:abstractNum w:abstractNumId="52">
    <w:nsid w:val="42963E5A"/>
    <w:multiLevelType w:val="hybridMultilevel"/>
    <w:lvl w:ilvl="0">
      <w:lvlJc w:val="left"/>
      <w:lvlText w:val="%1"/>
      <w:numFmt w:val="decimal"/>
      <w:start w:val="1"/>
    </w:lvl>
    <w:lvl w:ilvl="1">
      <w:lvlJc w:val="left"/>
      <w:lvlText w:val="(%2)"/>
      <w:numFmt w:val="lowerLetter"/>
      <w:start w:val="2"/>
    </w:lvl>
  </w:abstractNum>
  <w:abstractNum w:abstractNumId="53">
    <w:nsid w:val="A0382C5"/>
    <w:multiLevelType w:val="hybridMultilevel"/>
    <w:lvl w:ilvl="0">
      <w:lvlJc w:val="left"/>
      <w:lvlText w:val="%1."/>
      <w:numFmt w:val="decimal"/>
      <w:start w:val="9"/>
    </w:lvl>
    <w:lvl w:ilvl="1">
      <w:lvlJc w:val="left"/>
      <w:lvlText w:val="%2"/>
      <w:numFmt w:val="lowerLetter"/>
      <w:start w:val="1"/>
    </w:lvl>
  </w:abstractNum>
  <w:abstractNum w:abstractNumId="54">
    <w:nsid w:val="8F2B15E"/>
    <w:multiLevelType w:val="hybridMultilevel"/>
    <w:lvl w:ilvl="0">
      <w:lvlJc w:val="left"/>
      <w:lvlText w:val="%1."/>
      <w:numFmt w:val="decimal"/>
      <w:start w:val="12"/>
    </w:lvl>
  </w:abstractNum>
  <w:abstractNum w:abstractNumId="55">
    <w:nsid w:val="1A32234B"/>
    <w:multiLevelType w:val="hybridMultilevel"/>
    <w:lvl w:ilvl="0">
      <w:lvlJc w:val="left"/>
      <w:lvlText w:val="%1."/>
      <w:numFmt w:val="decimal"/>
      <w:start w:val="13"/>
    </w:lvl>
    <w:lvl w:ilvl="1">
      <w:lvlJc w:val="left"/>
      <w:lvlText w:val="(%2)"/>
      <w:numFmt w:val="lowerLetter"/>
      <w:start w:val="1"/>
    </w:lvl>
  </w:abstractNum>
  <w:abstractNum w:abstractNumId="56">
    <w:nsid w:val="3B0FD379"/>
    <w:multiLevelType w:val="hybridMultilevel"/>
    <w:lvl w:ilvl="0">
      <w:lvlJc w:val="left"/>
      <w:lvlText w:val="%1"/>
      <w:numFmt w:val="decimal"/>
      <w:start w:val="1"/>
    </w:lvl>
    <w:lvl w:ilvl="1">
      <w:lvlJc w:val="left"/>
      <w:lvlText w:val="(%2)"/>
      <w:numFmt w:val="lowerLetter"/>
      <w:start w:val="2"/>
    </w:lvl>
  </w:abstractNum>
  <w:abstractNum w:abstractNumId="57">
    <w:nsid w:val="68EB2F63"/>
    <w:multiLevelType w:val="hybridMultilevel"/>
    <w:lvl w:ilvl="0">
      <w:lvlJc w:val="left"/>
      <w:lvlText w:val="%1."/>
      <w:numFmt w:val="decimal"/>
      <w:start w:val="17"/>
    </w:lvl>
    <w:lvl w:ilvl="1">
      <w:lvlJc w:val="left"/>
      <w:lvlText w:val="%2"/>
      <w:numFmt w:val="lowerLetter"/>
      <w:start w:val="1"/>
    </w:lvl>
  </w:abstractNum>
  <w:abstractNum w:abstractNumId="58">
    <w:nsid w:val="4962813B"/>
    <w:multiLevelType w:val="hybridMultilevel"/>
    <w:lvl w:ilvl="0">
      <w:lvlJc w:val="left"/>
      <w:lvlText w:val="%1."/>
      <w:numFmt w:val="upperLetter"/>
      <w:start w:val="1"/>
    </w:lvl>
  </w:abstractNum>
  <w:abstractNum w:abstractNumId="59">
    <w:nsid w:val="60B6DF70"/>
    <w:multiLevelType w:val="hybridMultilevel"/>
    <w:lvl w:ilvl="0">
      <w:lvlJc w:val="left"/>
      <w:lvlText w:val="%1."/>
      <w:numFmt w:val="upperLetter"/>
      <w:start w:val="2"/>
    </w:lvl>
    <w:lvl w:ilvl="1">
      <w:lvlJc w:val="left"/>
      <w:lvlText w:val="%2."/>
      <w:numFmt w:val="lowerRoman"/>
      <w:start w:val="1"/>
    </w:lvl>
  </w:abstractNum>
  <w:abstractNum w:abstractNumId="60">
    <w:nsid w:val="6A5EE64"/>
    <w:multiLevelType w:val="hybridMultilevel"/>
    <w:lvl w:ilvl="0">
      <w:lvlJc w:val="left"/>
      <w:lvlText w:val="%1."/>
      <w:numFmt w:val="decimal"/>
      <w:start w:val="1"/>
    </w:lvl>
  </w:abstractNum>
  <w:abstractNum w:abstractNumId="61">
    <w:nsid w:val="14330624"/>
    <w:multiLevelType w:val="hybridMultilevel"/>
    <w:lvl w:ilvl="0">
      <w:lvlJc w:val="left"/>
      <w:lvlText w:val="%1."/>
      <w:numFmt w:val="decimal"/>
      <w:start w:val="2"/>
    </w:lvl>
  </w:abstractNum>
  <w:abstractNum w:abstractNumId="62">
    <w:nsid w:val="7FFFCA11"/>
    <w:multiLevelType w:val="hybridMultilevel"/>
    <w:lvl w:ilvl="0">
      <w:lvlJc w:val="left"/>
      <w:lvlText w:val="(%1)"/>
      <w:numFmt w:val="lowerLetter"/>
      <w:start w:val="2"/>
    </w:lvl>
  </w:abstractNum>
  <w:abstractNum w:abstractNumId="63">
    <w:nsid w:val="1A27709E"/>
    <w:multiLevelType w:val="hybridMultilevel"/>
    <w:lvl w:ilvl="0">
      <w:lvlJc w:val="left"/>
      <w:lvlText w:val="%1."/>
      <w:numFmt w:val="decimal"/>
      <w:start w:val="1"/>
    </w:lvl>
    <w:lvl w:ilvl="1">
      <w:lvlJc w:val="left"/>
      <w:lvlText w:val="(%2)"/>
      <w:numFmt w:val="lowerLetter"/>
      <w:start w:val="1"/>
    </w:lvl>
  </w:abstractNum>
  <w:abstractNum w:abstractNumId="64">
    <w:nsid w:val="71EA1109"/>
    <w:multiLevelType w:val="hybridMultilevel"/>
    <w:lvl w:ilvl="0">
      <w:lvlJc w:val="left"/>
      <w:lvlText w:val="%1."/>
      <w:numFmt w:val="decimal"/>
      <w:start w:val="4"/>
    </w:lvl>
    <w:lvl w:ilvl="1">
      <w:lvlJc w:val="left"/>
      <w:lvlText w:val="(%2)"/>
      <w:numFmt w:val="lowerLetter"/>
      <w:start w:val="1"/>
    </w:lvl>
  </w:abstractNum>
  <w:abstractNum w:abstractNumId="65">
    <w:nsid w:val="100F59DC"/>
    <w:multiLevelType w:val="hybridMultilevel"/>
    <w:lvl w:ilvl="0">
      <w:lvlJc w:val="left"/>
      <w:lvlText w:val="%1"/>
      <w:numFmt w:val="decimal"/>
      <w:start w:val="1"/>
    </w:lvl>
    <w:lvl w:ilvl="1">
      <w:lvlJc w:val="left"/>
      <w:lvlText w:val="(%2)"/>
      <w:numFmt w:val="lowerLetter"/>
      <w:start w:val="2"/>
    </w:lvl>
  </w:abstractNum>
  <w:abstractNum w:abstractNumId="66">
    <w:nsid w:val="7FB7E0AA"/>
    <w:multiLevelType w:val="hybridMultilevel"/>
    <w:lvl w:ilvl="0">
      <w:lvlJc w:val="left"/>
      <w:lvlText w:val="%1."/>
      <w:numFmt w:val="decimal"/>
      <w:start w:val="9"/>
    </w:lvl>
    <w:lvl w:ilvl="1">
      <w:lvlJc w:val="left"/>
      <w:lvlText w:val="%2"/>
      <w:numFmt w:val="lowerLetter"/>
      <w:start w:val="1"/>
    </w:lvl>
  </w:abstractNum>
  <w:abstractNum w:abstractNumId="67">
    <w:nsid w:val="6EB5BD4"/>
    <w:multiLevelType w:val="hybridMultilevel"/>
    <w:lvl w:ilvl="0">
      <w:lvlJc w:val="left"/>
      <w:lvlText w:val="%1."/>
      <w:numFmt w:val="decimal"/>
      <w:start w:val="12"/>
    </w:lvl>
  </w:abstractNum>
  <w:abstractNum w:abstractNumId="68">
    <w:nsid w:val="6F6DD9AC"/>
    <w:multiLevelType w:val="hybridMultilevel"/>
    <w:lvl w:ilvl="0">
      <w:lvlJc w:val="left"/>
      <w:lvlText w:val="%1."/>
      <w:numFmt w:val="decimal"/>
      <w:start w:val="13"/>
    </w:lvl>
    <w:lvl w:ilvl="1">
      <w:lvlJc w:val="left"/>
      <w:lvlText w:val="(%2)"/>
      <w:numFmt w:val="lowerLetter"/>
      <w:start w:val="1"/>
    </w:lvl>
  </w:abstractNum>
  <w:abstractNum w:abstractNumId="69">
    <w:nsid w:val="94211F2"/>
    <w:multiLevelType w:val="hybridMultilevel"/>
    <w:lvl w:ilvl="0">
      <w:lvlJc w:val="left"/>
      <w:lvlText w:val="%1"/>
      <w:numFmt w:val="decimal"/>
      <w:start w:val="1"/>
    </w:lvl>
    <w:lvl w:ilvl="1">
      <w:lvlJc w:val="left"/>
      <w:lvlText w:val="(%2)"/>
      <w:numFmt w:val="lowerLetter"/>
      <w:start w:val="2"/>
    </w:lvl>
  </w:abstractNum>
  <w:abstractNum w:abstractNumId="70">
    <w:nsid w:val="885E1B"/>
    <w:multiLevelType w:val="hybridMultilevel"/>
    <w:lvl w:ilvl="0">
      <w:lvlJc w:val="left"/>
      <w:lvlText w:val="%1."/>
      <w:numFmt w:val="decimal"/>
      <w:start w:val="17"/>
    </w:lvl>
    <w:lvl w:ilvl="1">
      <w:lvlJc w:val="left"/>
      <w:lvlText w:val="%2"/>
      <w:numFmt w:val="lowerLetter"/>
      <w:start w:val="1"/>
    </w:lvl>
  </w:abstractNum>
  <w:abstractNum w:abstractNumId="71">
    <w:nsid w:val="76272110"/>
    <w:multiLevelType w:val="hybridMultilevel"/>
    <w:lvl w:ilvl="0">
      <w:lvlJc w:val="left"/>
      <w:lvlText w:val="%1."/>
      <w:numFmt w:val="upperLetter"/>
      <w:start w:val="1"/>
    </w:lvl>
  </w:abstractNum>
  <w:abstractNum w:abstractNumId="72">
    <w:nsid w:val="4C04A8AF"/>
    <w:multiLevelType w:val="hybridMultilevel"/>
    <w:lvl w:ilvl="0">
      <w:lvlJc w:val="left"/>
      <w:lvlText w:val="%1."/>
      <w:numFmt w:val="upperLetter"/>
      <w:start w:val="2"/>
    </w:lvl>
    <w:lvl w:ilvl="1">
      <w:lvlJc w:val="left"/>
      <w:lvlText w:val="%2."/>
      <w:numFmt w:val="lowerRoman"/>
      <w:start w:val="1"/>
    </w:lvl>
  </w:abstractNum>
  <w:abstractNum w:abstractNumId="73">
    <w:nsid w:val="1716703B"/>
    <w:multiLevelType w:val="hybridMultilevel"/>
    <w:lvl w:ilvl="0">
      <w:lvlJc w:val="left"/>
      <w:lvlText w:val="%1."/>
      <w:numFmt w:val="decimal"/>
      <w:start w:val="1"/>
    </w:lvl>
  </w:abstractNum>
  <w:abstractNum w:abstractNumId="74">
    <w:nsid w:val="14E17E33"/>
    <w:multiLevelType w:val="hybridMultilevel"/>
    <w:lvl w:ilvl="0">
      <w:lvlJc w:val="left"/>
      <w:lvlText w:val="%1."/>
      <w:numFmt w:val="decimal"/>
      <w:start w:val="2"/>
    </w:lvl>
  </w:abstractNum>
  <w:abstractNum w:abstractNumId="75">
    <w:nsid w:val="3222E7CD"/>
    <w:multiLevelType w:val="hybridMultilevel"/>
    <w:lvl w:ilvl="0">
      <w:lvlJc w:val="left"/>
      <w:lvlText w:val="(%1)"/>
      <w:numFmt w:val="lowerLetter"/>
      <w:start w:val="2"/>
    </w:lvl>
  </w:abstractNum>
  <w:abstractNum w:abstractNumId="76">
    <w:nsid w:val="74DE0EE3"/>
    <w:multiLevelType w:val="hybridMultilevel"/>
    <w:lvl w:ilvl="0">
      <w:lvlJc w:val="left"/>
      <w:lvlText w:val="%1."/>
      <w:numFmt w:val="decimal"/>
      <w:start w:val="1"/>
    </w:lvl>
    <w:lvl w:ilvl="1">
      <w:lvlJc w:val="left"/>
      <w:lvlText w:val="(%2)"/>
      <w:numFmt w:val="lowerLetter"/>
      <w:start w:val="1"/>
    </w:lvl>
  </w:abstractNum>
  <w:abstractNum w:abstractNumId="77">
    <w:nsid w:val="68EBC550"/>
    <w:multiLevelType w:val="hybridMultilevel"/>
    <w:lvl w:ilvl="0">
      <w:lvlJc w:val="left"/>
      <w:lvlText w:val="%1."/>
      <w:numFmt w:val="decimal"/>
      <w:start w:val="4"/>
    </w:lvl>
    <w:lvl w:ilvl="1">
      <w:lvlJc w:val="left"/>
      <w:lvlText w:val="(%2)"/>
      <w:numFmt w:val="lowerLetter"/>
      <w:start w:val="1"/>
    </w:lvl>
  </w:abstractNum>
  <w:abstractNum w:abstractNumId="78">
    <w:nsid w:val="2DF6D648"/>
    <w:multiLevelType w:val="hybridMultilevel"/>
    <w:lvl w:ilvl="0">
      <w:lvlJc w:val="left"/>
      <w:lvlText w:val="%1"/>
      <w:numFmt w:val="decimal"/>
      <w:start w:val="1"/>
    </w:lvl>
    <w:lvl w:ilvl="1">
      <w:lvlJc w:val="left"/>
      <w:lvlText w:val="(%2)"/>
      <w:numFmt w:val="lowerLetter"/>
      <w:start w:val="2"/>
    </w:lvl>
  </w:abstractNum>
  <w:abstractNum w:abstractNumId="79">
    <w:nsid w:val="46B7D447"/>
    <w:multiLevelType w:val="hybridMultilevel"/>
    <w:lvl w:ilvl="0">
      <w:lvlJc w:val="left"/>
      <w:lvlText w:val="%1."/>
      <w:numFmt w:val="decimal"/>
      <w:start w:val="9"/>
    </w:lvl>
    <w:lvl w:ilvl="1">
      <w:lvlJc w:val="left"/>
      <w:lvlText w:val="%2"/>
      <w:numFmt w:val="lowerLetter"/>
      <w:start w:val="1"/>
    </w:lvl>
  </w:abstractNum>
  <w:abstractNum w:abstractNumId="80">
    <w:nsid w:val="4A2AC315"/>
    <w:multiLevelType w:val="hybridMultilevel"/>
    <w:lvl w:ilvl="0">
      <w:lvlJc w:val="left"/>
      <w:lvlText w:val="%1."/>
      <w:numFmt w:val="decimal"/>
      <w:start w:val="12"/>
    </w:lvl>
  </w:abstractNum>
  <w:abstractNum w:abstractNumId="81">
    <w:nsid w:val="39EE015C"/>
    <w:multiLevelType w:val="hybridMultilevel"/>
    <w:lvl w:ilvl="0">
      <w:lvlJc w:val="left"/>
      <w:lvlText w:val="%1."/>
      <w:numFmt w:val="decimal"/>
      <w:start w:val="13"/>
    </w:lvl>
    <w:lvl w:ilvl="1">
      <w:lvlJc w:val="left"/>
      <w:lvlText w:val="(%2)"/>
      <w:numFmt w:val="lowerLetter"/>
      <w:start w:val="1"/>
    </w:lvl>
  </w:abstractNum>
  <w:abstractNum w:abstractNumId="82">
    <w:nsid w:val="57FC4FBB"/>
    <w:multiLevelType w:val="hybridMultilevel"/>
    <w:lvl w:ilvl="0">
      <w:lvlJc w:val="left"/>
      <w:lvlText w:val="%1"/>
      <w:numFmt w:val="decimal"/>
      <w:start w:val="1"/>
    </w:lvl>
    <w:lvl w:ilvl="1">
      <w:lvlJc w:val="left"/>
      <w:lvlText w:val="(%2)"/>
      <w:numFmt w:val="lowerLetter"/>
      <w:start w:val="2"/>
    </w:lvl>
  </w:abstractNum>
  <w:abstractNum w:abstractNumId="83">
    <w:nsid w:val="CC1016F"/>
    <w:multiLevelType w:val="hybridMultilevel"/>
    <w:lvl w:ilvl="0">
      <w:lvlJc w:val="left"/>
      <w:lvlText w:val="%1."/>
      <w:numFmt w:val="decimal"/>
      <w:start w:val="17"/>
    </w:lvl>
    <w:lvl w:ilvl="1">
      <w:lvlJc w:val="left"/>
      <w:lvlText w:val="%2"/>
      <w:numFmt w:val="lowerLetter"/>
      <w:start w:val="1"/>
    </w:lvl>
  </w:abstractNum>
  <w:abstractNum w:abstractNumId="84">
    <w:nsid w:val="43F18422"/>
    <w:multiLevelType w:val="hybridMultilevel"/>
    <w:lvl w:ilvl="0">
      <w:lvlJc w:val="left"/>
      <w:lvlText w:val="%1."/>
      <w:numFmt w:val="upperLetter"/>
      <w:start w:val="1"/>
    </w:lvl>
  </w:abstractNum>
  <w:abstractNum w:abstractNumId="85">
    <w:nsid w:val="60EF0119"/>
    <w:multiLevelType w:val="hybridMultilevel"/>
    <w:lvl w:ilvl="0">
      <w:lvlJc w:val="left"/>
      <w:lvlText w:val="%1."/>
      <w:numFmt w:val="upperLetter"/>
      <w:start w:val="2"/>
    </w:lvl>
    <w:lvl w:ilvl="1">
      <w:lvlJc w:val="left"/>
      <w:lvlText w:val="%2."/>
      <w:numFmt w:val="lowerRoman"/>
      <w:start w:val="1"/>
    </w:lvl>
  </w:abstractNum>
  <w:abstractNum w:abstractNumId="86">
    <w:nsid w:val="26F324BA"/>
    <w:multiLevelType w:val="hybridMultilevel"/>
    <w:lvl w:ilvl="0">
      <w:lvlJc w:val="left"/>
      <w:lvlText w:val="%1."/>
      <w:numFmt w:val="decimal"/>
      <w:start w:val="1"/>
    </w:lvl>
  </w:abstractNum>
  <w:abstractNum w:abstractNumId="87">
    <w:nsid w:val="7F01579B"/>
    <w:multiLevelType w:val="hybridMultilevel"/>
    <w:lvl w:ilvl="0">
      <w:lvlJc w:val="left"/>
      <w:lvlText w:val="%1."/>
      <w:numFmt w:val="decimal"/>
      <w:start w:val="2"/>
    </w:lvl>
  </w:abstractNum>
  <w:abstractNum w:abstractNumId="88">
    <w:nsid w:val="49DA307D"/>
    <w:multiLevelType w:val="hybridMultilevel"/>
    <w:lvl w:ilvl="0">
      <w:lvlJc w:val="left"/>
      <w:lvlText w:val="(%1)"/>
      <w:numFmt w:val="lowerLetter"/>
      <w:start w:val="2"/>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1."/>
      <w:numFmt w:val="decimal"/>
      <w:start w:val="1"/>
    </w:lvl>
  </w:abstractNum>
  <w:abstractNum w:abstractNumId="93">
    <w:nsid w:val="5FB8011C"/>
    <w:multiLevelType w:val="hybridMultilevel"/>
    <w:lvl w:ilvl="0">
      <w:lvlJc w:val="left"/>
      <w:lvlText w:val="%1."/>
      <w:numFmt w:val="decimal"/>
      <w:start w:val="6"/>
    </w:lvl>
  </w:abstractNum>
  <w:abstractNum w:abstractNumId="94">
    <w:nsid w:val="6AA78F7F"/>
    <w:multiLevelType w:val="hybridMultilevel"/>
    <w:lvl w:ilvl="0">
      <w:lvlJc w:val="left"/>
      <w:lvlText w:val="•"/>
      <w:numFmt w:val="bullet"/>
      <w:start w:val="1"/>
    </w:lvl>
    <w:lvl w:ilvl="1">
      <w:lvlJc w:val="left"/>
      <w:lvlText w:val="(%2)"/>
      <w:numFmt w:val="lowerLetter"/>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3"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24" Type="http://schemas.openxmlformats.org/officeDocument/2006/relationships/hyperlink" Target="https://www.sec.gov/Archives/edgar/data/1834376/000110465921033328/tm2037889d18_ex3-1.htm" TargetMode="External"/><Relationship Id="rId125" Type="http://schemas.openxmlformats.org/officeDocument/2006/relationships/hyperlink" Target="https://www.sec.gov/Archives/edgar/data/1834376/000183437625000003/ex32-innvdeamendment.htm" TargetMode="External"/><Relationship Id="rId126" Type="http://schemas.openxmlformats.org/officeDocument/2006/relationships/hyperlink" Target="https://www.sec.gov/Archives/edgar/data/1834376/000110465921033328/tm2037889d18_ex3-2.htm" TargetMode="External"/><Relationship Id="rId127" Type="http://schemas.openxmlformats.org/officeDocument/2006/relationships/hyperlink" Target="https://www.sec.gov/Archives/edgar/data/1834376/000110465921033328/tm2037889d18_ex4-1.htm" TargetMode="External"/><Relationship Id="rId128" Type="http://schemas.openxmlformats.org/officeDocument/2006/relationships/hyperlink" Target="https://www.sec.gov/Archives/edgar/data/1834376/000110465921033328/tm2037889d18_ex10-1.htm" TargetMode="External"/><Relationship Id="rId129" Type="http://schemas.openxmlformats.org/officeDocument/2006/relationships/hyperlink" Target="https://www.sec.gov/Archives/edgar/data/1834376/000110465921035601/tm2037889d20_ex10-1.htm" TargetMode="External"/><Relationship Id="rId130" Type="http://schemas.openxmlformats.org/officeDocument/2006/relationships/hyperlink" Target="https://www.sec.gov/Archives/edgar/data/1834376/000183437623000017/ex103-innovagexamendment.htm" TargetMode="External"/><Relationship Id="rId131" Type="http://schemas.openxmlformats.org/officeDocument/2006/relationships/hyperlink" Target="https://www.sec.gov/Archives/edgar/data/1834376/000183437625000054/ex101amendmentno2tocredi.htm" TargetMode="External"/><Relationship Id="rId132" Type="http://schemas.openxmlformats.org/officeDocument/2006/relationships/hyperlink" Target="https://www.sec.gov/Archives/edgar/data/1834376/000110465921014071/tm2037889d5_ex10-2.htm" TargetMode="External"/><Relationship Id="rId134" Type="http://schemas.openxmlformats.org/officeDocument/2006/relationships/hyperlink" Target="https://www.sec.gov/Archives/edgar/data/1834376/000110465921137649/tm2132692d1_ex10-1.htm" TargetMode="External"/><Relationship Id="rId135" Type="http://schemas.openxmlformats.org/officeDocument/2006/relationships/hyperlink" Target="https://www.sec.gov/Archives/edgar/data/1834376/000183437624000080/ex104-amendmenttoceoemploy.htm" TargetMode="External"/><Relationship Id="rId136" Type="http://schemas.openxmlformats.org/officeDocument/2006/relationships/hyperlink" Target="https://www.sec.gov/Archives/edgar/data/1834376/000110465923097754/tm2325323d1_ex10-1.htm" TargetMode="External"/><Relationship Id="rId137" Type="http://schemas.openxmlformats.org/officeDocument/2006/relationships/hyperlink" Target="https://www.sec.gov/Archives/edgar/data/1834376/000183437624000080/ex101-mscarbroughemploym.htm" TargetMode="External"/><Relationship Id="rId138" Type="http://schemas.openxmlformats.org/officeDocument/2006/relationships/hyperlink" Target="https://www.sec.gov/Archives/edgar/data/1834376/000183437624000080/ex102-classbunitawardagree.htm" TargetMode="External"/><Relationship Id="rId139" Type="http://schemas.openxmlformats.org/officeDocument/2006/relationships/hyperlink" Target="https://www.sec.gov/Archives/edgar/data/1834376/000110465923078256/tm2319005d1_ex10-1.htm" TargetMode="External"/><Relationship Id="rId140" Type="http://schemas.openxmlformats.org/officeDocument/2006/relationships/hyperlink" Target="https://www.sec.gov/Archives/edgar/data/1834376/000110465923078256/tm2319005d1_ex10-2.htm" TargetMode="External"/><Relationship Id="rId141" Type="http://schemas.openxmlformats.org/officeDocument/2006/relationships/hyperlink" Target="https://www.sec.gov/Archives/edgar/data/1834376/000155837022014380/tmb-20220630xex10d6.htm" TargetMode="External"/><Relationship Id="rId142" Type="http://schemas.openxmlformats.org/officeDocument/2006/relationships/hyperlink" Target="https://www.sec.gov/Archives/edgar/data/1834376/000110465923127341/tm2333148d1_ex10-1.htm" TargetMode="External"/><Relationship Id="rId143" Type="http://schemas.openxmlformats.org/officeDocument/2006/relationships/hyperlink" Target="https://www.sec.gov/Archives/edgar/data/1834376/000110465921032425/tm2037889d8_ex10-1.htm" TargetMode="External"/><Relationship Id="rId144" Type="http://schemas.openxmlformats.org/officeDocument/2006/relationships/hyperlink" Target="https://www.sec.gov/Archives/edgar/data/1834376/000183437623000017/ex1020-active_84672814x9.htm" TargetMode="External"/><Relationship Id="rId145" Type="http://schemas.openxmlformats.org/officeDocument/2006/relationships/hyperlink" Target="https://www.sec.gov/Archives/edgar/data/1834376/000110465921027152/tm2037889d8_ex10-9.htm" TargetMode="External"/><Relationship Id="rId146" Type="http://schemas.openxmlformats.org/officeDocument/2006/relationships/hyperlink" Target="https://www.sec.gov/Archives/edgar/data/1834376/000183437624000074/ex1019-revisedformofrestri.htm" TargetMode="External"/><Relationship Id="rId149" Type="http://schemas.openxmlformats.org/officeDocument/2006/relationships/hyperlink" Target="https://www.sec.gov/ix?doc=/Archives/edgar/data/1834376/000183437624000074/innv-2024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2025-09-09T16:16:19Z</dcterms:created>
  <dcterms:modified xsi:type="dcterms:W3CDTF">2025-09-09T16:16:19Z</dcterms:modified>
</cp:coreProperties>
</file>