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839352.xml.htm"/>
      <w:bookmarkStart w:id="1" w:name="kswkform4_17848393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Adams Benjamin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8950 E. LOWRY BOULEVARD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InnovAge Holding Corp.</w:t>
              </w:r>
            </w:hyperlink>
            <w:r>
              <w:rPr/>
              <w:t xml:space="preserve"> [ </w:t>
            </w:r>
            <w:r>
              <w:rPr>
                <w:rFonts w:ascii="Times;serif" w:hAnsi="Times;serif"/>
                <w:color w:val="0000FF"/>
                <w:sz w:val="24"/>
                <w:shd w:fill="FFFFFF" w:val="clear"/>
              </w:rPr>
              <w:t>INNV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34"/>
        <w:gridCol w:w="501"/>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5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$0.001 par value</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17,123</w:t>
            </w:r>
          </w:p>
        </w:tc>
        <w:tc>
          <w:tcPr>
            <w:tcW w:w="5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17,123</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which will be settled in shares of common stock of the Issuer and will vest in three equal installments on the anniversary of the grant date, subject to the Reporting Person's continued service with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Nicole D'Amato,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2682" TargetMode="External"/><Relationship Id="rId5" Type="http://schemas.openxmlformats.org/officeDocument/2006/relationships/hyperlink" Target="http://www.sec.gov/cgi-bin/browse-edgar?action=getcompany&amp;CIK=00018343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612</Words>
  <Characters>3312</Characters>
  <CharactersWithSpaces>3856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