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536575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561975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8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7" w:lineRule="exact"/>
        <w:rPr>
          <w:sz w:val="24"/>
          <w:szCs w:val="24"/>
          <w:color w:val="auto"/>
        </w:rPr>
      </w:pPr>
    </w:p>
    <w:p>
      <w:pPr>
        <w:ind w:left="3200" w:hanging="310"/>
        <w:spacing w:after="0"/>
        <w:tabs>
          <w:tab w:leader="none" w:pos="32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3040" w:hanging="284"/>
        <w:spacing w:after="0"/>
        <w:tabs>
          <w:tab w:leader="none" w:pos="304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18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__________to</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001-40159</w:t>
      </w:r>
    </w:p>
    <w:p>
      <w:pPr>
        <w:spacing w:after="0" w:line="19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81915</wp:posOffset>
            </wp:positionV>
            <wp:extent cx="1682750" cy="487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0" cy="487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176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5120" w:type="dxa"/>
            <w:vAlign w:val="bottom"/>
          </w:tcPr>
          <w:p>
            <w:pPr>
              <w:jc w:val="center"/>
              <w:ind w:right="1633"/>
              <w:spacing w:after="0"/>
              <w:rPr>
                <w:sz w:val="20"/>
                <w:szCs w:val="20"/>
                <w:color w:val="auto"/>
              </w:rPr>
            </w:pPr>
            <w:r>
              <w:rPr>
                <w:rFonts w:ascii="Times New Roman" w:cs="Times New Roman" w:eastAsia="Times New Roman" w:hAnsi="Times New Roman"/>
                <w:sz w:val="14"/>
                <w:szCs w:val="14"/>
                <w:b w:val="1"/>
                <w:bCs w:val="1"/>
                <w:color w:val="auto"/>
              </w:rPr>
              <w:t>InnovAge Holding Corp.</w:t>
            </w:r>
          </w:p>
        </w:tc>
      </w:tr>
      <w:tr>
        <w:trPr>
          <w:trHeight w:val="345"/>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45"/>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tc>
      </w:tr>
      <w:tr>
        <w:trPr>
          <w:trHeight w:val="259"/>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120" w:type="dxa"/>
            <w:vAlign w:val="bottom"/>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81-0710819</w:t>
            </w:r>
          </w:p>
        </w:tc>
      </w:tr>
      <w:tr>
        <w:trPr>
          <w:trHeight w:val="182"/>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5120" w:type="dxa"/>
            <w:vAlign w:val="bottom"/>
          </w:tcPr>
          <w:p>
            <w:pPr>
              <w:jc w:val="center"/>
              <w:ind w:left="3833"/>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5120" w:type="dxa"/>
            <w:vAlign w:val="bottom"/>
          </w:tcPr>
          <w:p>
            <w:pPr>
              <w:jc w:val="center"/>
              <w:ind w:left="3833"/>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328"/>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8950 E. Lowry Boulevard</w:t>
            </w:r>
          </w:p>
        </w:tc>
        <w:tc>
          <w:tcPr>
            <w:tcW w:w="5120" w:type="dxa"/>
            <w:vAlign w:val="bottom"/>
          </w:tcPr>
          <w:p>
            <w:pPr>
              <w:spacing w:after="0"/>
              <w:rPr>
                <w:sz w:val="24"/>
                <w:szCs w:val="24"/>
                <w:color w:val="auto"/>
              </w:rPr>
            </w:pPr>
          </w:p>
        </w:tc>
      </w:tr>
      <w:tr>
        <w:trPr>
          <w:trHeight w:val="146"/>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Denver, CO</w:t>
            </w:r>
          </w:p>
        </w:tc>
        <w:tc>
          <w:tcPr>
            <w:tcW w:w="5120" w:type="dxa"/>
            <w:vAlign w:val="bottom"/>
          </w:tcPr>
          <w:p>
            <w:pPr>
              <w:jc w:val="right"/>
              <w:ind w:right="393"/>
              <w:spacing w:after="0"/>
              <w:rPr>
                <w:sz w:val="20"/>
                <w:szCs w:val="20"/>
                <w:color w:val="auto"/>
              </w:rPr>
            </w:pPr>
            <w:r>
              <w:rPr>
                <w:rFonts w:ascii="Times New Roman" w:cs="Times New Roman" w:eastAsia="Times New Roman" w:hAnsi="Times New Roman"/>
                <w:sz w:val="12"/>
                <w:szCs w:val="12"/>
                <w:b w:val="1"/>
                <w:bCs w:val="1"/>
                <w:color w:val="auto"/>
              </w:rPr>
              <w:t>80230</w:t>
            </w:r>
          </w:p>
        </w:tc>
      </w:tr>
      <w:tr>
        <w:trPr>
          <w:trHeight w:val="175"/>
        </w:trPr>
        <w:tc>
          <w:tcPr>
            <w:tcW w:w="2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5120" w:type="dxa"/>
            <w:vAlign w:val="bottom"/>
          </w:tcPr>
          <w:p>
            <w:pPr>
              <w:jc w:val="center"/>
              <w:ind w:left="3833"/>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337"/>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(844) 803-8745</w:t>
            </w:r>
          </w:p>
        </w:tc>
      </w:tr>
      <w:tr>
        <w:trPr>
          <w:trHeight w:val="344"/>
        </w:trPr>
        <w:tc>
          <w:tcPr>
            <w:tcW w:w="2160" w:type="dxa"/>
            <w:vAlign w:val="bottom"/>
          </w:tcPr>
          <w:p>
            <w:pPr>
              <w:spacing w:after="0"/>
              <w:rPr>
                <w:sz w:val="24"/>
                <w:szCs w:val="24"/>
                <w:color w:val="auto"/>
              </w:rPr>
            </w:pPr>
          </w:p>
        </w:tc>
        <w:tc>
          <w:tcPr>
            <w:tcW w:w="5120" w:type="dxa"/>
            <w:vAlign w:val="bottom"/>
          </w:tcPr>
          <w:p>
            <w:pPr>
              <w:jc w:val="center"/>
              <w:ind w:right="163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345"/>
        </w:trPr>
        <w:tc>
          <w:tcPr>
            <w:tcW w:w="2160" w:type="dxa"/>
            <w:vAlign w:val="bottom"/>
          </w:tcPr>
          <w:p>
            <w:pPr>
              <w:spacing w:after="0"/>
              <w:rPr>
                <w:sz w:val="24"/>
                <w:szCs w:val="24"/>
                <w:color w:val="auto"/>
              </w:rPr>
            </w:pPr>
          </w:p>
        </w:tc>
        <w:tc>
          <w:tcPr>
            <w:tcW w:w="5120" w:type="dxa"/>
            <w:vAlign w:val="bottom"/>
          </w:tcPr>
          <w:p>
            <w:pPr>
              <w:jc w:val="center"/>
              <w:ind w:right="1653"/>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r>
    </w:tbl>
    <w:p>
      <w:pPr>
        <w:spacing w:after="0" w:line="4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Act:</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r>
      <w:tr>
        <w:trPr>
          <w:trHeight w:val="154"/>
        </w:trPr>
        <w:tc>
          <w:tcPr>
            <w:tcW w:w="3560" w:type="dxa"/>
            <w:vAlign w:val="bottom"/>
            <w:tcBorders>
              <w:left w:val="single" w:sz="8" w:color="auto"/>
              <w:right w:val="single" w:sz="8" w:color="auto"/>
            </w:tcBorders>
          </w:tcPr>
          <w:p>
            <w:pPr>
              <w:ind w:left="780"/>
              <w:spacing w:after="0" w:line="154" w:lineRule="exact"/>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3480" w:type="dxa"/>
            <w:vAlign w:val="bottom"/>
            <w:tcBorders>
              <w:right w:val="single" w:sz="8" w:color="auto"/>
            </w:tcBorders>
          </w:tcPr>
          <w:p>
            <w:pPr>
              <w:ind w:left="1540"/>
              <w:spacing w:after="0" w:line="154" w:lineRule="exact"/>
              <w:rPr>
                <w:sz w:val="20"/>
                <w:szCs w:val="20"/>
                <w:color w:val="auto"/>
              </w:rPr>
            </w:pPr>
            <w:r>
              <w:rPr>
                <w:rFonts w:ascii="Times New Roman" w:cs="Times New Roman" w:eastAsia="Times New Roman" w:hAnsi="Times New Roman"/>
                <w:sz w:val="14"/>
                <w:szCs w:val="14"/>
                <w:b w:val="1"/>
                <w:bCs w:val="1"/>
                <w:color w:val="auto"/>
              </w:rPr>
              <w:t>INNV</w:t>
            </w:r>
          </w:p>
        </w:tc>
        <w:tc>
          <w:tcPr>
            <w:tcW w:w="4200" w:type="dxa"/>
            <w:vAlign w:val="bottom"/>
            <w:tcBorders>
              <w:right w:val="single" w:sz="8" w:color="auto"/>
            </w:tcBorders>
          </w:tcPr>
          <w:p>
            <w:pPr>
              <w:ind w:left="1120"/>
              <w:spacing w:after="0" w:line="154"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6"/>
        </w:trPr>
        <w:tc>
          <w:tcPr>
            <w:tcW w:w="3560" w:type="dxa"/>
            <w:vAlign w:val="bottom"/>
            <w:tcBorders>
              <w:left w:val="single" w:sz="8" w:color="auto"/>
              <w:right w:val="single" w:sz="8" w:color="auto"/>
            </w:tcBorders>
          </w:tcPr>
          <w:p>
            <w:pPr>
              <w:spacing w:after="0"/>
              <w:rPr>
                <w:sz w:val="16"/>
                <w:szCs w:val="16"/>
                <w:color w:val="auto"/>
              </w:rPr>
            </w:pPr>
          </w:p>
        </w:tc>
        <w:tc>
          <w:tcPr>
            <w:tcW w:w="348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51"/>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bl>
    <w:p>
      <w:pPr>
        <w:spacing w:after="0" w:line="1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Securities Act: </w:t>
      </w:r>
      <w:r>
        <w:rPr>
          <w:rFonts w:ascii="Times New Roman" w:cs="Times New Roman" w:eastAsia="Times New Roman" w:hAnsi="Times New Roman"/>
          <w:sz w:val="14"/>
          <w:szCs w:val="14"/>
          <w:b w:val="1"/>
          <w:bCs w:val="1"/>
          <w:color w:val="auto"/>
        </w:rPr>
        <w:t>None.</w:t>
      </w:r>
    </w:p>
    <w:p>
      <w:pPr>
        <w:spacing w:after="0" w:line="1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17" w:lineRule="exact"/>
        <w:rPr>
          <w:sz w:val="24"/>
          <w:szCs w:val="24"/>
          <w:color w:val="auto"/>
        </w:rPr>
      </w:pPr>
    </w:p>
    <w:p>
      <w:pPr>
        <w:ind w:right="80"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right="460" w:firstLine="318"/>
        <w:spacing w:after="0" w:line="31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8" w:lineRule="exact"/>
        <w:rPr>
          <w:sz w:val="24"/>
          <w:szCs w:val="24"/>
          <w:color w:val="auto"/>
        </w:rPr>
      </w:pPr>
    </w:p>
    <w:p>
      <w:pPr>
        <w:ind w:right="30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93" w:right="359" w:bottom="0" w:gutter="0" w:footer="0" w:header="0"/>
        </w:sectPr>
      </w:pP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3" w:lineRule="exact"/>
        <w:rPr>
          <w:sz w:val="24"/>
          <w:szCs w:val="24"/>
          <w:color w:val="auto"/>
        </w:rPr>
      </w:pPr>
    </w:p>
    <w:p>
      <w:pPr>
        <w:sectPr>
          <w:pgSz w:w="11900" w:h="16838" w:orient="portrait"/>
          <w:cols w:equalWidth="0" w:num="4">
            <w:col w:w="2020" w:space="720"/>
            <w:col w:w="120" w:space="660"/>
            <w:col w:w="2480" w:space="720"/>
            <w:col w:w="4500"/>
          </w:cols>
          <w:pgMar w:left="320" w:top="293" w:right="359" w:bottom="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0" w:lineRule="exact"/>
        <w:rPr>
          <w:sz w:val="24"/>
          <w:szCs w:val="24"/>
          <w:color w:val="auto"/>
        </w:rPr>
      </w:pPr>
    </w:p>
    <w:p>
      <w:pPr>
        <w:sectPr>
          <w:pgSz w:w="11900" w:h="16838" w:orient="portrait"/>
          <w:cols w:equalWidth="0" w:num="6">
            <w:col w:w="2020" w:space="720"/>
            <w:col w:w="120" w:space="660"/>
            <w:col w:w="2480" w:space="720"/>
            <w:col w:w="140" w:space="640"/>
            <w:col w:w="2240" w:space="720"/>
            <w:col w:w="760"/>
          </w:cols>
          <w:pgMar w:left="320" w:top="293" w:right="359" w:bottom="0" w:gutter="0" w:footer="0" w:header="0"/>
          <w:type w:val="continuous"/>
        </w:sectPr>
      </w:pPr>
    </w:p>
    <w:p>
      <w:pPr>
        <w:spacing w:after="0" w:line="14" w:lineRule="exact"/>
        <w:rPr>
          <w:sz w:val="24"/>
          <w:szCs w:val="24"/>
          <w:color w:val="auto"/>
        </w:rPr>
      </w:pPr>
    </w:p>
    <w:p>
      <w:pPr>
        <w:ind w:right="440" w:firstLine="318"/>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8" w:lineRule="exact"/>
        <w:rPr>
          <w:sz w:val="24"/>
          <w:szCs w:val="24"/>
          <w:color w:val="auto"/>
        </w:rPr>
      </w:pPr>
    </w:p>
    <w:p>
      <w:pPr>
        <w:ind w:right="380"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firstLine="318"/>
        <w:spacing w:after="0" w:line="310"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140"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ectPr>
          <w:pgSz w:w="11900" w:h="16838" w:orient="portrait"/>
          <w:cols w:equalWidth="0" w:num="1">
            <w:col w:w="11220"/>
          </w:cols>
          <w:pgMar w:left="320" w:top="293" w:right="359" w:bottom="0" w:gutter="0" w:footer="0" w:header="0"/>
          <w:type w:val="continuous"/>
        </w:sectPr>
      </w:pPr>
    </w:p>
    <w:bookmarkStart w:id="1" w:name="page2"/>
    <w:bookmarkEnd w:id="1"/>
    <w:p>
      <w:pPr>
        <w:ind w:right="40" w:firstLine="318"/>
        <w:spacing w:after="0" w:line="289" w:lineRule="auto"/>
        <w:rPr>
          <w:sz w:val="20"/>
          <w:szCs w:val="20"/>
          <w:color w:val="auto"/>
        </w:rPr>
      </w:pPr>
      <w:r>
        <w:rPr>
          <w:rFonts w:ascii="Times New Roman" w:cs="Times New Roman" w:eastAsia="Times New Roman" w:hAnsi="Times New Roman"/>
          <w:sz w:val="14"/>
          <w:szCs w:val="14"/>
          <w:color w:val="auto"/>
        </w:rPr>
        <w:t>Based on the closing price of the registrant’s common stock as reported on the Nasdaq Global Select Market, the aggregate market value of the registrant’s common stock held by non-affiliates on December 29, 2023 (the last business day of the registrant’s most recently completed second fiscal quarter) was $114.6 million.</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9, 2024, there were 135,620,541 shares of the registrant’s common stock outstanding.</w:t>
      </w:r>
    </w:p>
    <w:p>
      <w:pPr>
        <w:spacing w:after="0" w:line="1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9" w:lineRule="exact"/>
        <w:rPr>
          <w:sz w:val="20"/>
          <w:szCs w:val="20"/>
          <w:color w:val="auto"/>
        </w:rPr>
      </w:pPr>
    </w:p>
    <w:p>
      <w:pPr>
        <w:ind w:left="2580" w:hanging="2215"/>
        <w:spacing w:after="0" w:line="290" w:lineRule="auto"/>
        <w:rPr>
          <w:sz w:val="20"/>
          <w:szCs w:val="20"/>
          <w:color w:val="auto"/>
        </w:rPr>
      </w:pPr>
      <w:r>
        <w:rPr>
          <w:rFonts w:ascii="Times New Roman" w:cs="Times New Roman" w:eastAsia="Times New Roman" w:hAnsi="Times New Roman"/>
          <w:sz w:val="14"/>
          <w:szCs w:val="14"/>
          <w:color w:val="auto"/>
        </w:rPr>
        <w:t>Portions of the registrant’s proxy statement for the upcoming Annual Meeting of Stockholders to be filed no later than 120 days after the end of the registrant’s fiscal year ended June 30, 2024, are incorporated by reference in Part III of this Annual Report on Form 10-K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789305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128905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Table </w:t>
            </w:r>
            <w:r>
              <w:rPr>
                <w:rFonts w:ascii="Times New Roman" w:cs="Times New Roman" w:eastAsia="Times New Roman" w:hAnsi="Times New Roman"/>
                <w:sz w:val="18"/>
                <w:szCs w:val="18"/>
                <w:color w:val="0000FF"/>
              </w:rPr>
              <w:t>of</w:t>
            </w:r>
            <w:r>
              <w:rPr>
                <w:rFonts w:ascii="Times New Roman" w:cs="Times New Roman" w:eastAsia="Times New Roman" w:hAnsi="Times New Roman"/>
                <w:sz w:val="18"/>
                <w:szCs w:val="18"/>
                <w:color w:val="0000EE"/>
              </w:rPr>
              <w:t xml:space="preserve"> Contents</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001"/>
        </w:trPr>
        <w:tc>
          <w:tcPr>
            <w:tcW w:w="994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0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6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1</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46</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580" w:type="dxa"/>
            <w:vAlign w:val="bottom"/>
            <w:gridSpan w:val="12"/>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46</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140" w:type="dxa"/>
            <w:vAlign w:val="bottom"/>
            <w:tcBorders>
              <w:top w:val="single" w:sz="8" w:color="0000FF"/>
            </w:tcBorders>
            <w:gridSpan w:val="3"/>
          </w:tcPr>
          <w:p>
            <w:pPr>
              <w:spacing w:after="0"/>
              <w:rPr>
                <w:sz w:val="21"/>
                <w:szCs w:val="21"/>
                <w:color w:val="auto"/>
              </w:rPr>
            </w:pP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tcBorders>
              <w:top w:val="single" w:sz="8" w:color="0000FF"/>
            </w:tcBorders>
            <w:gridSpan w:val="3"/>
          </w:tcPr>
          <w:p>
            <w:pPr>
              <w:spacing w:after="0"/>
              <w:rPr>
                <w:sz w:val="21"/>
                <w:szCs w:val="21"/>
                <w:color w:val="auto"/>
              </w:rPr>
            </w:pPr>
          </w:p>
        </w:tc>
        <w:tc>
          <w:tcPr>
            <w:tcW w:w="7580" w:type="dxa"/>
            <w:vAlign w:val="bottom"/>
            <w:gridSpan w:val="18"/>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260" w:type="dxa"/>
            <w:vAlign w:val="bottom"/>
            <w:gridSpan w:val="16"/>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4.</w:t>
            </w:r>
          </w:p>
        </w:tc>
        <w:tc>
          <w:tcPr>
            <w:tcW w:w="862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1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5.</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49</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7260" w:type="dxa"/>
            <w:vAlign w:val="bottom"/>
            <w:tcBorders>
              <w:top w:val="single" w:sz="8" w:color="0000FF"/>
            </w:tcBorders>
            <w:gridSpan w:val="21"/>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49</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7.</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240" w:type="dxa"/>
            <w:vAlign w:val="bottom"/>
            <w:gridSpan w:val="4"/>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50</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300" w:type="dxa"/>
            <w:vAlign w:val="bottom"/>
            <w:gridSpan w:val="7"/>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66</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6"/>
              </w:rPr>
              <w:t>Item 8.</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9.</w:t>
            </w:r>
          </w:p>
        </w:tc>
        <w:tc>
          <w:tcPr>
            <w:tcW w:w="66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6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2220" w:type="dxa"/>
            <w:vAlign w:val="bottom"/>
            <w:gridSpan w:val="3"/>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6840" w:type="dxa"/>
            <w:vAlign w:val="bottom"/>
            <w:gridSpan w:val="14"/>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80" w:type="dxa"/>
            <w:vAlign w:val="bottom"/>
            <w:gridSpan w:val="17"/>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97</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862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5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98</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4560" w:type="dxa"/>
            <w:vAlign w:val="bottom"/>
            <w:gridSpan w:val="8"/>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98</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11.</w:t>
            </w:r>
          </w:p>
        </w:tc>
        <w:tc>
          <w:tcPr>
            <w:tcW w:w="862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71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420" w:type="dxa"/>
            <w:vAlign w:val="bottom"/>
            <w:gridSpan w:val="2"/>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98</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5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3220" w:type="dxa"/>
            <w:vAlign w:val="bottom"/>
            <w:gridSpan w:val="5"/>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98</w:t>
            </w: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Principal Accounting Fees and Services</w:t>
            </w:r>
          </w:p>
        </w:tc>
        <w:tc>
          <w:tcPr>
            <w:tcW w:w="5760" w:type="dxa"/>
            <w:vAlign w:val="bottom"/>
            <w:gridSpan w:val="11"/>
          </w:tcPr>
          <w:p>
            <w:pPr>
              <w:spacing w:after="0"/>
              <w:rPr>
                <w:sz w:val="21"/>
                <w:szCs w:val="21"/>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98</w:t>
            </w:r>
          </w:p>
        </w:tc>
      </w:tr>
      <w:tr>
        <w:trPr>
          <w:trHeight w:val="510"/>
        </w:trPr>
        <w:tc>
          <w:tcPr>
            <w:tcW w:w="20" w:type="dxa"/>
            <w:vAlign w:val="bottom"/>
          </w:tcPr>
          <w:p>
            <w:pPr>
              <w:spacing w:after="0"/>
              <w:rPr>
                <w:sz w:val="24"/>
                <w:szCs w:val="24"/>
                <w:color w:val="auto"/>
              </w:rPr>
            </w:pPr>
          </w:p>
        </w:tc>
        <w:tc>
          <w:tcPr>
            <w:tcW w:w="1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6"/>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740" w:type="dxa"/>
            <w:vAlign w:val="bottom"/>
            <w:gridSpan w:val="1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5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65"/>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52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28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40" w:type="dxa"/>
            <w:vAlign w:val="bottom"/>
            <w:gridSpan w:val="10"/>
          </w:tcPr>
          <w:p>
            <w:pPr>
              <w:spacing w:after="0"/>
              <w:rPr>
                <w:sz w:val="23"/>
                <w:szCs w:val="23"/>
                <w:color w:val="auto"/>
              </w:rPr>
            </w:pPr>
          </w:p>
        </w:tc>
        <w:tc>
          <w:tcPr>
            <w:tcW w:w="13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101</w:t>
            </w:r>
          </w:p>
        </w:tc>
      </w:tr>
      <w:tr>
        <w:trPr>
          <w:trHeight w:val="225"/>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060" w:type="dxa"/>
            <w:vAlign w:val="bottom"/>
            <w:gridSpan w:val="15"/>
          </w:tcPr>
          <w:p>
            <w:pPr>
              <w:spacing w:after="0"/>
              <w:rPr>
                <w:sz w:val="19"/>
                <w:szCs w:val="19"/>
                <w:color w:val="auto"/>
              </w:rPr>
            </w:pPr>
          </w:p>
        </w:tc>
        <w:tc>
          <w:tcPr>
            <w:tcW w:w="1300" w:type="dxa"/>
            <w:vAlign w:val="bottom"/>
          </w:tcPr>
          <w:p>
            <w:pPr>
              <w:spacing w:after="0"/>
              <w:rPr>
                <w:sz w:val="19"/>
                <w:szCs w:val="19"/>
                <w:color w:val="auto"/>
              </w:rPr>
            </w:pPr>
          </w:p>
        </w:tc>
      </w:tr>
      <w:tr>
        <w:trPr>
          <w:trHeight w:val="93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4060" w:type="dxa"/>
            <w:vAlign w:val="bottom"/>
            <w:gridSpan w:val="14"/>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About Forward-Looking Statements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Throughout this Annual Report on Form 10-K for the year ended June 30, 2024 (this “Annual Report”), we make “forward-looking statements” within the meaning of the U.S. Private Securities Litigation Reform Act of 1995, Section 27A of the Securities Act of 1933, as amended (the “Securities Act”) and Section 21E of the Securities Exchange Act of 1934, as amended (the “Exchange Act”). This Annual Report contains forward-looking statements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50" w:lineRule="exact"/>
        <w:rPr>
          <w:sz w:val="20"/>
          <w:szCs w:val="20"/>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including our ability to obtain licenses to open our de novo centers in Downey and Bakersfield, California, and our ability to ramp up our de novo centers in Florida;</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successfully complete and integrate acquisitions, joint ventures and strategic partnerships;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participants and retain existing participants and grow our revenue throughout our new and existing centers;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ongoing macroeconomic related challenges, including labor shortages, labor competition and inflation;</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such as the audit of our Sacramento, California center and the targeted medical review of our San Bernardino, California center, and our ability to sufficiently cure any deficiencies identified by the respective federal and state government programs;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costs and expenditures in the future and our inability to execute or realize the benefits of our clinical value initiatives;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 including as a result of new or growing market participants;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to predict our future results, which could cause such results to fall below any guidance we provide;</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or limitations on our ability to access new technology or medical products;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 pandemic, epidemic or outbreak of an infectious disease, such as COVID-19, as well as weather and other factors beyond our control;</w:t>
      </w:r>
    </w:p>
    <w:p>
      <w:pPr>
        <w:spacing w:after="0" w:line="188"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share repurchase program;</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enhanced requirements of being a public company;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Annual Report.</w:t>
      </w:r>
    </w:p>
    <w:p>
      <w:pPr>
        <w:spacing w:after="0" w:line="17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Our participant-centered care delivery approach is designed to improve the quality of care our participants receive, while keeping them in their homes for as long as safely possible and reducing over-utilization of high-cost care settings such as hospitals and nursing homes. Through our Program of All-Inclusive Care for the Elderly (“PACE”) program,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w:t>
      </w:r>
    </w:p>
    <w:p>
      <w:pPr>
        <w:spacing w:after="0" w:line="15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InnovAge Holding Corp. (formerly, TCO Group Holdings, Inc.)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(“IPO”), which occurred in March 2021, we changed the name of our company from TCO Group Holdings, Inc. to InnovAge Holding Corp. (“InnovAge”). In this Annual Report, the terms “we”, “our”, “our company” and “us” may refer, as the context requires, to InnovAge or collectively to InnovAge and its subsidiaries.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InnovAge is headquartered in Denver, Colorado and manages its business as one reportable segment, PACE.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2024, the Company served approximately 7,020 PACE participants, making it the largest PACE provider in the United States (the “U.S.”) based on participants served, and operated 20 PACE centers across California, Colorado, Florida, New Mexico, Pennsylvania and Virginia.</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 We deliver our participant-centered care through the InnovAge Platform (as defined herein), which is designed to bring high-touch, comprehensive, value-based care.</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requires us to coordinate and manage all aspects of a participant’s health, and deliver the necessary care. Costs under the PACE program are estimated to be 12% lower on average than for a comparable dual-eligible population aged 65 and older under Medicaid, based on an analysis of most recently available data by the National PACE Association in January 2024. Importantly, we believe our vertically integrated model can deliver better health outcomes and reduces unnecessary or avoidable medical spend. In addition, as of June 30, 2024, we believe our participants had a lower hospital readmission rate compared to a frail, dual-eligible or disabled waiver population. In addition to reducing spend, we also focus on ensuring our participants are satisfied with the services delivered. Our participant satisfaction is administered quarterly and is measured through a Net Promoter Score (“NPS”). NPS is a metric used to measure customer satisfaction, loyalty and enthusiasm by asking how likely they are to recommend a company to 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friend or colleague, and is reported as a number between negative 100 and positive 100. Based on surveys of our participants administered by a third-party vendor in FY24, our average FY24 NPS was 46. According to Qualtrics, the creator of the NPS, Bain and Company suggests a score above 20 is favorable and above 50 is excellent.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19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Unsustainable and rising healthcare costs. </w:t>
      </w:r>
      <w:r>
        <w:rPr>
          <w:rFonts w:ascii="Times New Roman" w:cs="Times New Roman" w:eastAsia="Times New Roman" w:hAnsi="Times New Roman"/>
          <w:sz w:val="18"/>
          <w:szCs w:val="18"/>
          <w:color w:val="auto"/>
        </w:rPr>
        <w:t>According to data from the Office of the Actuary of CMS, healthcare spending in the United States grew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 per year from 2017 to 2022, and in 2022 represented $4.5 trillion of annual spend, or 17.3% of U.S. GDP. The overall growth rate of healthcare spending is expected to accelerate due to the aging population.</w:t>
      </w:r>
    </w:p>
    <w:p>
      <w:pPr>
        <w:spacing w:after="0" w:line="1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government healthcare spend is higher for the dual-eligible population, who typically suffer from multiple chronic conditions and require long-term services and supports. We believe Medicare and Medicaid spend on average three times more per capita on a dual-eligible senior than a Medicare-only senior. Improved care management of dual-eligible seniors is critical to reducing the rapid growth in government healthcare spending in the United States.</w:t>
      </w:r>
    </w:p>
    <w:p>
      <w:pPr>
        <w:spacing w:after="0" w:line="13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Highly fragmented, uncoordinated healthcare system. </w:t>
      </w:r>
      <w:r>
        <w:rPr>
          <w:rFonts w:ascii="Times New Roman" w:cs="Times New Roman" w:eastAsia="Times New Roman" w:hAnsi="Times New Roman"/>
          <w:sz w:val="18"/>
          <w:szCs w:val="18"/>
          <w:color w:val="auto"/>
        </w:rPr>
        <w:t>The U.S. healthcare system is complex and highly fragmented, resulting in piecemeal care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often work in silos. This lack of care coordination can result in missed or inaccurate diagnoses, gaps in care, unnecessary spend and ultimately sub-optimal patient outcomes.</w:t>
      </w:r>
    </w:p>
    <w:p>
      <w:pPr>
        <w:spacing w:after="0" w:line="1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 high-frequency users of healthcare services. Based on InnovAge data as of June 30, 2024, the typical InnovAge participant had, on average, ten chronic conditions and, based on the data most recently available to us from a 2022 modified health outcomes survey, required, on average, assistance with two or more activities of daily living (“ADLs”). A lack of coordination across providers can have severe consequences given the high occurrence of chronic illnesses and other underlying health issues in this population.</w:t>
      </w:r>
    </w:p>
    <w:p>
      <w:pPr>
        <w:spacing w:after="0" w:line="14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7"/>
          <w:szCs w:val="17"/>
          <w:i w:val="1"/>
          <w:iCs w:val="1"/>
          <w:color w:val="auto"/>
        </w:rPr>
        <w:t xml:space="preserve">Prevalence of wasteful spending and sub-optimal outcomes. </w:t>
      </w:r>
      <w:r>
        <w:rPr>
          <w:rFonts w:ascii="Times New Roman" w:cs="Times New Roman" w:eastAsia="Times New Roman" w:hAnsi="Times New Roman"/>
          <w:sz w:val="17"/>
          <w:szCs w:val="17"/>
          <w:color w:val="auto"/>
        </w:rPr>
        <w:t>A 2019 study, published in the Journal of the American Medical Association, estimated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25% of all annual healthcare spending is for unnecessary services, excessive administrative costs, fraud and other inefficiencies creating waste.</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is expected to reach approximately $216.3 billion in 2024, based on the latest projections made by the Office of the Actuary of CMS, which is a 3.3% increase compared to the current 2023 projection.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Despite high levels of spending, the U.S. healthcare system struggles to produce better health outcomes and delivers low levels of patient and provider satisfaction.</w:t>
      </w:r>
    </w:p>
    <w:p>
      <w:pPr>
        <w:spacing w:after="0" w:line="12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Payment structures are evolving to address healthcare issues. </w:t>
      </w:r>
      <w:r>
        <w:rPr>
          <w:rFonts w:ascii="Times New Roman" w:cs="Times New Roman" w:eastAsia="Times New Roman" w:hAnsi="Times New Roman"/>
          <w:sz w:val="18"/>
          <w:szCs w:val="18"/>
          <w:color w:val="auto"/>
        </w:rPr>
        <w:t>Policymakers and healthcare experts generally acknowledge that the fee-for-service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believe it unintentionally creates the opposite result—acute, episodic care delivered in high-cost settings that unnecessarily drive up the total cost of healthcare.</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High-cost, dual-eligible seniors often require proactive, coordinated care plans to address their medical acuity, need for long term support and risks related to social determinants of health. Without personalized, patient-centered care that removes barriers to preventative or other early treatment, high-cost, dual-eligible seniors would continue to likely over-utilize healthcare in higher-cost settings, such as emergency rooms and nursing homes.</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PACE is a value-based government-sponsored, provider-led managed care program focused on enabling frail, dual-eligible seniors who have skilled nursing needs to age independently in their homes that can mitigate concerns over utilization of high-cost healthcare. PACE providers receive a monthly risk-adjusted payment for each participant (PMPM) directly from Medicare and Medicaid to oversee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InnovAge participants are, on average, more complex and medically fragile than other Medicare-eligible patients, including those in average Medicare Advantage (“MA”) programs. As a result, we receive larger payments for our participants compared to MA participants. This is driven by two factors: (i) we believe we provide care for a higher acuity population, with an average Medicare Risk Adjustment Factor (“RAF”) score of 2.46 based on InnovAge data as of June 30, 2024, compared to an average RAF score of 1.08 for Medicare fee-for-service non-dual enrollees, as calculated in an analysis by Avalere Health in June 2020 of a cohort of individuals enrolled in Medicare Fee-for-Service in 2019, with a higher RAF score indicating poorer health and higher predicted healthcare costs, and (ii) we have Medicaid spend in addition to Medicare. Our comprehensive care model and globally capitated payments are designed to cover participants from enrollment until the end of life, including coverage for participants requiring hospice and palliative care.</w:t>
      </w:r>
    </w:p>
    <w:p>
      <w:pPr>
        <w:spacing w:after="0" w:line="14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Legacy healthcare delivery infrastructure has been slow to transition from fee-for-service to value-based care models. </w:t>
      </w:r>
      <w:r>
        <w:rPr>
          <w:rFonts w:ascii="Times New Roman" w:cs="Times New Roman" w:eastAsia="Times New Roman" w:hAnsi="Times New Roman"/>
          <w:sz w:val="18"/>
          <w:szCs w:val="18"/>
          <w:color w:val="auto"/>
        </w:rPr>
        <w:t>In order for the shift to value-based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models to drive meaningful results, we believe there must be a corresponding shift in care delivery models. While there has been significant investment by providers, payors and technology companies in developing solutions to enable higher-quality and lower-cost care, the healthcare industry is still heavily reliant on fee-for-service reimbursement models.</w:t>
      </w:r>
    </w:p>
    <w:p>
      <w:pPr>
        <w:spacing w:after="0" w:line="13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COVID-19 pandemic amplified several flaws in the current legacy healthcare delivery system, including the need for integrated, multimodal value-based care delivery models. Traditional healthcare providers faced dwindling fee-for-service visits during the stay-at-home orders, government restrictions and general patient fear of medical settings, reducing their revenue and straining their ability to provide care. Providers that operate comprehensive value-based models, like us, were better positioned to quickly pivot their care delivery approach to safely treat patients in virtual and home-based settings without losing revenue.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one of the largest healthcare platforms focused on frail, dual-eligible seniors, serving participants exclusively through our PACE program. We have built the largest PACE-focused operation in the country based on number of participants, with 20 operational centers across six states; we are 11% larger than the size of our closest PACE-focused competitor and more than 30 times larger than the typical PACE operator. Given our scale across geographies, we believe we are positioned to capitalize on a significant market opportunity to provide care to frail, high-cost, dual-eligible seniors.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care model targets the most complex, frail subset of the dual-eligible senior population. We estimated our target population at approximately 2.3 million in 2023 based on data from the U.S. Census Bureau from 2018, representing seniors who we believe are dually eligible for Medicare and Medicaid and meet the nursing home eligibility criteria for PACE. We prioritize growth in high-density urban and suburban areas, where there are sizable numbers of frail dual-eligible seniors who would benefit most from our program. We leverage the InnovAge Platform (as defined herein) which is designed to provide comprehensive, coordinated healthcare to enable our frail, eligible for skilled nursing seniors to live independently in their homes and communities. We believe people want to stay in their home for as long as possible, and the InnovAge Platform is designed to empower seniors to age independently in their own homes, on their own terms, for as long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Based on historical results for the year ended June 30, 2024 and our experience and industry knowledge, we estimate an average annual revenue opportunity of $113,000 per participant (or $9,400 PMPM) and a total addressable market opportunity of $260 billion, based on our estimated market of approximately 2.3 million PACE eligible in the United States in 2023, as described above. Of these estimated PACE eligible participants, only approximately 77,000 are enrolled in a PACE program, based on a June 2024 report from the National PACE Association, and over the next four years, the National PACE Association is targeting a PACE enrollment increase at a compound annual growth rate (“CAGR”) of approximately 23%. As a result, we believe that, subject to our ability to effectively execute our growth strategy, we have a substantial opportunity to bring our comprehensive value-based model of care to more frail, dual-eligible seniors across the country.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InnovAge Platform</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participant-centered approach is tailored to address the complex medical and social needs of our frail dual-eligible senior population. We leverage the InnovAge Platform to deliver comprehensive, coordinated healthcare to our participants. The InnovAge Platform consists of (1) our Interdisciplinary Care Teams (“IDTs”) and (2) our community-based care delivery model. The key attributes of the InnovAge Platform include:</w:t>
      </w:r>
    </w:p>
    <w:p>
      <w:pPr>
        <w:spacing w:after="0" w:line="14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Our participant focus. </w:t>
      </w:r>
      <w:r>
        <w:rPr>
          <w:rFonts w:ascii="Times New Roman" w:cs="Times New Roman" w:eastAsia="Times New Roman" w:hAnsi="Times New Roman"/>
          <w:sz w:val="18"/>
          <w:szCs w:val="18"/>
          <w:color w:val="auto"/>
        </w:rPr>
        <w:t>Our model is focused on caring for frail, high-cost, dual-eligible seniors. Our target participant population is the frail, nursing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home-eligible subset of dual-eligible seniors to whom we refer as “high-cost, dual-eligibles” given their high healthcare acuity and the associated high level of spend. Our participants are among the most frail and medically complex individuals in the U.S. healthcare system. Based on InnovAge data as of June 30, 2024, the typical InnovAge participant had, on average, ten chronic conditions and, based on the data most recently available to us from a 2022 modified health outcomes survey, required, on average, assistance with two or more ADLs. Our platform is designed to enable participants to exercise their preference to age independently in their homes and stay active in their communities for as long as safely possible. All of our participants are certified as nursing home-eligible. As of June 30, 2024, 92% of our participants were able to live safely in their homes and communities.</w:t>
      </w:r>
    </w:p>
    <w:p>
      <w:pPr>
        <w:spacing w:after="0" w:line="1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Our interdisciplinary care teams. </w:t>
      </w:r>
      <w:r>
        <w:rPr>
          <w:rFonts w:ascii="Times New Roman" w:cs="Times New Roman" w:eastAsia="Times New Roman" w:hAnsi="Times New Roman"/>
          <w:sz w:val="18"/>
          <w:szCs w:val="18"/>
          <w:color w:val="auto"/>
        </w:rPr>
        <w:t>The IDT structure is core to our clinical model. Our IDTs oversee all aspects of each participant’s unique care plan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 as the core group of care providers to our participants. Our IDT structure is designed to enhance access to care for our participants and eliminate information silos and gaps in care that frequently occur in a fee-for-service model. We are responsible for all of our participants’ medical care, and we direct care delivery across multiple settings. We deliver individualized care for each participant that addresses both his or her specific medical conditions and social determinants of health. We deliver or manage primary and specialist care, in-home care, hospital visits, nutrition, transportation to and from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Each IDT convenes, at a minimum, experts across at least 11 disciplines to collectively manage the complex care needs of each participant. IDTs are typically comprised of a primary care provider, registered nurse, master’s level social worker, physical therapist, occupational therapist, recreational therapist or activity coordinator, dietician, center manager, home care coordinator, personal care attendant and driver. The IDTs meet multiple times per week to discuss each participant’s care plan and closely monitor key clinical metrics so that each participant receives optimal treatment based on his or her current conditions.</w:t>
      </w:r>
    </w:p>
    <w:p>
      <w:pPr>
        <w:spacing w:after="0" w:line="13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community-based care delivery model. </w:t>
      </w:r>
      <w:r>
        <w:rPr>
          <w:rFonts w:ascii="Times New Roman" w:cs="Times New Roman" w:eastAsia="Times New Roman" w:hAnsi="Times New Roman"/>
          <w:sz w:val="18"/>
          <w:szCs w:val="18"/>
          <w:color w:val="auto"/>
        </w:rPr>
        <w:t>Our high-touch model delivers care across a continuum of community-based settings. Our multimodal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Our community-based care centers. </w:t>
      </w:r>
      <w:r>
        <w:rPr>
          <w:rFonts w:ascii="Times New Roman" w:cs="Times New Roman" w:eastAsia="Times New Roman" w:hAnsi="Times New Roman"/>
          <w:sz w:val="18"/>
          <w:szCs w:val="18"/>
          <w:color w:val="auto"/>
        </w:rPr>
        <w:t>Our purpose-built community-based care centers are designed for the specific needs of our target population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 significant portion of our participants’ care in one location, simplifying the healthcare experience for participants and their families.</w:t>
      </w:r>
    </w:p>
    <w:p>
      <w:pPr>
        <w:spacing w:after="0" w:line="17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Our in-home care capabilities</w:t>
      </w:r>
      <w:r>
        <w:rPr>
          <w:rFonts w:ascii="Times New Roman" w:cs="Times New Roman" w:eastAsia="Times New Roman" w:hAnsi="Times New Roman"/>
          <w:sz w:val="18"/>
          <w:szCs w:val="18"/>
          <w:color w:val="auto"/>
        </w:rPr>
        <w:t>. Our in-home care capabilities are designed to enable our participants to live safely in their homes and avoid nursing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safely possible. We directly deliver or manage all skilled and unskilled care a participant may require to live independently at home. Additionally, we have dedicated strategic partnerships with “hospital-at-home” providers to deliver acute care in-home when appropriate. In addition, we manage transportation not only to and from our centers, but also to all third-party medical appointments. Our capitated payment model gives us the flexibility to invest in home modifications, such as ramps, grab bars and shower chairs, to reduce falls and make the home safer for our participants. We believe our presence in our participants’ homes gives us real-time insight into their health and enables us to positively influence many environmentally-driven social determinants of health.</w:t>
      </w:r>
    </w:p>
    <w:p>
      <w:pPr>
        <w:spacing w:after="0" w:line="14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Our virtual care capabilities</w:t>
      </w:r>
      <w:r>
        <w:rPr>
          <w:rFonts w:ascii="Times New Roman" w:cs="Times New Roman" w:eastAsia="Times New Roman" w:hAnsi="Times New Roman"/>
          <w:sz w:val="18"/>
          <w:szCs w:val="18"/>
          <w:color w:val="auto"/>
        </w:rPr>
        <w:t>. Our virtual care capabilities give us the flexibility to deliver medical care and social services virtually when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physicians are equipped with several telehealth platforms to provide virtual care and utilize the option best suited for each individual participant’s preferences and needs. We offer telehealth visits when clinically indicated, allowed per regulations and more convenient for the participant. Our aim is to make virtual care access simple and convenient for our participants.</w:t>
      </w:r>
    </w:p>
    <w:p>
      <w:pPr>
        <w:spacing w:after="0" w:line="15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Addressing social determinants of health</w:t>
      </w:r>
      <w:r>
        <w:rPr>
          <w:rFonts w:ascii="Times New Roman" w:cs="Times New Roman" w:eastAsia="Times New Roman" w:hAnsi="Times New Roman"/>
          <w:sz w:val="18"/>
          <w:szCs w:val="18"/>
          <w:color w:val="auto"/>
        </w:rPr>
        <w:t>. Our care delivery model is designed to provide services that mitigate challenges presented by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determinants of health, such as:</w:t>
      </w:r>
    </w:p>
    <w:p>
      <w:pPr>
        <w:spacing w:after="0" w:line="122"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stability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environment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and social context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nutrition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literacy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Fitness</w:t>
      </w:r>
    </w:p>
    <w:p>
      <w:pPr>
        <w:spacing w:after="0" w:line="1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technology suite. </w:t>
      </w:r>
      <w:r>
        <w:rPr>
          <w:rFonts w:ascii="Times New Roman" w:cs="Times New Roman" w:eastAsia="Times New Roman" w:hAnsi="Times New Roman"/>
          <w:sz w:val="18"/>
          <w:szCs w:val="18"/>
          <w:color w:val="auto"/>
        </w:rPr>
        <w:t>Our fully capitated care model is operationally complex; it requires coordination among dozens of different providers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healthcare model is one where all constituencies involved, including participants, their families, providers and government payors, have the ability to “Win.”</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participants “Win” by enjoying a better participant experience, improved health outcomes and remaining in their homes and communities for longer. We leverage our differentiated care delivery model to improve the health of our participants and help them avoid unnecessary hospitalizations and nursing home care. We enable our participants to remain in their homes as long as possible and age independently. As a result, as of June 30, 2024, approximately 92% of our participants lived in their preferred setting: their home or community. We believe our care model also delivers better clinical outcomes: our participants have fewer hospital admissions and lower hospital readmission rates. Our care model is not “one size fits all,” it is customized to the unique needs of each participant, which benefits participant health and increases participant satisfaction with our program.</w:t>
      </w:r>
    </w:p>
    <w:p>
      <w:pPr>
        <w:spacing w:after="0" w:line="157"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Families “Win” as we reduce their caregiving burden and provide “peace of mind”. </w:t>
      </w:r>
      <w:r>
        <w:rPr>
          <w:rFonts w:ascii="Times New Roman" w:cs="Times New Roman" w:eastAsia="Times New Roman" w:hAnsi="Times New Roman"/>
          <w:sz w:val="17"/>
          <w:szCs w:val="17"/>
          <w:color w:val="auto"/>
        </w:rPr>
        <w:t>We significantly reduce the caregiving burden on the families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 are cared for. “Friends and family” of participants remain one of our largest referral sources for recruiting new participants.</w:t>
      </w:r>
    </w:p>
    <w:p>
      <w:pPr>
        <w:spacing w:after="0" w:line="17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providers “Win” as they are able to focus on improving the lives of their participants. </w:t>
      </w:r>
      <w:r>
        <w:rPr>
          <w:rFonts w:ascii="Times New Roman" w:cs="Times New Roman" w:eastAsia="Times New Roman" w:hAnsi="Times New Roman"/>
          <w:sz w:val="18"/>
          <w:szCs w:val="18"/>
          <w:color w:val="auto"/>
        </w:rPr>
        <w:t>We enable our providers to focus on taking care of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providing them with meaningful clinical and administrative support. We remove the pressure of trying to optimize visit volume by rewarding quality, not quantity, of care. We estimate that our providers (1) have a smaller number of participants to care for and spend more time with each participant than providers in similar care organizations, and (2) benefit from the support of a multidisciplinary team.</w:t>
      </w:r>
    </w:p>
    <w:p>
      <w:pPr>
        <w:spacing w:after="0" w:line="13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payors “Win” through fiscal certainty and lower costs. </w:t>
      </w:r>
      <w:r>
        <w:rPr>
          <w:rFonts w:ascii="Times New Roman" w:cs="Times New Roman" w:eastAsia="Times New Roman" w:hAnsi="Times New Roman"/>
          <w:sz w:val="18"/>
          <w:szCs w:val="18"/>
          <w:color w:val="auto"/>
        </w:rPr>
        <w:t>We believe we provide fiscal certainty through our capitated payment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the cost of both medical and long-term support and services for high-cost, dual-eligible seniors. For states, costs under the PACE program were estimated to be 12% less than the cost of caring for a comparable population through other Medicaid services based on an analysis of most recently available data by the National PACE Association in January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participant enrollment and capacity within our centers</w:t>
      </w:r>
    </w:p>
    <w:p>
      <w:pPr>
        <w:spacing w:after="0" w:line="181" w:lineRule="exact"/>
        <w:rPr>
          <w:sz w:val="20"/>
          <w:szCs w:val="20"/>
          <w:color w:val="auto"/>
        </w:rPr>
      </w:pPr>
    </w:p>
    <w:p>
      <w:pPr>
        <w:jc w:val="both"/>
        <w:ind w:left="640" w:hanging="316"/>
        <w:spacing w:after="0" w:line="25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June 30, 2024, our participant census was approximately 7,020 across our 20 centers in six states. During fiscal year 2024, we opened or acquired three new centers, two in Florida and one in the Crenshaw neighborhood of Los Angeles, and have two additional planned de novo centers in Bakersfield and Downey, California. During fiscal year 2025, we expect to focus on increasing enrollments and utilization of capacity at our existing centers.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de novo centers</w:t>
      </w:r>
    </w:p>
    <w:p>
      <w:pPr>
        <w:spacing w:after="0" w:line="181"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2024, we expanded into a new geography by opening two de novo centers in Florida (Tampa and Orlando) and acquired one planned de novo center in Bakersfield, California. We also have one additional planned de novo center in Downey, California.</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de novo centers generate compelling long-term unit economics and the potential for robust internal rates of return.</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operated our platform across different geographies and we expect to prioritize a list of target markets that we believe are optimal environments to launch the InnovAge Platform.</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 novo developments includes building centers to our experience-based specifications, with flexibility for future center expansion factored into the blueprints where possible.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Execute tuck-in acquisitions and partnerships</w:t>
      </w:r>
    </w:p>
    <w:p>
      <w:pPr>
        <w:spacing w:after="0" w:line="195" w:lineRule="exact"/>
        <w:rPr>
          <w:sz w:val="20"/>
          <w:szCs w:val="20"/>
          <w:color w:val="auto"/>
        </w:rPr>
      </w:pPr>
    </w:p>
    <w:p>
      <w:pPr>
        <w:jc w:val="both"/>
        <w:ind w:left="640" w:hanging="316"/>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six fiscal years, we have acquired and integrated four PACE organizations for a total of eight operational centers (excluding the 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w:t>
      </w:r>
    </w:p>
    <w:p>
      <w:pPr>
        <w:spacing w:after="0" w:line="140"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there is a robust landscape of potential tuck-in acquisitions to supplement our organic growth. In fiscal year 2024, we completed an acquisition of two PACE programs in California from ConcertoCare, which included one operating center in the Crenshaw neighborhood of Los Angeles and a second program that is a planned de novo in Bakersfield. We remain disciplined in our approach to acquisitions and in the past have executed multiple types of transactions, including turnarounds and non-profit conversions. When integrating acquired programs, we work closely with key constituencies, including local governments, health systems and senior housing providers, to enable continuity of high-quality care for participants.</w:t>
      </w:r>
    </w:p>
    <w:p>
      <w:pPr>
        <w:spacing w:after="0" w:line="145"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pursued and intend to pursue additional relationships with key stakeholders, existing organizations and other care providers in order to form partnerships in target geographies. In fiscal year 2024, we opened the Orlando PACE center as a joint venture with Orlando Health, a healthcare system broadly recognized for its care programs, services and extensive community outreach and support with the goal of magnifying the impact and extend the reach of PACE services for eligible seniors in the Orlando market.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Reinvest in the InnovAge Platform to optimize performance</w:t>
      </w:r>
    </w:p>
    <w:p>
      <w:pPr>
        <w:spacing w:after="0" w:line="181" w:lineRule="exact"/>
        <w:rPr>
          <w:sz w:val="20"/>
          <w:szCs w:val="20"/>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ongoing investment in the InnovAge Platform drives greater efficiency across our business, creating a virtuous cycle that allows us to continue providing necessary care to our participants. Our platform is the largest among PACE providers based on participants served and one of the most geographically diverse.</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continually invest in technology improvements and seek to unlock new insights through enhanced data analytics capabilities that will advance our care model.</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invest in building capabilities to increase our sophistication as a payor to drive clinical value, improve outcomes, and manage cost trends.</w:t>
      </w:r>
    </w:p>
    <w:p>
      <w:pPr>
        <w:spacing w:after="0" w:line="12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investments will ultimately result in better health outcomes and lower medical costs for participants. In the long-term, we intend to reduce medical costs in order to generate savings for reinvestment to support continuous improvement of the InnovAge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governmental laws and regulations. These laws and regulations require us to meet various standards relating to, among other things, arrangement and provision of covered healthcare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would have a material adverse effect on our business, results of operations, financial condition, cash flows, reputation and stock price, including:</w:t>
      </w:r>
    </w:p>
    <w:p>
      <w:pPr>
        <w:spacing w:after="0" w:line="146"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termination or exclusion of our participation in government payor programs;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licenses required to operate healthcare facilities or administer prescription drugs in the states in which we operate;</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federal Anti-Kickback Statute, Civil Monetary Penalties Law, the False Claims Act (“FCA”) and/or state analogs to these federal enforcement authorities, or other regulatory requirements;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by patients or employees relating to breach of, impermissible use or disclosure of, or other incident relating to protected health information (“PHI”) and other types of personal data or personally identifiable information (collectively, “PII” and, together with PHI, “PHI/PII”) that we collect, use, and disclose, in violation of federal or state privacy laws, including, for example and without limitation, the Health Insurance Portability and Accountability Act of 1996, as amended by HITECH Act (“HIPAA”), or state data privacy and security laws;</w:t>
      </w:r>
    </w:p>
    <w:p>
      <w:pPr>
        <w:spacing w:after="0" w:line="14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 or decrease our revenue;</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that could subject us to ongoing audits and reporting requirements as well as increased scrutiny of our business practices which could lead to potential fines, among other things;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contracts with government payors, and real estate leases or contracts with clinical providers;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reinterpretation of rules and laws by a regulatory agency board, or court, such as state corporate practice of medicine laws, that could affect the structure and management of our business;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payor reimbursement, including negative adjustments to government payment models including, but not limited to, Medicare Parts C and D and Medicaid; and</w:t>
      </w:r>
    </w:p>
    <w:p>
      <w:pPr>
        <w:spacing w:after="0" w:line="123"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our reputation, which could negatively impact our business relationships, the terms of government payor contracts, our ability to attract and retain participants, physicians, and other clinicians, our ability to obtain financing and our access to new business opportunities, among other things.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that our industry will continue to be subject to substantial regulation, the scope and effect of which are difficult to predict. Our activities have been and could continue to be subject to investigations, audits and inquiries by various government and regulatory agencies with whom we contract at any time in the future. See Item 1A. Risk Factors, “Risks Related to Regulation.”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Regulation of PACE Providers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subject to a complex array of federal and state laws, regulations, and guidance, including legal requirements directly applicable to PACE providers as well as Medicare and Medicaid laws and regulations. These laws and guidance relate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Medicare laws, regulations, and requirements applicable to Medicare Part D plan sponsors.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regulations and contractual requirements applicable to PACE providers are complex and subject to change, making it necessary for us to invest significant resources in complying with these requirements. Scrutiny through federal and state government audits, oversight and enforcement and the highly technical regulatory scheme in which we operate require us to allocate significant resources to our compliance efforts. In addition, new centers that we may acquire in the future may have less developed compliance and quality infrastructures, which may require us to allocate additional resources to making any required enhancements.</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CMS and state regulatory authorities regularly audit our performance to determine our compliance with CMS’s regulations and our contracts with CMS and state authorities, and to assess the quality of the services we provide to our participants. Such audits have in the past, and may in the future, result in the identification of deficiencies in connection with our compliance with regulatory requirements, participant quality of care, care plan development and implementation, grievance and appeal processes, clinicians acting outside of their scope of practice, and other issues. See Item 1A. Risk Factors, “Risks Related to Regulation” .</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Whether identified through such audits or other avenues, our failure to comply with the federal and state laws applicable to our business could result in significant or material retroactive adjustments to and/or withholding of capitation payments, fines, criminal liability, civil monetary penalties, requirements to make significant changes to our operations, corrective action plans, CMS imposed sanctions (including suspension or exclusion from participation in government programs), loss of contracts, or cessation of our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Laws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our healthcare professionals, and our centers are subject to various federal, state and local licensure and certification requirements in connection with our provision of healthcare and other services. Specifically, in some of the states in which we operate, we are required to maintain licensure or certification as an adult day health center, home health or home care provider, diagnostic and treatment center, pharmacy provider, clinical laboratory and/or other type of facility, and our affiliated physicians and other clinicians also must be licensed or certified, as applicable, in the states in which they are providing services. In addition, certain of the states where we currently operate regulate the operations and financial condition of risk bearing providers and impose capital requirements, licensing or certification, governance controls, and other obligations. While the states in which we operate do not currently impose these regulations on entities solely bearing risk under the PACE program, these states may seek to license or otherwise regulate our operations and financial solvency in the future; further, states in which we expand in the future may impose similar requirements on our operations. In addition to state requirements, we, our centers, and our healthcare professionals are in some cases subject to federal licensing and certification requirements, such as certification or waiver under the Clinical Laboratory Improvement Amendments of 1988 for performing laboratory services and Drug Enforcement Administration registrations for prescribing, storing, and dispensing controlled substances.</w:t>
      </w:r>
    </w:p>
    <w:p>
      <w:pPr>
        <w:spacing w:after="0" w:line="15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Failure to comply with federal, state and local licensing and certification laws, regulations and standards could result in a variety of consequences, including cessation of our services, loss of our contracts, prior payments by payors being subject to recoupment, requirements to make significant changes to our operations, or civil or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Any failure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satisfy applicable laws and regulations could have a material adverse impact on our business, results of operations, financial condition, cash flows and reputation.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8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laws and regulations relating to our operations vary from state to state, and some states in which we operate prohibit general business corporations, such as us, from practicing medicine, directly employing physicians, controlling physicians’ or other clinicians’ medical decisions, or engaging in some practices such as splitting professional fees with physicians or other clinicians. In certain states, we contract with physicians to provide healthcare services that are required to be provided by licensed physicians to comply with such requirements. While we believe that we are in substantial compliance with state laws prohibiting the corporate practice of medicine, regulatory agencies and other parties may assert that we could be engaged in the corporate practice of medicine. Further, many such state laws are often vague or have otherwise only been infrequently interpreted by courts or regulatory agencies and are subject to change. The consequences associated with violating corporate practice of medicine laws vary by state and may result in physicians or other clinicians being subject to disciplinary action, as well as forfeiture of revenues from government payors for services rendered. However, if allegations are successfully asserted before the appropriate judicial or administrative forums, we could be subject to adverse judicial or administrative penalties, certain of our contracts could be determined to be unenforceable, and we may be required to restructure our organization or our contractual arrangements. Any allegations or findings that we have violated these laws could have a material adverse impact on our reputation, business, results of operations and financial condition.</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1A. Risk Factors, “Risks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Anti-Kickback Statute</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Court decisions have held that the statute may be violated even if only one purpose of remuneration is to induce referrals. In addition, a defendant need not have actual knowledge of, or the specific intent to violate, the federal Anti-Kickback Statute in order to have the requisite intent to support an Anti-Kickback Statute violation.</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a criminal violation of the federal Anti-Kickback Statute are subject to mandatory exclusion from participation in Medicare, Medicaid, and other federal healthcare programs for a minimum of five years. Civil penalties for violation of the Anti-Kickback Statute include up to $120,816 in monetary penalties per violation, fines, or penalties of up to three times the total payments between the parties to the arrangement and potential exclusion from participation in Medicare and Medicaid. In addition, the federal Anti-Kickback Statute provides that any claims for items or services resulting from a violation of the federal Anti-Kickback Statute are considered false or fraudulent for purposes of the FCA, which is further discussed below. Any findings that we have violated these laws could have a material adverse impact on our business, results of operations, financial condition, cash flows, reputation and stock price.</w:t>
      </w:r>
    </w:p>
    <w:p>
      <w:pPr>
        <w:spacing w:after="0" w:line="1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federal Anti-Kickback Statute includes statutory exceptions and regulatory safe harbors that protect certain arrangements. These exceptions and safe harbors are voluntary. To receive safe harbor protection, business transactions and arrangements must meet all the requirements of a safe harbor. However, transactions and arrangements that do not satisfy all elements of a relevant safe harbor do not necessarily render the arrangement per se illegal. When an arrangement does not satisfy a safe harbor, the arrangement must be evaluated upon all facts and circumstances, on a case-by-case basis in light of among other things, the parties’ intent, and the arrangement’s potential for abuse. Arrangements that do not satisfy a safe harbor may be subject to greater scrutiny by enforcement agencies.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Additionally, some states have enacted statutes and regulations similar to the federal Anti-Kickback Statute. Unlike the federal Anti-Kickback Statute, however, certain state laws may be applicable regardless of the payor source for the patient.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Moreover, these state laws may contain exceptions and safe harbors that are different from and/or more limited than those of federal law and that may vary from state to state.</w:t>
      </w:r>
    </w:p>
    <w:p>
      <w:pPr>
        <w:spacing w:after="0" w:line="124"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We have entered, and may continue to enter, into several arrangements that may not fit squarely within enumerated safe harbors and could potentially implicate the Anti-Kickback Statute if the requisite intent were present, such as:</w:t>
      </w:r>
    </w:p>
    <w:p>
      <w:pPr>
        <w:spacing w:after="0" w:line="120" w:lineRule="exact"/>
        <w:rPr>
          <w:sz w:val="20"/>
          <w:szCs w:val="20"/>
          <w:color w:val="auto"/>
        </w:rPr>
      </w:pPr>
    </w:p>
    <w:p>
      <w:pPr>
        <w:jc w:val="both"/>
        <w:ind w:left="640" w:hanging="316"/>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Joint Ventures. </w:t>
      </w:r>
      <w:r>
        <w:rPr>
          <w:rFonts w:ascii="Times New Roman" w:cs="Times New Roman" w:eastAsia="Times New Roman" w:hAnsi="Times New Roman"/>
          <w:sz w:val="18"/>
          <w:szCs w:val="18"/>
          <w:color w:val="auto"/>
        </w:rPr>
        <w:t>We operate two of our centers, our Sacramento, California center, and Orlando, Florida center, under joint ventures, each with a not-for-profit healthcare provider. We may enter other joint ventures with providers and payors in the future. The Office of Inspector General (the “OIG”) of the Department of Health and Human Services (“HHS”) has warned healthcare entities in the past that certain joint venture relationships have a potential for abuse. We have endeavored to structure our joint ventures to satisfy as many elements of the applicable safe harbor for investments in small entities as we believe are commercially reasonable. For example, we believe that these investments are offered and made by us on a fair market value basis and provide returns to the investors in proportion to their actual investment in the venture.</w:t>
      </w:r>
    </w:p>
    <w:p>
      <w:pPr>
        <w:spacing w:after="0" w:line="153"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Discounts. </w:t>
      </w:r>
      <w:r>
        <w:rPr>
          <w:rFonts w:ascii="Times New Roman" w:cs="Times New Roman" w:eastAsia="Times New Roman" w:hAnsi="Times New Roman"/>
          <w:sz w:val="18"/>
          <w:szCs w:val="18"/>
          <w:color w:val="auto"/>
        </w:rPr>
        <w:t>Our centers sometimes acquire certain items and services at a discount that may be reimbursed by a federal healthcare program.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endeavor to structure our vendor contracts that include discount or rebate provisions to comply with the federal Anti-Kickback Statute safe harbor for discounts.</w:t>
      </w:r>
    </w:p>
    <w:p>
      <w:pPr>
        <w:spacing w:after="0" w:line="130"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Force and Participant Recruitment. </w:t>
      </w:r>
      <w:r>
        <w:rPr>
          <w:rFonts w:ascii="Times New Roman" w:cs="Times New Roman" w:eastAsia="Times New Roman" w:hAnsi="Times New Roman"/>
          <w:sz w:val="18"/>
          <w:szCs w:val="18"/>
          <w:color w:val="auto"/>
        </w:rPr>
        <w:t>We employ our own sales force and attempt to meet the Anti-Kickback safe harbor for bona fide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noted in the examples above, we have endeavored to structure our business arrangements to fit within applicable federal Anti-Kickback Statute safe harbors and to otherwise operate in material compliance with the federal Anti-Kickback Statute and state analogs. Many of our arrangements are structured to provide for compensation that is fair market value for services actually rendered and in a manner that does not reflect the volume or value of referrals generated between the parties. In structuring our relationships with providers, including our physician partners, and other healthcare entities, we endeavor to comply with the regulatory requirements of such safe harbors and exceptions.</w:t>
      </w:r>
    </w:p>
    <w:p>
      <w:pPr>
        <w:spacing w:after="0" w:line="15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On January 19, 2021, the OIG issued regulations under the Anti-Kickback Statute that added new safe harbors and modified existing safe harbors that protect certain payment practices and business arrangements from sanctions under the Anti-Kickback Statute in order to remove potential barriers to more effective coordination and management of patient care and delivery of value-based care. Among other changes, these regulations contained safe harbors for value-based arrangements centering around value-based enterprises, which are enterprises, such as ours, composed of participants collaborating to achieve one or more value-based purposes, including coordinating, and managing the care of a target patient population and coordinating and managing the care of a target population. These new and modified value-based care safe harbors may allow our business to pursue new value-based arrangements with safe harbor protections under the Anti-Kickback Statute. However, compliance with these new Anti-Kickback Statute safe harbors is complex and, to the extent that one of our value-based arrangements does not squarely fit within the relevant safe harbors, it could be subject to greater scrutiny by enforcement agencies.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Self-Referral Prohibition</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federal Ethics in Patient Referral Act (“Stark Law”) generally prohibits a physician who has (or whose immediate family member has) a financial relationship with certain types of entities from making referrals to that such entities for “designated health services” if payment for the services may be made under Medicare or Medicaid.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To the extent we fall within the types of entities to which the Stark Law applies, then we need to ensure that any financial relationships that we have with a referring provider would satisfy a statutory or regulatory exception to the Stark Law prohibition.</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Providers are prohibited from billing Medicare and Medicaid for services related to a prohibited referral and a provider that has billed for prohibited services is obligated to notify and refund the amounts collected from the Medicare program or to make a self-disclosure to CMS under its Self-Referral Disclosure Protocol. Penalties for violation of the Stark Law include denial of payment, recoupment, refunds of amounts paid in violation of the law, exclusion from the Medicare or Medicaid programs, and substantial civil monetary penalties ($29,899 per prohibited item or service and $199,338 if there is a circumvention scheme; penalty amounts reflect current 2023 levels and are adjusted for inflation from time to time).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Claims filed in violation of the Stark Law may be deemed false claims under the FCA. In addition to the Stark Law, various states in which we operate have adopted their own self-referral prohibition statutes.</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parallel with OIG’s regulations on value-based care discussed above, on January 19, 2021, CMS issued a sweeping set of regulations that introduce significant new value-based terminology and exceptions to the Stark Law, including new exceptions for certain remuneration exchanged between or among eligible participants in value-based arrangements. These exceptions and their various requirements apply based on the level of risk assumed by the arrangement’s participants. These regulations purport to ease the compliance burden for healthcare providers across the industry while maintaining strong safeguards to protect patients and programs from fraud and abuse. To the extent that we rely on the new value-based exceptions to the Stark Law for our value-based arrangements, we intend to fully comply with such safeguards. However, if we were to be found as out of compliance with such exceptions, we could be subject to penalties, as discussed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False Claims Act</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Among other things, the FCA authorizes the imposition of up to three times the government’s damages and significant per claim civil penalties on any “person” (including an individual, organization or company) who, among other acts:</w:t>
      </w:r>
    </w:p>
    <w:p>
      <w:pPr>
        <w:spacing w:after="0" w:line="124"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presents or causes to be presented to the federal government a false or fraudulent claim for payment or approval;</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makes, uses or causes to be made or used a false record or statement material to a false or fraudulent claim;</w:t>
      </w:r>
    </w:p>
    <w:p>
      <w:pPr>
        <w:spacing w:after="0" w:line="190"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101"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conspires to commit the above acts.</w:t>
      </w:r>
    </w:p>
    <w:p>
      <w:pPr>
        <w:spacing w:after="0" w:line="17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encounter data or other information used to determine capitated payments. The Affordable Care Act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our business the extent we receive payments on account of RAF determinations that are based on improper or erroneous records or reports. Failure to return overpayments could subject us to liability under the FCA, exclusion from government healthcare programs and penalties under the federal Civil Monetary Penalty Statute.</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penalties for a violation of the FCA may include per claim penalties, plus up to three times the amount of damages caused by each false claim, which can be as much as the amounts received directly or indirectly from the government for each such false claim. As of February 12, 2024, the minimum False Claims Act penalty increased from $13,508 to $13,946 per claim. The maximum penalty has increased from $27,018 to $27,894 per claim.</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civil enforcement under the FCA, the federal government can use several criminal statutes to prosecute persons who are alleged to have submitted false or fraudulent claims for payment to the federal government. Private parties may initiate qui tam whistleblower lawsuits against any person or entity under the FCA in the name of the federal government, as well as under the false claims’ laws of several states, and may share in the proceeds of a successful suit. Generally, federal and state governments have made investigating and prosecuting healthcare fraud and abuse a priority. Any allegations or findings that we have violated the FCA could have a material adverse impact on our reputation, business, results of operations and financial condition.</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FCA, the various states in which we operate have adopted their own analogs of the FCA. States are becoming increasingly active in using their false claims laws to police the same activities listed above, particularly with regard to capitated government-sponsored healthcare programs, such as Medicaid managed care and PACE. Under Section 6031 of the Deficit Reduction Act of 2005, as amended, if a state enacts a false claims act that is at least as stringent as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federal statute and that also meets certain other requirements, the state will be eligible to receive a greater share of any monetary recovery obtained pursuant to certain actions brought under the state’s false claims act. As a result, more states are expected to enact laws that are similar to the federal FCA in the future along with a corresponding increase in state false claims enforcement efforts.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additional information regarding allegations against us under Federal and State FCA statutes, see Item 1A. Risk Factors, “Risks Related to Our Business—We are subject to legal proceedings, enforcement actions and litigation, malpractice and privacy disputes, which are costly to defend and could materially harm our business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Statute</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24" w:lineRule="exact"/>
        <w:rPr>
          <w:sz w:val="20"/>
          <w:szCs w:val="20"/>
          <w:color w:val="auto"/>
        </w:rPr>
      </w:pPr>
    </w:p>
    <w:p>
      <w:pPr>
        <w:jc w:val="both"/>
        <w:ind w:left="640" w:hanging="316"/>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14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remuneration to a federal healthcare program beneficiary that the individual or entity knows or should know is likely to influence the beneficiary to order or receive healthcare items or services from a particular provider, unless an exception applies;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contracts with or making payments to an entity or individual excluded from participation in the federal healthcare programs or included on CMS’s preclusion list;</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violating the federal Anti-Kickback Statute;</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for payment for items and services furnished under a federal healthcare program;</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report and return an overpayment owed to the federal government.</w:t>
      </w:r>
    </w:p>
    <w:p>
      <w:pPr>
        <w:spacing w:after="0" w:line="1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ensure that we do not make payments to contracted or noncontracted providers listed on CMS’s preclusion list nor make payments for drugs prescribed by individuals on the preclusion list. However, should an individual or entity be excluded, on the preclusion list, or otherwise ineligible for payment and we fail to detect it, a federal agency could require us to refund amounts attributable to all claims or services performed or sufficiently linked to such individual or entity. Due to this area of risk and the possibility of other allegations being brought against us, we cannot foreclose the possibility that we could face allegations of noncompliance with the Civil Monetary Penalty Statute that have the potential for a material adverse impact on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HIPAA requires covered entities, and the business associates with whom such covered entities contract for services involving the use or disclosure of protected health information to provide certain protections to their patients or participants and their health information. Through our various service offerings, the Company acts primarily as a covered entity under HIPAA but may also act as a business associate of other covered entities. The HIPAA privacy and security regulations extensively regulate the use and disclosure of PHI and require covered entities and their business associates, to develop and maintain policies and procedures and implement and maintain administrative, physical, and technical safeguards to protect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security of such information. Additional security requirements apply to electronic PHI. These regulations also provide our participants with substantive rights with respect to their health information.</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HIPAA privacy and security regulations also require covered entities to enter into written agreements with their business associates. Covered entities may be subject to fines and penalties for, among other activities, failing to enter into a business associate agreement where required by law or as a result of a business associate violating HIPAA.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2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Covered entities must notify affected individuals of breaches of unsecured PHI without unreasonable delay but no later than 60 days after discovery of the breach. Reporting must also be made to the HHS Office for Civil Rights (“OCR”) and, for breaches of unsecured PHI involving more than 500 residents of a state or jurisdiction, to the media in accordance with HIPAA requirements. All impermissible uses or disclosures of unsecured PHI are presumed to be breaches unless an exception to the definition of breach applies or the covered entity or business associate establishes that there is a low probability the PHI has been compromised. Additionally, beginning in December 2022, OCR has issued guidance on the use of tracking technologies on websites and mobile applications by covered entities and business associates, indicating that certain information collected by tracking technology vendors from websites and applications may cause a breach under HIPAA.</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Violations of HIPAA by covered entities and business associates,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(not adjusted for inflation) per violation and up to approximately $1.9 million (not adjusted for inflation) per year for identical violations.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14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may also be subject to other laws governing the privacy and security of data, such as the California Consumer Privacy Act of 1918 (“CCPA”) and data breach notification laws. Additionally, many states also enacted laws that protect the privacy and security of confidential, personal and health information, which may be even more stringent than HIPAA and may add additional compliance costs and legal risks to our operations. Some state privacy and security laws overlap with federal law, some of which are preempted, in part by federal laws, whereas others are not. States have also passed privacy and security laws and regulations that apply across sectors and go beyond federal law, such as data security laws, secure destruction, Social Security number privacy, online privacy biometric information privacy, and data breach notification laws. Some of these state laws impose fines and penalties on violators and afford private rights of action to individuals who believe their personal information has been misused. Various state laws and regulations also require us to notify affected individuals in the event of a data breach involving personal information without regard to the probability of the information being compromised.</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Looking ahead, it is possible that Congress could pursue a federal privacy bill to harmonize privacy regimes across states.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Various other federal and state laws restrict the use and protect the privacy and security of individually identifiable information, as well as employee personal information, including certain state laws modeled to some extent on the European Union’s General Data Protection Regulation. Federal and state consumer protection laws, including laws that do not on their face specifically address data privacy or security, have been applied to data privacy and security matters by a range of government agencies and courts.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Efforts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U.S. federal and state governments continue to enact and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form such legislation or regulations will take. Some examples of legislative and regulatory changes impacting our business include:</w:t>
      </w:r>
    </w:p>
    <w:p>
      <w:pPr>
        <w:spacing w:after="0" w:line="177" w:lineRule="exact"/>
        <w:rPr>
          <w:sz w:val="20"/>
          <w:szCs w:val="20"/>
          <w:color w:val="auto"/>
        </w:rPr>
      </w:pPr>
    </w:p>
    <w:p>
      <w:pPr>
        <w:jc w:val="both"/>
        <w:ind w:left="640" w:hanging="316"/>
        <w:spacing w:after="0" w:line="25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2010, broad healthcare reform legislation was enacted in the United States through the ACA. There have since been numerous political and legal efforts to repeal, replace or modify the ACA, some of which have been successful, in part, in modifying the law. Although some provisions of the ACA have been and may be modified, the reforms, particularly those relating to Medicare and Medicaid programs, could continue to have an impact on our business. These and other provisions of the ACA remain subject to ongoing uncertainty due to developing regulations as well as continuing political and legal challenges at both the federal and state levels.</w:t>
      </w:r>
    </w:p>
    <w:p>
      <w:pPr>
        <w:spacing w:after="0" w:line="145"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these types of changes are implemented in the future, we cannot predict whether the amount of fixed federal funding to the states will be based on current payment amounts, or if it will be based on lower payment amounts, which would negatively impact those states that expanded their Medicaid programs in response to the ACA.</w:t>
      </w:r>
    </w:p>
    <w:p>
      <w:pPr>
        <w:spacing w:after="0" w:line="1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enacted in 2011 requires CMS to sequester or reduce all Medicare payments, including payments to PACE organizations, by two percent per year beginning on April 1, 2013.</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includes a few provisions intended to lower the costs of some drugs covered under Medicare Part D and to limit Medicare beneficiaries’ out-of-pocket spending under the Medicare Part D benefit. It is not yet clear what effect, if any, these legislative changes and any subsequent implementing regulations and guidance will have on our business.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69"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“Medicare Program; Contract Year 2024 Policy and Technical Changes to the Medicare Advantage Program, Medicare Prescription Drug Benefit Program, Medicare Cost Plan Program, and Programs of All-Inclusive Care for the Elderly” final rule (“PACE Final Rule”) set out a number of changes for PACE organizations, including (i) clarifying that CMS has enforcement discretion to impose civil monetary penalties or an intermediate sanction in the event CMS has made a determination that could lead to the termination of a PACE program; and (ii) reinstating the requirement that PACE organizations enter into written contracts with each outside organization, agency, or individual that furnishes administrative or care-related services not furnished directly by the PACE organization, including 25 medical specialties enumerated by the PACE Final Rule.</w:t>
      </w:r>
    </w:p>
    <w:p>
      <w:pPr>
        <w:spacing w:after="0" w:line="142" w:lineRule="exact"/>
        <w:rPr>
          <w:rFonts w:ascii="Times New Roman" w:cs="Times New Roman" w:eastAsia="Times New Roman" w:hAnsi="Times New Roman"/>
          <w:sz w:val="17"/>
          <w:szCs w:val="17"/>
          <w:color w:val="auto"/>
        </w:rPr>
      </w:pPr>
    </w:p>
    <w:p>
      <w:pPr>
        <w:jc w:val="both"/>
        <w:ind w:left="640" w:hanging="316"/>
        <w:spacing w:after="0" w:line="25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provisions of the PACE final rule from 2024 were issued alongside the new PACE Final Rule for 2025. In this new final rule, CMS sets out changes which include but are not limited to: (i) implementation of past performance guidelines used to evaluate new PACE organization applications; (ii) personnel medical clearance guidelines; (iii) updates to service delivery timeframes by which participants must receive services; (iv) guidelines on IDT care coordination across all service settings with timeframes applied to external provider recommendations; (v) new content and documentation guidelines for participant plans of care; (vi) expansion of participant rights in care settings; and (vii) revisions to existing grievance process to align with standard determination request guidance.</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CMS and state Medicaid agencies also routinely adjust the RAF which is central to payment under PACE and Managed Medicaid programs in which we participate. The monetary “coefficient” values associated with diseases that we manage in our population are subject to change by CMS and state agencies. Such changes could have a material adverse effect on our financial condition. See Item 1A. Risk Factors, “Risks Related to Our Business — Our records and submissions to government payors may contain inaccurate or unsupportable information regarding risk adjustment scores of participants, which could cause us to overstate or understate our revenue and subject us to payment obligations or penalties.”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participant centers, and require employers to make a determination as to which employees may be exposed to blood or other potentially infectious materials and to have in effect a written exposure control plan. In addition, employers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Federal and state law also governs the purchase, handling, and dispensing of controlled substances by physicians and other clinicians. If we are unable to maintain our registrations this could limit or affect our ability to purchase, handle, or dispense controlled substances and other violations of these laws could subject us to criminal or other sanctions. In addition, certain laws may apply to activities of our affiliated physicians and clinicians. For example, the Prescription Drug Marketing Act governs the provision of drug samples to physicians and other clinicians, and physicians and other clinicians are required to report relationships they have with the manufacturers of drugs, medical devices and biologics through the Open Payments Program database.</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Clinical laboratories may be subject to oversight by CMS and state regulators, including the Eliminating Kickbacks in Recovery Act of 2018. If our laboratories or laboratories that we partner with are not in compliance with the applicable CMS or state laws or regulations, they could be subject to enforcement action, which could negatively affect our business.</w:t>
      </w:r>
    </w:p>
    <w:p>
      <w:pPr>
        <w:spacing w:after="0" w:line="15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in the past and continue to intend to grow our business through acquisitions in the states in which we currently operate or in new states that we seek to enter. Several states, including California, have adopted laws focused on competition, quality, access, and cost that authorize state agencies to review and approve healthcare transactions, and many other states, including Pennsylvania, are considering similar legislation. California is also considering additional legislation that would provide the California attorney general with approval authority with respect to certain health care transactions. Such laws may negatively affect our ability to grow our business.</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allegations or findings that we or our providers have violated any of these laws or regulations could have a material adverse impact on our reputation, business, results of operations and financial condition. Certain states in which we do business or may desire to do business in the future have certificate of need programs regulating the establishment or expansion of healthcare facilities, including our participant centers. These regulations can be complex and time-consuming to ensure compliance with. Any failure to comply with such regulatory requirements could adversely impact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U.S. healthcare industry is highly competitive. We compete directly with national, regional and local providers of healthcare for participants and clinical providers. We also compete with payors and other alternate managed care programs for participants. Of these providers,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Our growth strategy and our business could be adversely affected if we are not able to compete efficiently, including penetrating existing markets or new markets, recruit qualified physicians or if we experience significant participant attrition to our competitors. See Item 1A. Risk Factors —Risks Related to Our Business—“The healthcare industry is highly competitive and, if we are not able to compete effectively, our business could be harmed.”</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business experiences some variability depending upon the time of year. Medical costs will vary seasonally depending on a number of factors, but most significantly the weather. Certain illnesses, such as the influenza virus and COVID-19, are far more prevalent during colder months of the year, which results in an increase in medical expenses during these time periods. We therefore see higher levels of per-participant medical costs in our second and third fiscal quarters. Medical costs also depend upon the number of business days in a period, with shorter periods generally having lower medical costs, all else being equal. There is also increased variability of participant enrollment during the open enrollment period, which occurs during our third fiscal quarter.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retrospective capitation payments we receive for each participant are determined by a participant’s RAF score, which is calculated twice per year and is based on the evolving acuity and chronic conditions of a participant. We estimate and accrue for the expected true-up payments of our participants. Though no assurances can be made in the future, we have historically used our best estimate for accruing for this payment, and we received net positive true-up payments during the fiscal years ended June 30, 2024 and 2023. Historically, these true-up payments typically occur between May and August, but the timing of these payments is determined by CMS, and we have neither visibility nor control over the timing of such payments.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2024, we had approximately 2,350 employees, including over 1,300 clinical professionals (excluding contract labor). Approximately 1% of our workforce is represented by a union, all of which are located in Pennsylvania. Collective bargaining commenced in March 2024. We are unable to predict the terms or timing of any resulting collective bargaining agreement.</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our efforts in managing our workforce have been effective, evidenced by improved retention, lower turnover, and employee satisfaction during fiscal year 2024.</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people are our product at InnovAge, and their commitment to our participants propels our mission of enabling seniors to age at home, with dignity, for as long as is safely possible. We believe that our employees are drawn to this mission and our values, which is why our voluntary retention rate was 68% over fiscal year 2024. Additionally, in our most recent employee engagement survey conducted in February 2024, 75% of our employees indicated that they feel engaged by their work at InnovAge</w:t>
      </w:r>
      <w:r>
        <w:rPr>
          <w:rFonts w:ascii="Times New Roman" w:cs="Times New Roman" w:eastAsia="Times New Roman" w:hAnsi="Times New Roman"/>
          <w:sz w:val="18"/>
          <w:szCs w:val="18"/>
          <w:b w:val="1"/>
          <w:bCs w:val="1"/>
          <w:color w:val="auto"/>
        </w:rPr>
        <w:t>.</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Attracting and retaining top talent is critical to the success of InnovAge's mission and one of the highest priorities to leadership. To keep leadership informed of the health of our employee base, we report weekly on key hiring and retention metrics. We launched employee engagement surveys in fiscal year 2022, and we implemented action plans with all staff groups based on survey findings and opportunities uncovered.</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continue to evaluate talent needs at the senior management level, aiming to hire ahead of the curve as the business evolves and to assess and respond to any gaps in our capabilities.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InnovAge, we strive to be a reflection of the diverse communities that we serve. We are steadfastly dedicated to fostering an atmosphere that champions diversity, equity, and inclusion throughout all sectors of InnovAge. Our commitment remains in building a culture where individual distinctions are not just acknowledged but deeply valued.</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our previous engagement survey from February 2024, 76.6% of employees indicated that they feel that they can be their authentic selves at work. As part of our continuous journey to engage and understand our teams better, we plan to conduct our annual engagement survey during September 2024.</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2024, our employed workforce was comprised of individuals who identified as women – 76%, and minorities – 52%. Four of eleven members of our leadership team identify as women as of June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aim to provide our employees opportunities to grow and advance in their careers at InnovAge with learning and development programs. Each year we conduct soft skills training for managers and supervisors, the content of which is informed by gap assessment surveys. A quarterly training series for front-line leaders enables them to develop their management skills. Our clinical leaders also conduct separate physician leadership trainings quarterly, with a new topic for each installment (e.g., email / phone etiquette).</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conduct a periodic training needs assessment surveys to hear directly from employees and managers where they think they could use more support and learning content in the coming year. These assessment surveys, allow the Company to develop trainings tailored to the most prevalent needs identified by our employees.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We will remain an emerging growth company until the earlier of (1) June 30, 2026, (2) the last day of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 xml:space="preserve">Table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u w:val="single" w:color="auto"/>
          <w:color w:val="0000EE"/>
        </w:rPr>
        <w:t xml:space="preserve">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fiscal year in which we have total annual gross revenue of at least $1.235 billion, (3) the date on which we are deemed to be a large accelerated filer or (4) the date on which we have issued more than $1.0 billion in non-convertible debt securities during the prior three-year period. Additionally, we qualify as a “smaller reporting company,” and even after we no longer qualify as an “emerging growth company,” we may still qualify as a “smaller reporting company” based on the aggregate worldwide market value of common equity securities held by non-affiliates assessed on an annual basis and measured as of the last business day of our most recently completed second fiscal quarter.</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an emerging growth company and a smaller reporting company, we may take advantage of reduced reporting requirements that are otherwise applicable to public companies. These provisions include, but are not limited to:</w:t>
      </w:r>
    </w:p>
    <w:p>
      <w:pPr>
        <w:spacing w:after="0" w:line="124" w:lineRule="exact"/>
        <w:rPr>
          <w:sz w:val="20"/>
          <w:szCs w:val="20"/>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136"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to present only two years of audited financial statements, plus unaudited condensed consolidated financial statements for any interim period and related discussion in the section titled “Management’s Discussion and Analysis of Financial Condition and Results of Operations”;</w:t>
      </w:r>
    </w:p>
    <w:p>
      <w:pPr>
        <w:spacing w:after="0" w:line="101"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the information that we provide to our stockholders may be different than you might receive from other public reporting companies in which you hold equity interests.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internet website is www.innovage.com. We include our website address on this Annual Report for reference only. The information contained on our website is not incorporated by reference into this Annual Report or any other report or document we file with, or furnish to, the SEC.</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through our website at www.investor.innovage.com as soon as reasonably practicable after such material is electronically filed with, or furnished to, the SEC. Our SEC filings are also available to the public at the SEC’s website at www.sec.gov.</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2" w:name="page23"/>
    <w:bookmarkEnd w:id="2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Our business, results of operations, and financial condition are subject to numerous risks and uncertainties. You should carefully consider the following risk factors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You should read these risk factors in conjunction with “Management’s Discussion and Analysis of Financial Condition and Results of Operations” in Item 7 and our consolidated financial statements and related notes in Item 8 of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are a number of risks related to our business, regulation, our indebtedness and our common stock that you should consider. Some of the principal risks related to our business include the following:</w:t>
      </w:r>
    </w:p>
    <w:p>
      <w:pPr>
        <w:spacing w:after="0" w:line="122" w:lineRule="exact"/>
        <w:rPr>
          <w:sz w:val="20"/>
          <w:szCs w:val="20"/>
          <w:color w:val="auto"/>
        </w:rPr>
      </w:pPr>
    </w:p>
    <w:p>
      <w:pPr>
        <w:jc w:val="both"/>
        <w:ind w:left="640" w:hanging="316"/>
        <w:spacing w:after="0" w:line="275" w:lineRule="auto"/>
        <w:tabs>
          <w:tab w:leader="none" w:pos="635"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Our growth strategy may not prove viable. </w:t>
      </w:r>
      <w:r>
        <w:rPr>
          <w:rFonts w:ascii="Times New Roman" w:cs="Times New Roman" w:eastAsia="Times New Roman" w:hAnsi="Times New Roman"/>
          <w:sz w:val="17"/>
          <w:szCs w:val="17"/>
          <w:color w:val="auto"/>
        </w:rPr>
        <w:t>Our ability to grow depends upon a number of factors, including results of audits, investigations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remediation efforts, recruiting new participants, finding suitable geographies , entering into government payor arrangements in new jurisdictions, ensuring compliance with regulatory and contractual requirements, identifying appropriate locations or existing centers, purchasing centers or obtaining leases, completing build-outs of new centers within proposed timelines and budgets and hiring members of our IDTs and other employees.</w:t>
      </w:r>
    </w:p>
    <w:p>
      <w:pPr>
        <w:spacing w:after="0" w:line="124" w:lineRule="exact"/>
        <w:rPr>
          <w:rFonts w:ascii="Times New Roman" w:cs="Times New Roman" w:eastAsia="Times New Roman" w:hAnsi="Times New Roman"/>
          <w:sz w:val="17"/>
          <w:szCs w:val="17"/>
          <w:b w:val="1"/>
          <w:bCs w:val="1"/>
          <w:color w:val="auto"/>
        </w:rPr>
      </w:pPr>
    </w:p>
    <w:p>
      <w:pPr>
        <w:jc w:val="both"/>
        <w:ind w:left="640" w:hanging="316"/>
        <w:spacing w:after="0" w:line="256"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Our growth strategy depends upon our ability to identify and complete acquisitions, joint ventures and other strategic partnerships.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strategy involves identifying and successfully completing acquisitions, joint ventures and strategic partnerships, which involve numerous risks, including failure to consummate negotiated transactions, difficulties in successfully integrating the operations and personnel, navigating the necessary regulatory approval requirements and difficulties in entering new markets.</w:t>
      </w:r>
    </w:p>
    <w:p>
      <w:pPr>
        <w:spacing w:after="0" w:line="150" w:lineRule="exact"/>
        <w:rPr>
          <w:rFonts w:ascii="Times New Roman" w:cs="Times New Roman" w:eastAsia="Times New Roman" w:hAnsi="Times New Roman"/>
          <w:sz w:val="18"/>
          <w:szCs w:val="18"/>
          <w:b w:val="1"/>
          <w:bCs w:val="1"/>
          <w:color w:val="auto"/>
        </w:rPr>
      </w:pPr>
    </w:p>
    <w:p>
      <w:pPr>
        <w:jc w:val="both"/>
        <w:ind w:left="640" w:hanging="316"/>
        <w:spacing w:after="0" w:line="25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we are unable to attract new participants and retain existing participants, our revenue growth will be adversely affected. </w:t>
      </w:r>
      <w:r>
        <w:rPr>
          <w:rFonts w:ascii="Times New Roman" w:cs="Times New Roman" w:eastAsia="Times New Roman" w:hAnsi="Times New Roman"/>
          <w:sz w:val="18"/>
          <w:szCs w:val="18"/>
          <w:color w:val="auto"/>
        </w:rPr>
        <w:t>To increase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we plan to expand the number of centers and participants in our network, requiring recruitment and retention. Our inability to identify and recruit new eligible participants, including due to the impact of enrollment sanctions, and retain existing participants has, and could continue to, harm our ability to execute our growth strategy and have a material adverse effect on our business.</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overall business results have been and we expect will continue to be impacted by ongoing macroeconomic and industry-related challenges. </w:t>
      </w:r>
      <w:r>
        <w:rPr>
          <w:rFonts w:ascii="Times New Roman" w:cs="Times New Roman" w:eastAsia="Times New Roman" w:hAnsi="Times New Roman"/>
          <w:sz w:val="18"/>
          <w:szCs w:val="18"/>
          <w:color w:val="auto"/>
        </w:rPr>
        <w:t>Macroeconomic and industry challenges, including labor shortages, labor competition and high inflation, have impacted and we expect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continue to impact our business operations. High inflation has increased the cost of living, and consequently, wage pressure, which has contributed to an increasingly competitive labor market.</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have faced, and continue to face inspections, reviews, audits and investigations under federal and state government programs and contracts</w:t>
      </w:r>
      <w:r>
        <w:rPr>
          <w:rFonts w:ascii="Times New Roman" w:cs="Times New Roman" w:eastAsia="Times New Roman" w:hAnsi="Times New Roman"/>
          <w:sz w:val="18"/>
          <w:szCs w:val="18"/>
          <w:color w:val="auto"/>
        </w:rPr>
        <w:t>. As a result of PACE contracts with various federal and state government programs, we are regularly subject to various routine and non-routine governmental inspections, reviews, audits, requests for information and investigations to verify our compliance with applicable laws, assess the quality of our services and evaluate the accuracy of our submitted risk adjustment data. Our centers are subject to, and will continue to be subject, to future audits and we are unable to guarantee the outcomes.</w:t>
      </w:r>
    </w:p>
    <w:p>
      <w:pPr>
        <w:spacing w:after="0" w:line="154" w:lineRule="exact"/>
        <w:rPr>
          <w:rFonts w:ascii="Times New Roman" w:cs="Times New Roman" w:eastAsia="Times New Roman" w:hAnsi="Times New Roman"/>
          <w:sz w:val="18"/>
          <w:szCs w:val="18"/>
          <w:b w:val="1"/>
          <w:bCs w:val="1"/>
          <w:color w:val="auto"/>
        </w:rPr>
      </w:pPr>
    </w:p>
    <w:p>
      <w:pPr>
        <w:jc w:val="both"/>
        <w:ind w:left="640" w:hanging="316"/>
        <w:spacing w:after="0" w:line="25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subject to legal proceedings, enforcement actions and litigation, malpractice and privacy disputes, which are costly and could materially harm our business. </w:t>
      </w:r>
      <w:r>
        <w:rPr>
          <w:rFonts w:ascii="Times New Roman" w:cs="Times New Roman" w:eastAsia="Times New Roman" w:hAnsi="Times New Roman"/>
          <w:sz w:val="18"/>
          <w:szCs w:val="18"/>
          <w:color w:val="auto"/>
        </w:rPr>
        <w:t>We are party to lawsuits and legal proceedings from various parties in the normal course of business. These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often expensive and disruptive to normal business operations. Among others, we are currently subject to civil investigative demands and stockholder lawsuits. There can be no assurance that these matters will be resolved in our favor or without significant cash settlements and the time necessary to litigate could harm our reputation, business, financial condition, and results of operations.</w:t>
      </w:r>
    </w:p>
    <w:p>
      <w:pPr>
        <w:spacing w:after="0" w:line="141" w:lineRule="exact"/>
        <w:rPr>
          <w:rFonts w:ascii="Times New Roman" w:cs="Times New Roman" w:eastAsia="Times New Roman" w:hAnsi="Times New Roman"/>
          <w:sz w:val="18"/>
          <w:szCs w:val="18"/>
          <w:color w:val="auto"/>
        </w:rPr>
      </w:pPr>
    </w:p>
    <w:p>
      <w:pPr>
        <w:jc w:val="both"/>
        <w:ind w:left="640" w:hanging="316"/>
        <w:spacing w:after="0" w:line="283"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Under PACE contracts, we assume all of the risk that the cost of providing services will exceed our compensation</w:t>
      </w:r>
      <w:r>
        <w:rPr>
          <w:rFonts w:ascii="Times New Roman" w:cs="Times New Roman" w:eastAsia="Times New Roman" w:hAnsi="Times New Roman"/>
          <w:sz w:val="17"/>
          <w:szCs w:val="17"/>
          <w:color w:val="auto"/>
        </w:rPr>
        <w:t>. Most of our revenue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derived from capitation agreements with government payors in which we receive fixed PMPM fees. To the extent that our participants require more care than anticipated and/or the cost of care increases, aggregate fixed capitation payments may be insufficient to cover the costs. If, in aggregate,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color w:val="auto"/>
        </w:rPr>
        <w:t>expenses exceed the underlying capitation payment received, we will not be able to fund operations and pursue growth.</w:t>
      </w:r>
    </w:p>
    <w:p>
      <w:pPr>
        <w:spacing w:after="0" w:line="175" w:lineRule="exact"/>
        <w:rPr>
          <w:sz w:val="20"/>
          <w:szCs w:val="20"/>
          <w:color w:val="auto"/>
        </w:rPr>
      </w:pPr>
    </w:p>
    <w:p>
      <w:pPr>
        <w:jc w:val="both"/>
        <w:ind w:left="320" w:hanging="316"/>
        <w:spacing w:after="0" w:line="256"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experienced and expect to continue experiencing increased costs and expenditures in the future. </w:t>
      </w:r>
      <w:r>
        <w:rPr>
          <w:rFonts w:ascii="Times New Roman" w:cs="Times New Roman" w:eastAsia="Times New Roman" w:hAnsi="Times New Roman"/>
          <w:sz w:val="18"/>
          <w:szCs w:val="18"/>
          <w:color w:val="auto"/>
        </w:rPr>
        <w:t>In fiscal year 2024, we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initiatives intended to lower our costs, however, we expect increased costs in the foreseeable future. We may not succeed in increasing our revenue sufficiently to improve our profit margins and if we are not able to execute or realize the benefits of our clinical value initiatives, our profitability could continue to decline.</w:t>
      </w:r>
    </w:p>
    <w:p>
      <w:pPr>
        <w:spacing w:after="0" w:line="137" w:lineRule="exact"/>
        <w:rPr>
          <w:rFonts w:ascii="Times New Roman" w:cs="Times New Roman" w:eastAsia="Times New Roman" w:hAnsi="Times New Roman"/>
          <w:sz w:val="18"/>
          <w:szCs w:val="18"/>
          <w:color w:val="auto"/>
        </w:rPr>
      </w:pPr>
    </w:p>
    <w:p>
      <w:pPr>
        <w:jc w:val="both"/>
        <w:ind w:left="320" w:hanging="316"/>
        <w:spacing w:after="0" w:line="256"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revenues and operations are dependent upon a limited number of government payors, particularly Medicare and Medicaid. </w:t>
      </w:r>
      <w:r>
        <w:rPr>
          <w:rFonts w:ascii="Times New Roman" w:cs="Times New Roman" w:eastAsia="Times New Roman" w:hAnsi="Times New Roman"/>
          <w:sz w:val="18"/>
          <w:szCs w:val="18"/>
          <w:color w:val="auto"/>
        </w:rPr>
        <w:t>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aggregating the revenue associated with Medicare and Medicaid by state, a majority of our revenue was derived from a limited number of government payors. We expect a majority of our revenues will continue to be derived from a limited number of key payors, who are able to terminate their contracts with us upon the occurrence of certain events, adversely affecting our operating results and limiting our expansion.</w:t>
      </w:r>
    </w:p>
    <w:p>
      <w:pPr>
        <w:spacing w:after="0" w:line="150" w:lineRule="exact"/>
        <w:rPr>
          <w:rFonts w:ascii="Times New Roman" w:cs="Times New Roman" w:eastAsia="Times New Roman" w:hAnsi="Times New Roman"/>
          <w:sz w:val="18"/>
          <w:szCs w:val="18"/>
          <w:color w:val="auto"/>
        </w:rPr>
      </w:pPr>
    </w:p>
    <w:p>
      <w:pPr>
        <w:jc w:val="both"/>
        <w:ind w:left="320" w:hanging="316"/>
        <w:spacing w:after="0" w:line="256"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Reductions in PACE reimbursement rates or changes in the rules governing PACE programs could have a material adverse effect on our financial condition and results of operations. </w:t>
      </w:r>
      <w:r>
        <w:rPr>
          <w:rFonts w:ascii="Times New Roman" w:cs="Times New Roman" w:eastAsia="Times New Roman" w:hAnsi="Times New Roman"/>
          <w:sz w:val="18"/>
          <w:szCs w:val="18"/>
          <w:color w:val="auto"/>
        </w:rPr>
        <w:t>We receive nearly all of our revenue through the PACE program, which accounted for 99.9%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99.8% of our revenue for the years ended June 30, 2024 and 2023, respectively. As a result, our operations are dependent on government funding levels for PACE programs. Any changes that limit or reduce general PACE rates could have a material adverse effect on our business.</w:t>
      </w:r>
    </w:p>
    <w:p>
      <w:pPr>
        <w:spacing w:after="0" w:line="137" w:lineRule="exact"/>
        <w:rPr>
          <w:rFonts w:ascii="Times New Roman" w:cs="Times New Roman" w:eastAsia="Times New Roman" w:hAnsi="Times New Roman"/>
          <w:sz w:val="18"/>
          <w:szCs w:val="18"/>
          <w:color w:val="auto"/>
        </w:rPr>
      </w:pPr>
    </w:p>
    <w:p>
      <w:pPr>
        <w:jc w:val="both"/>
        <w:ind w:left="320" w:hanging="316"/>
        <w:spacing w:after="0" w:line="253"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records and submissions to government payors may contain inaccurate or unsupportable information regarding risk adjustment scores of participants, which could subject us to repayment obligations or penalties. </w:t>
      </w:r>
      <w:r>
        <w:rPr>
          <w:rFonts w:ascii="Times New Roman" w:cs="Times New Roman" w:eastAsia="Times New Roman" w:hAnsi="Times New Roman"/>
          <w:sz w:val="18"/>
          <w:szCs w:val="18"/>
          <w:color w:val="auto"/>
        </w:rPr>
        <w:t>The submission of erroneous data could result in inaccurate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risk adjustment payments, which may be subject to correction or retroactive adjustment in later periods. CMS may audit PACE organizations’ risk adjustment data submissions. We could be required to refund a portion of the revenue that we received, which could have a material adverse effect on our business, results of operations, financial condition and cash flows.</w:t>
      </w:r>
    </w:p>
    <w:p>
      <w:pPr>
        <w:spacing w:after="0" w:line="141" w:lineRule="exact"/>
        <w:rPr>
          <w:rFonts w:ascii="Times New Roman" w:cs="Times New Roman" w:eastAsia="Times New Roman" w:hAnsi="Times New Roman"/>
          <w:sz w:val="18"/>
          <w:szCs w:val="18"/>
          <w:color w:val="auto"/>
        </w:rPr>
      </w:pPr>
    </w:p>
    <w:p>
      <w:pPr>
        <w:jc w:val="both"/>
        <w:ind w:left="320" w:hanging="316"/>
        <w:spacing w:after="0" w:line="256"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Renegotiation, non-renewal or termination of capitation agreements with government payors could have a material adverse effect on our business, results of operations, financial condition and cash flows. </w:t>
      </w:r>
      <w:r>
        <w:rPr>
          <w:rFonts w:ascii="Times New Roman" w:cs="Times New Roman" w:eastAsia="Times New Roman" w:hAnsi="Times New Roman"/>
          <w:sz w:val="18"/>
          <w:szCs w:val="18"/>
          <w:color w:val="auto"/>
        </w:rPr>
        <w:t>If we enter into, or amend, capitation contracts which include unfavorable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terms, we could suffer losses. Some states in which we operate undergo periodic reconciliations with respect to enrollments that present a risk to our business.</w:t>
      </w:r>
    </w:p>
    <w:p>
      <w:pPr>
        <w:spacing w:after="0" w:line="150" w:lineRule="exact"/>
        <w:rPr>
          <w:rFonts w:ascii="Times New Roman" w:cs="Times New Roman" w:eastAsia="Times New Roman" w:hAnsi="Times New Roman"/>
          <w:sz w:val="18"/>
          <w:szCs w:val="18"/>
          <w:color w:val="auto"/>
        </w:rPr>
      </w:pPr>
    </w:p>
    <w:p>
      <w:pPr>
        <w:jc w:val="both"/>
        <w:ind w:left="320" w:hanging="316"/>
        <w:spacing w:after="0" w:line="256"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Allegations of failure and failure to adhere to complex government laws and regulations, have had and could in the future have a material adverse effect on our business, results of operations, financial condition, cash flows, reputation and stock price. </w:t>
      </w:r>
      <w:r>
        <w:rPr>
          <w:rFonts w:ascii="Times New Roman" w:cs="Times New Roman" w:eastAsia="Times New Roman" w:hAnsi="Times New Roman"/>
          <w:sz w:val="18"/>
          <w:szCs w:val="18"/>
          <w:color w:val="auto"/>
        </w:rPr>
        <w:t>Our operations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federal, state and local government laws and regulations. Allegations of violation, or actual violations of the legal requirements implicated by our business may have material adverse consequences on our business.</w:t>
      </w:r>
    </w:p>
    <w:p>
      <w:pPr>
        <w:spacing w:after="0" w:line="137" w:lineRule="exact"/>
        <w:rPr>
          <w:rFonts w:ascii="Times New Roman" w:cs="Times New Roman" w:eastAsia="Times New Roman" w:hAnsi="Times New Roman"/>
          <w:sz w:val="18"/>
          <w:szCs w:val="18"/>
          <w:color w:val="auto"/>
        </w:rPr>
      </w:pPr>
    </w:p>
    <w:p>
      <w:pPr>
        <w:jc w:val="both"/>
        <w:ind w:left="320" w:hanging="316"/>
        <w:spacing w:after="0" w:line="253"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Ignite Aggregator LP (an investment vehicle owned by certain funds advised by Apax Partners LLP) and funds affiliated with Welsh, Carson, Anderson &amp; Stowe (together, our “Principal Shareholders”) control us. </w:t>
      </w:r>
      <w:r>
        <w:rPr>
          <w:rFonts w:ascii="Times New Roman" w:cs="Times New Roman" w:eastAsia="Times New Roman" w:hAnsi="Times New Roman"/>
          <w:sz w:val="18"/>
          <w:szCs w:val="18"/>
          <w:color w:val="auto"/>
        </w:rPr>
        <w:t>Our Principal Shareholders beneficially own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 of our common stock, which means that together they control the vote of all matters submitted to a vote of our stockholders, including the election of members of the Board of Directors of the Company (the “Board”) and all other corporate decisions. For such period of time as our Principal Shareholders beneficially own a majority of the voting power, they will have significant influence.</w:t>
      </w:r>
    </w:p>
    <w:p>
      <w:pPr>
        <w:spacing w:after="0" w:line="141" w:lineRule="exact"/>
        <w:rPr>
          <w:rFonts w:ascii="Times New Roman" w:cs="Times New Roman" w:eastAsia="Times New Roman" w:hAnsi="Times New Roman"/>
          <w:sz w:val="18"/>
          <w:szCs w:val="18"/>
          <w:color w:val="auto"/>
        </w:rPr>
      </w:pPr>
    </w:p>
    <w:p>
      <w:pPr>
        <w:jc w:val="both"/>
        <w:ind w:left="320" w:hanging="316"/>
        <w:spacing w:after="0" w:line="261"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operating results may fluctuate significantly in the future, which makes our future operating results difficult to predict and could cause such results to fall below any guidance, targets or goals we provide. </w:t>
      </w:r>
      <w:r>
        <w:rPr>
          <w:rFonts w:ascii="Times New Roman" w:cs="Times New Roman" w:eastAsia="Times New Roman" w:hAnsi="Times New Roman"/>
          <w:sz w:val="18"/>
          <w:szCs w:val="18"/>
          <w:color w:val="auto"/>
        </w:rPr>
        <w:t>If the guidance we provide falls short or we are unable to meet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expectations of analysts or investors, the trading price of our common stock could decline substantially.</w:t>
      </w:r>
    </w:p>
    <w:p>
      <w:pPr>
        <w:spacing w:after="0" w:line="200" w:lineRule="exact"/>
        <w:rPr>
          <w:sz w:val="20"/>
          <w:szCs w:val="20"/>
          <w:color w:val="auto"/>
        </w:rPr>
      </w:pPr>
    </w:p>
    <w:p>
      <w:pPr>
        <w:spacing w:after="0" w:line="34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27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may not prove viable, and we may not realize expected results therefrom.</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grow depends upon a number of factors, including results of audits, investigations and ongoing or new remediation efforts, recruiting new participants, finding suitable geographies that have aging populations and viable rate structures, entering into government payor arrangements in new jurisdictions, ensuring compliance with regulatory and contractual requirements, identifying appropriate locations or existing centers, purchasing centers or obtaining leases, completing build-outs of new centers within proposed timelines and budgets and hiring members of our IDTs and other employees.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growth strategy involves a number of risks and uncertainties, including that:</w:t>
      </w:r>
    </w:p>
    <w:p>
      <w:pPr>
        <w:spacing w:after="0" w:line="177" w:lineRule="exact"/>
        <w:rPr>
          <w:sz w:val="20"/>
          <w:szCs w:val="20"/>
          <w:color w:val="auto"/>
        </w:rPr>
      </w:pPr>
    </w:p>
    <w:p>
      <w:pPr>
        <w:jc w:val="both"/>
        <w:ind w:left="640" w:hanging="316"/>
        <w:spacing w:after="0" w:line="250"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sanctions as a result of audits and other regulatory processes and proceedings that could include temporary or permanent suspension of enrollments, debarment or exclusion from participation in federal health care programs, and the revocation of a center’s license and suspension or revocation of required attestations to open de novo centers, which may in turn result in participant attrition and preclude us from opening de novo centers and conducting tuck-in acquisitions. As a result of an ongoing audit of our center in Sacramento, California initiated in 2023 and the subsequent medical review of our center in San Bernardino, California, DHCS revoked the state-required attestations for a planned de novo center in Downey and for the de novo center we acquired in Bakersfield, California. There is no guarantee that such attestations will be reinstated or that similar situations will not occur in the future;</w:t>
      </w:r>
    </w:p>
    <w:p>
      <w:pPr>
        <w:spacing w:after="0" w:line="146"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has intensified due to the availability to seniors of other programs similar to PACE and the ongoing consolidation in the healthcare industry, which may increase our costs to pursue such opportunities;</w:t>
      </w:r>
    </w:p>
    <w:p>
      <w:pPr>
        <w:spacing w:after="0" w:line="15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or retain a sufficient number of new participants to execute our growth strategy or offset costs relating to recruiting new participants or opening de novo centers or executing acquisitions;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sufficient numbers of physicians and other clinical staff, particularly in the current labor market characterized by heightened demand for healthcare personnel and labor shortages;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expanding our business into new states, we may be required to comply with laws and regulations that may differ from states in which we currently operate;</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larger than expected costs and legal, community or other obstacles in the construction and opening of de novo centers, such as the revocation of state-required attestations, or expanding capacity in existing centers; and</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identifying appropriate acquisition targets, be precluded from acquiring targets as a result of audits or sanctions or due to other legal restrictions (e.g. federal or state antitrust laws), may fail to satisfy closing conditions or make investments in acquisitions that we are unable to effectively integrate, involve associated risks or liabilities that we are unable to uncover in advance, or that require greater resources than anticipated and that could include deficient quality of service.</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an element of our growth strategy is to build de novo centers, in fiscal year 2024, we opened two de novo centers in the State of Florida. As we are in the early stages of operation of these two de novo centers in a new geography, there is no guarantee about the timing or our ability to enroll enough participants, hire and train enough skilled and non-skilled staff, develop necessary community relationships, and otherwise ramp up these centers to maturity. If we are unable to increase utilization of capacity at our centers through enrollment, ramp up de novo centers, build new de novo centers, manage our external provider costs, expand into new geographies, or find, evaluate and execute on new business opportunities, we may be unable to grow and our business and results of operations will be materially adversely affected.</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we grow our business and open or acquire new centers, we expect to continue to increase our headcount and to hire or contract with more physicians, nurses and other specialized medical personnel. We will need to continue to hire, train and manage additional qualified information technology, operations and marketing staff, and improve and maintain our technology and information systems to properly manage our growth. If our new hires perform poorly, if we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25" w:name="page26"/>
    <w:bookmarkEnd w:id="25"/>
    <w:p>
      <w:pPr>
        <w:spacing w:after="0" w:line="274" w:lineRule="auto"/>
        <w:rPr>
          <w:sz w:val="20"/>
          <w:szCs w:val="20"/>
          <w:color w:val="auto"/>
        </w:rPr>
      </w:pPr>
      <w:r>
        <w:rPr>
          <w:rFonts w:ascii="Times New Roman" w:cs="Times New Roman" w:eastAsia="Times New Roman" w:hAnsi="Times New Roman"/>
          <w:sz w:val="18"/>
          <w:szCs w:val="18"/>
          <w:color w:val="auto"/>
        </w:rPr>
        <w:t>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will be adversely affected.</w:t>
      </w:r>
    </w:p>
    <w:p>
      <w:pPr>
        <w:spacing w:after="0" w:line="124" w:lineRule="exact"/>
        <w:rPr>
          <w:sz w:val="20"/>
          <w:szCs w:val="20"/>
          <w:color w:val="auto"/>
        </w:rPr>
      </w:pPr>
    </w:p>
    <w:p>
      <w:pPr>
        <w:ind w:right="20" w:firstLine="318"/>
        <w:spacing w:after="0" w:line="304" w:lineRule="auto"/>
        <w:rPr>
          <w:sz w:val="20"/>
          <w:szCs w:val="20"/>
          <w:color w:val="auto"/>
        </w:rPr>
      </w:pPr>
      <w:r>
        <w:rPr>
          <w:rFonts w:ascii="Times New Roman" w:cs="Times New Roman" w:eastAsia="Times New Roman" w:hAnsi="Times New Roman"/>
          <w:sz w:val="17"/>
          <w:szCs w:val="17"/>
          <w:color w:val="auto"/>
        </w:rPr>
        <w:t>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w:t>
      </w:r>
    </w:p>
    <w:p>
      <w:pPr>
        <w:spacing w:after="0" w:line="10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capitalize on growth opportunities, which will negatively impact our business, revenues, results of operations and financial condition.</w:t>
      </w:r>
    </w:p>
    <w:p>
      <w:pPr>
        <w:spacing w:after="0" w:line="13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is partially dependent upon our ability to identify and successfully complete acquisitions, joint ventures and other strategic partnerships.</w:t>
      </w:r>
    </w:p>
    <w:p>
      <w:pPr>
        <w:spacing w:after="0" w:line="107" w:lineRule="exact"/>
        <w:rPr>
          <w:sz w:val="20"/>
          <w:szCs w:val="20"/>
          <w:color w:val="auto"/>
        </w:rPr>
      </w:pPr>
    </w:p>
    <w:p>
      <w:pPr>
        <w:ind w:firstLine="318"/>
        <w:spacing w:after="0" w:line="236" w:lineRule="auto"/>
        <w:rPr>
          <w:sz w:val="20"/>
          <w:szCs w:val="20"/>
          <w:color w:val="auto"/>
        </w:rPr>
      </w:pPr>
      <w:r>
        <w:rPr>
          <w:rFonts w:ascii="Times New Roman" w:cs="Times New Roman" w:eastAsia="Times New Roman" w:hAnsi="Times New Roman"/>
          <w:sz w:val="18"/>
          <w:szCs w:val="18"/>
          <w:color w:val="auto"/>
        </w:rPr>
        <w:t>An element of our growth strategy is to identify, pursue and successfully complete and integrate tuck-in acquisitions, joint ventures and other strategic partnerships to expand our operations. Since the Company was released from sanctions in fiscal year 2023, we have recommenced our efforts to pursue tuck-in acquisitions. In December 2023, we acquired all of the issued and outstanding membership interests of two California-based PACE programs, ConcertoCare PACE of Bakersfield, LLC and ConcertoHealth PACE of Los Angeles, LLC (collectively, “Concerto”). In May 2024, we entered into a joint venture with Orlando Health with respect to the InnovAge Florida PACE – Orlando (“InnovAge Orlando”) center in Florida. We intend to continue pursuing relationships with key stakeholders, existing organizations and other care providers in order to form partnerships in target geographies.</w:t>
      </w:r>
    </w:p>
    <w:p>
      <w:pPr>
        <w:spacing w:after="0" w:line="1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However, acquisitions, joint ventures and other strategic partnerships, involve numerous risks, including failure to consummate negotiated transactions, difficulties in successfully integrating the operations and personnel, navigating the necessary regulatory approval requirements, including securing regulatory safe harbors necessary for healthcare related join ventures under the Anti-Kickback Statute, distraction of management while overseeing the transactions, and disruption of, our existing operations, difficulties in entering new markets in which we have no or limited direct prior experience, and difficulties in achieving the synergies we anticipated. For example, in 2023, CMS and DHCS initiated a routine audit of our Sacramento, California center. Subsequently, DHCS notified us it would also be conducting a targeted medical review of our center in San Bernardino, and that it would be suspending its state-required attestations in support of the planned de novo centers in California, including for one of the acquired centers in Bakersfield, California. Until such time as the attestations are reinstated, we are precluded from opening such center. In addition, we incur costs associated with potential acquisitions that we pursue or fail to close, including as a result of litigation related to a failed transaction. We also may need to expend resources to ensure target and acquired centers are operating in compliance with regulatory and contractual requirements, as well as any corrective action plans. Any failure to select suitable opportunities at fair prices, conduct appropriate due diligence, acquire and successfully integrate the acquired center, including particularly when acquired centers operate in new geographic markets, could materially and adversely impact our growth strategies, financial condition and results of operations.</w:t>
      </w:r>
    </w:p>
    <w:p>
      <w:pPr>
        <w:spacing w:after="0" w:line="1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transactions may also cause us to significantly increase our interest expense, leverage and debt service requirements if we incur additional debt to pay for an acquisition or investment, issue common stock that would dilute our current stockholders’ percentage ownership or incur asset write-offs and restructuring costs and other related expenses that could have a material adverse impact on our operating results. Acquisitions, joint ventures and strategic investments also involve numerous other risks, including potential exposure to assumed litigation, as well as undetected internal control, regulatory or other issues, or additional costs not anticipated at the time the transaction was completed.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participants and retain existing participants, our revenue growth will be adversely affected.</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increase our revenue, our business strategy includes expanding the number of centers and participants in our network. In order to support such growth, we must recruit and retain a sufficient number of new participants. Our ability to do so was affected in fiscal years 2022 and 2023 as a result of the enrollment sanctions we were subject to in the states of California and Colorado, which have had and may continue to have an impact on our reputation.</w:t>
      </w:r>
    </w:p>
    <w:p>
      <w:pPr>
        <w:spacing w:after="0" w:line="13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focused on frail, dual-eligible senior population and face competition from other healthcare providers and payors in the recruitment of potential participants. Therefore, we must demonstrate that our services provide a viable solution for potential participants. If we are unable to convince the frail, dual-eligible senior population of the benefits of the InnovAge Platform or if potential or existing participants prefer the healthcare provider model of one of our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competitors, we may not be able to effectively implement our growth strategy, which depends on our ability to attract new participants.</w:t>
      </w:r>
    </w:p>
    <w:p>
      <w:pPr>
        <w:spacing w:after="0" w:line="16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7"/>
          <w:szCs w:val="17"/>
          <w:color w:val="auto"/>
        </w:rPr>
        <w:t>In addition participant enrollment for PACE is ongoing each month and requires states to verify eligibility, a process which can result in delays in enrollment. Since the national emergency and public health emergency declarations related to COVID-19 expired, we have experienced an increase in gaps of eligibility with redetermination applications. While participants continue to receive care and remain enrolled with us during this time, the effect of such delays temporarily halts Medicaid revenue related to any closed application and simultaneously increases our risk of revenue recovery. Even though our results of operations have not suffered a material adverse effect from these delays, there is no guarantee that further delays may not adversely impact our results.</w:t>
      </w:r>
    </w:p>
    <w:p>
      <w:pPr>
        <w:spacing w:after="0" w:line="14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inability to identify and recruit new eligible participants and retain existing participants has and could continue to harm our ability to execute our growth strategy and has and may continue to have a material adverse effect on our business operations and financial position.</w:t>
      </w:r>
    </w:p>
    <w:p>
      <w:pPr>
        <w:spacing w:after="0" w:line="12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overall business results have been and we expect will continue to be impacted by ongoing macroeconomic and industry-related challenges, including labor shortages, labor competition and inflation.</w:t>
      </w:r>
    </w:p>
    <w:p>
      <w:pPr>
        <w:spacing w:after="0" w:line="121" w:lineRule="exact"/>
        <w:rPr>
          <w:sz w:val="20"/>
          <w:szCs w:val="20"/>
          <w:color w:val="auto"/>
        </w:rPr>
      </w:pPr>
    </w:p>
    <w:p>
      <w:pPr>
        <w:ind w:right="80" w:firstLine="318"/>
        <w:spacing w:after="0" w:line="233" w:lineRule="auto"/>
        <w:rPr>
          <w:sz w:val="20"/>
          <w:szCs w:val="20"/>
          <w:color w:val="auto"/>
        </w:rPr>
      </w:pPr>
      <w:r>
        <w:rPr>
          <w:rFonts w:ascii="Times New Roman" w:cs="Times New Roman" w:eastAsia="Times New Roman" w:hAnsi="Times New Roman"/>
          <w:sz w:val="18"/>
          <w:szCs w:val="18"/>
          <w:color w:val="auto"/>
        </w:rPr>
        <w:t>Macroeconomic and industry challenges, including labor shortages, labor competition and high inflation, have impacted and we expect will continue to impact our business operations and our overall business results. The healthcare sector continues to experience a complex set of challenges in hiring additional professionals due to higher demand for healthcare services and systemic challenges related to workforce training and the pipeline of qualified professionals. Furthermore, high inflation has increased the cost of living, and consequently, wage pressure for healthcare professionals, which has contributed to an increasingly competitive labor market. We compete with other healthcare providers, primarily hospitals and other centers, in attracting physicians, nurses and medical staff to support our centers, and recruiting and retaining qualified management and support personnel responsible for the daily operations of each of our centers.</w:t>
      </w:r>
    </w:p>
    <w:p>
      <w:pPr>
        <w:spacing w:after="0" w:line="144" w:lineRule="exact"/>
        <w:rPr>
          <w:sz w:val="20"/>
          <w:szCs w:val="20"/>
          <w:color w:val="auto"/>
        </w:rPr>
      </w:pPr>
    </w:p>
    <w:p>
      <w:pPr>
        <w:ind w:firstLine="318"/>
        <w:spacing w:after="0" w:line="235" w:lineRule="auto"/>
        <w:rPr>
          <w:sz w:val="20"/>
          <w:szCs w:val="20"/>
          <w:color w:val="auto"/>
        </w:rPr>
      </w:pPr>
      <w:r>
        <w:rPr>
          <w:rFonts w:ascii="Times New Roman" w:cs="Times New Roman" w:eastAsia="Times New Roman" w:hAnsi="Times New Roman"/>
          <w:sz w:val="18"/>
          <w:szCs w:val="18"/>
          <w:color w:val="auto"/>
        </w:rPr>
        <w:t>Additionally, on October 13, 2023, California passed into law California Senate Bill No. 525 (“SB 525”), which would raise the minimum wage for many California healthcare workers. SB 525 becomes effective when certain financial metrics within the State of California are met. Even though SB 525 is not yet effective and PACE centers are not covered by it, many of our contractors and other third-party providers are expected to be impacted by SB 525, and we believe that due to this and other macroeconomic factors, our California centers have received provider requests to increase rates to cover their increased costs. In addition, as a result of competition generated by SB 525, we have increased our wages for healthcare workers in the California market. Because the vast majority of our revenue consists of prospective monthly capitated, or fixed, payments per participant, our ability to pass along increased costs is limited. In particular, if labor costs rise at an annual rate greater than our net annual consumer price index basket update from Medicare, our results of operations and cash flows will likely be adversely affected.</w:t>
      </w:r>
    </w:p>
    <w:p>
      <w:pPr>
        <w:spacing w:after="0" w:line="141" w:lineRule="exact"/>
        <w:rPr>
          <w:sz w:val="20"/>
          <w:szCs w:val="20"/>
          <w:color w:val="auto"/>
        </w:rPr>
      </w:pPr>
    </w:p>
    <w:p>
      <w:pPr>
        <w:ind w:right="60" w:firstLine="318"/>
        <w:spacing w:after="0" w:line="238" w:lineRule="auto"/>
        <w:rPr>
          <w:sz w:val="20"/>
          <w:szCs w:val="20"/>
          <w:color w:val="auto"/>
        </w:rPr>
      </w:pPr>
      <w:r>
        <w:rPr>
          <w:rFonts w:ascii="Times New Roman" w:cs="Times New Roman" w:eastAsia="Times New Roman" w:hAnsi="Times New Roman"/>
          <w:sz w:val="18"/>
          <w:szCs w:val="18"/>
          <w:color w:val="auto"/>
        </w:rPr>
        <w:t>Cost of care and related cost per participant increased for fiscal year 2024 compared to 2023, partially as a result of increased salaries, wages and benefits associated with increased headcount, higher wage rates and other factors. Additionally, external provider costs increased in fiscal year 2024 compared to 2023 as a result of annual increases in assisted living and nursing facility unit cost and general medical inflation. To date, we believe that macroeconomic and industry conditions, including labor shortages and inflation, have not had a material effect on our operating results. However, there can be no assurance that continued challenges will not have an adverse impact on our operating results and financial condition.</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if labor market conditions continue to disrupt our ability to recruit healthcare professionals , we may not be able to execute our growth plan and grow capacity in our existing centers or open de novo centers or we may have to do so at costs higher than originally budgeted, which, in turn, could increase our capital needs during a time of high interest rates and when conditions in the credit and capital markets are volatile.</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periods of high unemployment, governmental entities often experience budget deficits as a result of increased costs and lower than expected tax collections. These budget deficits at federal, state and local government entities have decreased, and may continue to decrease, spending for health and human service programs, including Medicare, Medicaid, PACE and similar programs, which represent nearly all of the payor sources for our centers and which may have a material effect on our results of operations and financial condition.</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faced and continue to face inspections, reviews, audits and investigations under federal and state government programs and contracts. These audits require corrective actions and have resulted in adverse findings that have negatively affected and continue to affect our business, including our results of operations, liquidity, financial condition and reputation.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27" w:name="page28"/>
    <w:bookmarkEnd w:id="27"/>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result of our PACE contracts with CMS and state government agencies, state licenses, and participation in Medicaid, we are regularly subject to, and will continue to be subject to, various routine and non-routine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Starting in 2021, we underwent federal and state audits in our centers in California, Colorado and New Mexico. Based on deficiencies detected in the audits, CMS and regulatory authorities in the states of California and Colorado suspended new enrollments at our Sacramento center and our centers in Colorado. In addition, as a result of the enrollment sanctions, various states suspended our ability to open de novo centers or we committed to proactively pause steps with respect to planned de novo centers. Largely as a result of these sanctions and actions, our census decreased during the sanction period.</w:t>
      </w:r>
    </w:p>
    <w:p>
      <w:pPr>
        <w:spacing w:after="0" w:line="127"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We were released from the enrollment sanctions in Colorado and California in 2023, and resumed enrollments in those states as well as resumed activities to open de novo centers in other states. In October 2023, CMS and the DHCS conducted a joint routine audit of our Sacramento center and DHCS is currently conducting a medical review of our San Bernardino center. In response to both of these matters, DHCS suspended its state-required attestations for our planned de novo centers in California. In April 2024, CMS officially closed its portion of the Sacramento audit. DHCS’s process is ongoing. Audits have and will continue to increase our regulatory compliance costs and have required and may require further change to our business practices, which could negatively impact our participant and revenue growth. Managing audits, even if we achieve favorable outcomes, is costly, time-consuming and diverts management’s attention from our business.</w:t>
      </w:r>
    </w:p>
    <w:p>
      <w:pPr>
        <w:spacing w:after="0" w:line="1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centers will continue to be subject to federal and state audits, including our centers that have undergone the recent audits described above, as well as the centers that did not and centers we open or acquire in the future. Even though we believe we are applying best practices learned from our recent audits to all our centers, there is no guarantee that future audits will not find deficiencies similar to, or different from, the ones found in connection with the recent audits.</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general, inspections, reviews, audits, requests for information or investigations with adverse findings, and in particular the audits described above, have resulted in and may further result in:</w:t>
      </w:r>
    </w:p>
    <w:p>
      <w:pPr>
        <w:spacing w:after="0" w:line="137" w:lineRule="exact"/>
        <w:rPr>
          <w:sz w:val="20"/>
          <w:szCs w:val="20"/>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enrollment sanctions in the affected center(s), as was the case with our Sacramento, California center and our centers in the State of Colorado;</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refunding amounts we have been paid by the government;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corrective action plans, fines, penalties, training, policies and procedures, monitoring, and other requirements;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suspension of payments;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or exclusion from participation in federal healthcare programs;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self-disclosure of violations to applicable regulatory authorities;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revocation of a center’s license or suspension of state attestations to open de novo centers;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certain rights under, or termination of, our contracts with government payors.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Any of the results noted above could have further material adverse effects on our business and operating results. Furthermore, the legal, document production and other costs associated with complying with these inspections, reviews, audits, requests for information or investigations is significant. If we are unable to effectively remediate the deficiencies raised by any audits, implement corrective action plans, or otherwise satisfy the regulators’ concerns, we could be subject to new sanctions, and our business, financial results and operations could be adversely impacted.</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enforcement actions and litigation, malpractice and privacy disputes, which are costly to defend and could materially harm our business and results of operations.</w:t>
      </w:r>
    </w:p>
    <w:p>
      <w:pPr>
        <w:spacing w:after="0" w:line="10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are party to lawsuits and legal proceedings in the normal course of business from participants, employees, or other third parties for various actions. These matters are often expensive and disruptive to normal business operations. We face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28" w:name="page29"/>
    <w:bookmarkEnd w:id="28"/>
    <w:p>
      <w:pPr>
        <w:jc w:val="both"/>
        <w:spacing w:after="0" w:line="233" w:lineRule="auto"/>
        <w:rPr>
          <w:sz w:val="20"/>
          <w:szCs w:val="20"/>
          <w:color w:val="auto"/>
        </w:rPr>
      </w:pPr>
      <w:r>
        <w:rPr>
          <w:rFonts w:ascii="Times New Roman" w:cs="Times New Roman" w:eastAsia="Times New Roman" w:hAnsi="Times New Roman"/>
          <w:sz w:val="18"/>
          <w:szCs w:val="18"/>
          <w:color w:val="auto"/>
        </w:rPr>
        <w:t>and may in the future face allegations, lawsuits, including class actions, and regulatory inquiries, requests for information, audits and investigations regarding care and services provided to participants, the FCA, data privacy, security, labor and employment, consumer protection or intellectual property. We also have faced and may in the future face allegations or litigation related to our potential and completed acquisitions, securities issuances or business practices, including public disclosures about our business. We are currently party to a putative class action complaint alleging violations of the Securities Act and the Exchange Act for making allegedly inaccurate and misleading statements and omissions in connection with our IPO, and a stockholder lawsuit asserting derivative claims for breach of fiduciary duty generally relating to alleged failures by the defendants to take remedial actions to address the matters that resulted in sanctions by CMS at certain of our centers and alleged misstatements in our public filings relating to those matters. We are currently unable to predict the outcome of these matters. See Part I, Item 3 “Legal Proceedings” for more information.</w:t>
      </w:r>
    </w:p>
    <w:p>
      <w:pPr>
        <w:spacing w:after="0" w:line="1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Litigation and regulatory proceedings are protracted and expensive, and the results are difficult to predict. Certain of these matters include claims for substantial or indeterminate amounts of damages and may include claims for injunctive relief. Additionally, our litigation costs are and will continue to be significant. Adverse outcomes with respect to any of the legal proceedings described above or other litigation may result in significant settlement costs or judgments, penalties, fines and sanctions. For example, in the fourth quarter of fiscal year 2024, the Company settled a wage and hour class action lawsuit in the State of California for a cash payment of $1.3 million. Managing legal proceedings, regulatory inquiries, litigation and audits, even if we achieve favorable outcomes, is costly, time-consuming and diverts management’s attention from our business.</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results of regulatory proceedings, investigations, inquiries, litigation, claims, and audits cannot be predicted with certainty, and determining reserves for pending litigation and other legal, regulatory and audit matters requires significant judgment and assumptions.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4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We are currently unable to predict the outcome of this investigation.</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of California, Colorado, New Mexico, Pennsylvania, and Virginia. In December 2022, the Company received a supplemental civil investigative demand from the DOJ requesting supplemental information on the same matters. We continue to fully cooperate with the DOJ. We are currently unable to predict the outcome of this investigation.</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our business exposes us to potential medical malpractice, professional negligence or other related actions or claims that are inherent in the provision of healthcare services.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4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whether or not they have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Under our PACE contracts, we assume all of the risk that the cost of providing services will exceed our compensation.</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Approximately 99.9% and 99.8% of our revenue for the years ended June 30, 2024 and 2023, respectively, was derived from capitation agreements with government payors in which we receive fixed PMPM fees. While there are variations specific to each agreement, we generally contract with government payors to receive a fixed PMPM fee to provide or manage all healthcare services a participant may require while assuming financial responsibility for the totality of our participants’ healthcare expenses. This type of contract is often referred to as an “at-risk” or a “capitation” contract.</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To the extent that our participants require more care than is anticipated and/or the cost of care increases, aggregate fixed capitation payments may be insufficient to cover the costs associated with treatment. The risk pool of our population became more acute beginning in fiscal year 2023, as we were not able to replenish our population mix with newer, lower-acuity participants due to enrollment sanctions. As a result of this dynamic, together with increased salaries, wages and benefits, increased fleet and contract transportation costs, annual increases in assisted living and nursing facility unit cost and general medical inflation, our external provider costs and cost of care, excluding depreciation and amortization, represented approximately 83% of our revenue in the fiscal year 2024. If medical costs and expenses exceed the underlying capitation payment received, we will not be able to correspondingly increase our capitated payment and we could suffer losses with respect to such agreements.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Changes in our anticipated ratio of medical expense to revenue can significantly impact our financial results. Accordingly, the failure to adequately predict and control medical costs and expenses, execute or realize the benefits of our clinical value initiatives,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that increase such expenses, such as emergency room visits or preventable hospital admissions.</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Historically, our medical costs and expenses as a percentage of revenue have fluctuated. Factors that may cause medical expenses to exceed estimates include:</w:t>
      </w:r>
    </w:p>
    <w:p>
      <w:pPr>
        <w:spacing w:after="0" w:line="124"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status of participants requiring higher levels of care, such as nursing home care or higher incidents of hospitalization;</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utilization of new or existing healthcare services;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frequent catastrophic medical cases (e.g. transplants);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healthcare services and supplies, whether as a result of inflation, wage increases, purchases of vaccines and personal protective equipment as a result of a pandemic or epidemic, other health emergencies, or otherwise;</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new high-cost medications to treat conditions that are common in our population, such as lecanemab for Alzheimer’s Dementia;</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mandated benefits or other changes in healthcare laws, regulations and practices;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attributable to specialist physicians, hospitals and ancillary providers;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demographics of our participants and medical trends;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claims disputes with providers, hospitals or other service providers;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catastrophes, health emergencies, including epidemics or pandemics or acts of terrorism; and</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government payor payments.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and expect to continue experiencing increased costs and expenditures in the future.</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fiscal year 2024, we continued several initiatives intended to lower certain of our costs, including limiting corporate staffing and certain other expenses, effecting a reduction in workforce, and optimizing working capital. However, we have made and expect to continue making significant investments in growing our business and increasing our participant base,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30" w:name="page31"/>
    <w:bookmarkEnd w:id="30"/>
    <w:p>
      <w:pPr>
        <w:jc w:val="both"/>
        <w:spacing w:after="0" w:line="250" w:lineRule="auto"/>
        <w:rPr>
          <w:sz w:val="20"/>
          <w:szCs w:val="20"/>
          <w:color w:val="auto"/>
        </w:rPr>
      </w:pPr>
      <w:r>
        <w:rPr>
          <w:rFonts w:ascii="Times New Roman" w:cs="Times New Roman" w:eastAsia="Times New Roman" w:hAnsi="Times New Roman"/>
          <w:sz w:val="18"/>
          <w:szCs w:val="18"/>
          <w:color w:val="auto"/>
        </w:rPr>
        <w:t>building capabilities to increase our sophistication as a payor to drive clinical value, improve outcomes, and manage cost trends, expanding our operations, hiring additional employees for growing or new centers, introducing or improving technology, and operating as a public company. As a result of these increased expenditures, we may not succeed in increasing our revenue sufficiently to improve our profit margins. We finance our operations principally from revenue from our participant services and the incurrence of indebtedness. We may not continue to generate positive cash flow from operations or have access to sufficient capital, and our variable results may make it difficult for you to rely on our historical results as indicative of future performance. We have encountered and will continue to encounter risks and difficulties frequently experienced by growing companies in rapidly changing and highly regulated industries, including increasing expenses as we continue to grow our business.</w:t>
      </w:r>
    </w:p>
    <w:p>
      <w:pPr>
        <w:spacing w:after="0" w:line="14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operating expenses have and we expect them to continue to increase over the next several years as we continue to hire additional personnel, expand our operations and infrastructure, and continue to provide services to an increasing number of participants. If we are not able to execute or realize the benefits of our clinical value initiatives, including as a result of our EMR system, Epic, not operating as expected, our profitability could continue to decline. In addition to the expected costs to grow our business, we also expect to continue to incur compliance costs, as a result of audits and maintaining high quality of care across our centers, as well as additional legal, accounting and other expenses as we continue to operate as a public company. These investments may be more costly than we expect, and if we do not achieve the benefits anticipated from these investments, or if the realization of these benefits is delayed, our profitability could continue to decline.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Accordingly, we may not be able to be profitable or improve our income in the future, which could negatively impact the value of our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operations are dependent upon a limited number of government payors, particularly Medicare and Medicaid.</w:t>
      </w:r>
    </w:p>
    <w:p>
      <w:pPr>
        <w:spacing w:after="0" w:line="19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operations are dependent on a limited number of government payors, particularly Medicare and Medicaid, with whom we directly contract to provide services to participants. We generally manage our contracts on a state-by-state basis, entering into a separate contract in each state. When aggregating the revenue associated with Medicare and Medicaid by state, Colorado, California and Virginia accounted for a total of approximately 84.3% and 83.0% of our capitation revenue for the years ended June 30, 2024 and 2023, respectively. We believe that majority of our revenues will continue to be derived from a limited number of key government payors, which may terminate their contracts with us upon the occurrence of certain events, including as a result of inspections, reviews, audits, requests for information or investigations with adverse findings. The sudden loss of any of our government contracts or the renegotiation of any of such contracts could adversely affect our operating results. In the ordinary course of business, we engage in active discussions and renegotiations with government payors in respect of the services we provide and the terms of our agreements. As the states respond to market dynamics and financial pressures, and as government payors make strategic budgetary decisions in respect of the programs in which they participate, certain government payors may seek to renegotiate or terminate their agreements with us. Any reduction in the budgetary appropriations for our services, whether as a result of fiscal constraints due to recession, or economic downturn, emergency situations such as the COVID-19 pandemic, changes in policy or otherwise, could result in a reduction in our capitated fee payments, changes to the scope of services and possibly loss of contracts and could negatively impact our revenues, business and prospects. See Item 1A. Risk Factors, “Risks Related to Our Business—A pandemic, epidemic or outbreak of an infectious disease in the United States or worldwide, such as COVID-19, as well as weather and other factors have affected, and could in the future adversely affect our business” and “Risks Related to Our Business—We conduct a significant percentage of our operations in the State of Colorado and, as a result, we are particularly susceptible to any reduction in budget appropriations for our services or any other adverse developments in that state.”</w:t>
      </w:r>
    </w:p>
    <w:p>
      <w:pPr>
        <w:spacing w:after="0" w:line="15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we rely on a limited number of government-funded agencies, namely CMS and state Medicaid agencies, for a significant portion of our revenues, we depend on federal funding, as well as the financial condition of the states in which we operate, and each state’s commitment to its participation in the PACE program. Government-funded healthcare programs in the states in which we operate face a number of risks, including higher than expected healthcare costs and lack of predictability of tax basis and budget needs. If the financial condition of the states in which we operate declines, our credit risk could increase.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1" w:name="page32"/>
    <w:bookmarkEnd w:id="31"/>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Reductions in PACE reimbursement rates or changes in the rules governing PACE programs could have a material adverse effect on our financial condition and results of operations.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receive nearly all of our revenue through the PACE program, which accounted for 99.9% and 99.8% of our revenue for the years ended June 30, 2024 and 2023, respectively. As a result, our operations are dependent on government funding levels for PACE programs. Any changes that limit or reduce general PACE funding, such as reductions in or limitations of reimbursement amounts or rates under programs, reductions in funding of programs, expansion of benefits, services or treatments under programs without adequate funding, could have a material adverse effect on our business, results of operations, financial condition and cash flows.</w:t>
      </w:r>
    </w:p>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PACE programs and their respective reimbursement rates, payment structures and rules are subject to frequent change. These include statutory and regulatory changes, rate adjustments (including retroactive adjustments), administrative or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Implementation of these and other types of measures has in the past and could in the future result in substantial reductions in our revenue and operating margins. Legislation enacted in 2011 requires CMS to sequester or reduce all Medicare payments, including payments to PACE organizations, by 2% per year for a period of years. We cannot predict what other deficit reduction, other payment reduction or budget enforcement initiatives may be proposed by Congress, which could impact our business, including whether Congress will attempt to increase, restructure or suspend sequestration.</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year, CMS establishes the Medicare PACE benchmark payment rates by county for the following calendar year. Because nearly all of our revenue is through the PACE program, any negative changes to the PACE benchmark payment rates could have a material adverse effect on our business, results of operations, financial condition and cash flows. In addition, our PACE revenues may become volatile in the future, which could have a material adverse impact on our business, results of operations, financial condition and cash flows.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Reductions in reimbursement rates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Recent legislative, judicial and executive efforts to enact further healthcare reform legislation have caused the future state of reforms under the ACA and many core aspects of the current U.S. healthcare system to be unclear. While specific changes and their timing are not yet apparent, enacted reforms and future legislative, regulatory, judicial, or executive changes, particularly any changes to the PACE program, could have a material adverse effect on our business, results of operations, financial condition and cash flows.</w:t>
      </w:r>
    </w:p>
    <w:p>
      <w:pPr>
        <w:spacing w:after="0" w:line="1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claims and encounter records that we submit to government payors involve data that support the RAF scores attributable to participants. These RAF scores determine the payment we are entitled for the provision of medical care to such participants. The data submitted to CMS is based on diagnosis codes and medical charts that our employed, contracted, and noncontracted providers identify, record and prepare. Any issues with recording and documenting identified medical conditions, such as those that were present during the COVID-19 pandemic and could be presented during a future pandemic or epidemic, could adversely impact Medicare RAF scores and our resulting revenue for future periods. CMS periodically audits PACE organizations’ risk adjustment submissions. The submission of inaccurate, incomplete or erroneous data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could be required to refund a portion of the revenue that we received, which could have a material adverse effect on our business, results of operations, financial condition and cash flows. Historically, these true-up payments typically occur between May and August, but the timing of these payments is determined by CMS, and we have neither visibility nor control over the timing of such payments. From time to time, we may experience reconciliation issues as government payors modify or adopt new systems.</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CMS seeks repayment from us for payment adjustments as a result of its audits, we could also be subject to liability for penalties for inaccurate or unsupportable RAF scores provided by us or our providers. In addition, we could be liable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for penalties to the federal government under the FCA, which may include per claim penalties, plus up to three times the amount of damages caused by each false claim, which can be as much as the amounts received directly or indirectly from the government for each such false claim. As of February 12, 2024, the minimum False Claims Act penalty increased from $13,508 to $13,946 per claim. The maximum penalty has increased from $27,018 to $27,894 per claim. There is a high potential for substantial penalties in connection with any alleged FCA violations.</w:t>
      </w:r>
    </w:p>
    <w:p>
      <w:pPr>
        <w:spacing w:after="0" w:line="14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Elements of the risk adjustment mechanism continue to be challenged, reevaluated, and revised by the U.S. DOJ, the OIG, and CMS. On February 1, 2023, CMS published the Medicare Advantage RADV Program Final Rule, which took effect on April 3, 2023. The final rule includes major updates to the Risk Adjustment Data Validation (“RADV”) audit methodology used by CMS to address overpayments to MA plans based on the submission of unsupported risk-adjusting diagnosis codes, which are used to determine payments under MA. Most notably, the final rule allows CMS to extrapolate RADV audit findings beginning with payment year 2018. CMS intends to initiate audits with the new methodology in calendar year 2025 beginning with payment year 2018. If CMS recovers overpayments from MA plans, those plans may seek to recover payments from us that the plans believe are attributable to risk adjustment data.</w:t>
      </w:r>
    </w:p>
    <w:p>
      <w:pPr>
        <w:spacing w:after="0" w:line="1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can be no assurance that a PACE organization, including us, will not be randomly selected or targeted for review by CMS or that the outcome of such a review will not result in a material adjustment in our revenue and profitability, even if the information we submitted to CMS is accurate and supportable. Substantial changes in the risk adjustment mechanism, including changes that result from enforcement or audit actions, could materially affect our capitated reimbursement.</w:t>
      </w:r>
    </w:p>
    <w:p>
      <w:pPr>
        <w:spacing w:after="0" w:line="1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Renegotiation, non-renewal or termination of capitation agreements with government payors could have a material adverse effect on our business, results of operations, financial condition and cash flows.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most of our capitation agreements with government payors, the state is generally permitted to adjust certain terms of the agreements from time to time. If a government payor exercises its right to adjust certain terms of the agreements, we are generally allowed a period of time to object to such adjustment. If we enter into 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14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contracts with government payors may be terminated to the extent that state or federal funds are not appropriated at sufficient levels to fund our contracts or PACE programs in general. Certain of our contracts are terminable immediately upon the occurrence of certain events. Government payors may terminate, suspend or cancel our contracts, in whole or in part, for cause in the event of our noncompliance with the terms, conditions or responsibilities under the contracts, or if we are debarred or suspended from providing services by state or federal government authorities. CMS may also impose sanctions for noncompliance with regulatory or contractual requirements, including the suspension of enrollment of participants, the occurrence of which would adversely affect our operating results and our ability to pursue our growth strategies. If any of our contracts with government payors are terminated or if the government payors seek to renegotiate their contract rates with us, we may suffer a significant loss of revenue, which may adversely affect our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federal efforts to reduce healthcare spending could adversely affect our financial condition and results of operations.</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Most of our participants are dually-eligible, meaning they are qualified for coverage under both Medicare and Medicaid when enrolled in our PACE program, and nearly all our revenue is derived from government payors. Medicaid is a joint federal and state funded program for healthcare services for low income as well as certain higher-income individuals who qualify for nursing home level of care. Under broad federal criteria, states establish rules for eligibility, services and payment. PACE programs are administered at the state level and are financed by both state and federal funds. Medicaid spending has increased rapidly in recent years, becoming a significant component of state budgets. This increase, combined with slower state revenue growth, has led both the federal government and many states to institute measures aimed at controlling the growth of Medicaid spending, and in some instances reducing aggregate Medicaid spending. Due to budget constraints, including resulting from a potential recession, we may experience negative Medicaid capitated rate payment pressure from certain states where we operate, such as Colorado, where we conduct a significant percentage of our operations.</w:t>
      </w:r>
    </w:p>
    <w:p>
      <w:pPr>
        <w:spacing w:after="0" w:line="15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part of past attempts to repeal, replace or modify the ACA and as a means to reduce the federal budget deficit, 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are implemented, we cannot predict whether the amount of fixed federal funding to the states will be based 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3" w:name="page34"/>
    <w:bookmarkEnd w:id="33"/>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current payment amounts, or if it will be based on lower payment amounts, which would negatively impact those states that expanded their Medicaid programs in response to the ACA. We expect state and federal efforts to reduce healthcare spending to continue for the foreseeable future.</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future success depends largely upon the services of our senior management team and other key employees. We rely on our leadership team in the areas of operations, provision of medical services, information technology and security, marketing, and general and administrative functions. Changes to our business strategy resulting from senior executive officer transitions could have a disruptive impact on our ability to implement our business strategy and could have a material adverse effect on our business.</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 team, or other key employees, could harm our business. Changes in our executive management team may also cause disruptions in, and harm to,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Labor relations matters could have a material adverse effect on our business, reputation, prospects, results of operations and financial condition.</w:t>
      </w:r>
    </w:p>
    <w:p>
      <w:pPr>
        <w:spacing w:after="0" w:line="16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7"/>
          <w:szCs w:val="17"/>
          <w:color w:val="212529"/>
        </w:rPr>
        <w:t>In fiscal year 2024, the nurses in our Pennsylvania centers voted to unionize and collective bargaining commenced in late 2024. These employees represent approximately 1% of our total workforce. Even though we are currently unaware of other unionization efforts, it is possible that additional employees in our Pennsylvania centers or in other geographies may follow. As we negotiate collective bargaining agreements for the two new bargaining units at the Pennsylvania centers, and any other units that may organize in the future, employees may threaten and/or engage in work stoppages and strikes, and our labor costs may continue to increase as a result. The unavailability of staff, or the inability of the Company to control labor costs related to these matters and future efforts to unionize, could have a material adverse effect on our business, reputation, prospects, results of operations and financial condition.</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certain of our suppliers do not meet our needs, if we are not reimbursed or adequately reimbursed for medical products we purchase or if we are unable to effectively access new technology or medical products, our ability to effectively provide the services we offer could be negatively impacted.</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as a result of price increases, a product recall, product shortage or other supply chain issues, or a dispute, and we are not able to find adequate alternative sources, our business, results of operations, financial condition and cash flows could be materially adversely impacted.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we could face attrition with respect to our participants or health care providers and other personnel and other negative consequences which could have a material adverse effect on our business, results of operations, financial condition and cash flows.</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conduct a significant percentage of our operations in the State of Colorado and, as a result, we are particularly susceptible to regulatory issues and reduction in budget appropriations for our services or any other adverse developments in that state.</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fiscal year ended June 30, 2024 and 2023, 23.7% and 23.6% of our total revenues were derived from contracts with government agencies in the State of Colorado. Accordingly, any regulatory issues and developments in the State, such as the enrollment sanctions we were subject to in fiscal years 2022 and 2023, a reduction in Colorado’s budgetary appropriations for our services, whether as a result of fiscal constraints due to recession, emergency situations, such as the COVID-19 pandemic, changes in policy or otherwise, have and could in the future result in a reduction in our capitated fee payments and possibly the loss of contracts, and materially adversely impact our results.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4" w:name="page35"/>
    <w:bookmarkEnd w:id="34"/>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operations effectively, we may be unable to execute our business plan, maintain effective levels of service and participant satisfaction or adequately address competitive challenges.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experienced, and may continue to experience, organizational change and growth, which has placed, and may continue to place, significant demands on our management and our operational and financial resources. Additionally, our organizational structure continues to become more complex as we grow and expand our operational, financial and management controls, as well as our reporting systems and procedures as a public company. We may require significant capital expenditures and the allocation of valuable management resources to grow and evolve our operational and financial operations and grow. We must ensure our personnel have the necessary licenses and competencies and continue to effectively train and manage our employees. We will be unable to manage our business effectively if we are unable to alleviate the strain on resources caused by growth in a timely and efficient manner. As we expect that our participant base will continue to grow following the lifting of sanctions in the states of California and Colorado, the planned expansion of capacity of our existing de novo centers, the opening of de novo centers, and the execution of tuck-in acquisitions, we will need to maintain best practices throughout all our centers. If we fail to effectively manage our potential growth and change or fail to ensure that the level of care and services provided by our employees complies with regulatory and contractual requirements, and levels of patient service and satisfaction, our brand and reputation, could suffer, adversely affecting our ability to attract and retain participants and employees and lead to the need for corrective actions or sanctions.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 and, if we are not able to compete effectively, our business could be harmed.</w:t>
      </w:r>
    </w:p>
    <w:p>
      <w:pPr>
        <w:spacing w:after="0" w:line="19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We compete directly with national, regional and local providers of healthcare for participants and clinical providers, including new or growing participants and providers. We also compete directly with payors and other alternate managed care programs for participants.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ability to compete successfully varies from location to location and depends on a number of factors, including the number of payors who run competitive programs in the local market, our local reputation for quality participant care, the commitment and expertise of our medical staff or contracted healthcare providers, our local service offerings and community programs, the cost of care in each locality, and the physical appearance, location and condition of our centers. If we are unable to attract participants to our centers our revenue and profitability will be adversely affected. Some of our competitors may have greater brand recognition and be more established in their respective communities than we are, and may have greater financial and other resources than we have. Further, our current or potential competitors may be acquired by third parties with greater available resources. Competing providers may also offer different programs or services than we do, which, combined with the foregoing factors, may result in our competitors being more attractive to our current participants, potential participants and referral sources. For example, additional offerings by MA and other competitors during 2024 resulted in higher than expected disenrollments during fiscal year 2024. Furthermore, while we budget for routine capital expenditures at our centers to keep them competitive in their respective markets, to the extent that competitive forces cause those expenditures to increase in the future, our financial condition may be negatively affected. In addition, our contracts with government payors are not exclusive for PACE programs in California, and competitors in California could seek to establish contracts with the state Medicaid agency and CMS to serve PACE eligible participants in our service areas. For example, the service area for our Sacramento, California center overlaps with an existing PACE program in the region. Additionally, as we expand into new geographies, such as Florida,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healthcare services, and this competition may have a material adverse effect on our business operations and financial position.</w:t>
      </w:r>
    </w:p>
    <w:p>
      <w:pPr>
        <w:spacing w:after="0" w:line="35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presence is currently limited to Colorado, California, Florida, New Mexico, Pennsylvania and Virginia, and we may not be able to successfully establish a presence in new geographic markets.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fiscal year 2024, we operated in Colorado, California, New Mexico, Pennsylvania and Virginia, and in fiscal year 2024, we opened two de novo centers in Florida. For the year ended June 30, 2024, almost half of our revenue was driven by our businesses in Colorado. As a result, our exposure to many of the risks described in these risk factors are not mitigated by a diversification of geographic focus. To continue to expand our operations to other regions of the United States, including in connection with the ramp up of our Florida de novo centers, we devote significant resources to identifying and exploring perceived opportunities. Thereafter, we have to, among other things, recruit and retain qualified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personnel, develop new centers and establish new relationships or contracts with physicians and other healthcare and services providers. In addition, we are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expand our operations in any new geographic markets.</w:t>
      </w:r>
    </w:p>
    <w:p>
      <w:pPr>
        <w:spacing w:after="0" w:line="13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create, receive, maintain, transmit, collect, store, use, disclose, share and process (collectively, “Process”) sensitive data, including PHI/PII relating to our employees, participants and others. We also Process and contract with third-party service providers to Process sensitive information, including PHI/PII, confidential information and other proprietary business information. We manage and maintain PHI/PII and other sensitive data and information using both on premise and cloud-based systems. Third-party service providers that serve our participants Process PHI/PII data either in their own on-site systems, at managed or co-located data centers, or in the cloud.</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our EMR system, Epic, and the internet, to securely Process PHI/PII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have occurred in the past, and have in the past and could in the future, create system disruptions, shutdowns or unauthorized access, acquisition, use, disclosure or modifications of such data or information, and could cause PHI/PII to be accessed, acquired, used, disclosed or modified without authorization, to be made publicly available, or to be further accessed, acquired, used or disclosed.</w:t>
      </w:r>
    </w:p>
    <w:p>
      <w:pPr>
        <w:spacing w:after="0" w:line="14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use third-party service providers for important aspects of the Processing of employee and participant PHI/PII and other confidential and sensitive data and information,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through our Cybersecurity Program to address these risks; however, such policies and procedures may not address certain HIPAA requirements or address situations that could lead to increased privacy or security risks, and agreements with contractors and other third-party service providers who handle this PHI/PII and other sensitive data and information for us. However, some PACE organizations that we have acquired in the past or may acquire in the future may not have implemented such agreements with their third-party service providers, which may expose us to legal claims or proceedings, liability, and penalties.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and/or to report security breaches to participants, employees, regulators, media, credit bureaus, and other third parties in accordance with applicable law and to offer complimentary credit monitoring, identity theft protection, and similar services to participants and/or employees where required by law or otherwise appropriate. Cyber-attacks are becoming more sophisticated, and frequent, and we or our third-party service providers may be unable to anticipate these techniques or to implement adequate protective measures against them or to prevent future attacks. The prevalence of smart/handheld devices and the remote work environment has increased these risks.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and business,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6" w:name="page37"/>
    <w:bookmarkEnd w:id="36"/>
    <w:p>
      <w:pPr>
        <w:jc w:val="both"/>
        <w:spacing w:after="0" w:line="274" w:lineRule="auto"/>
        <w:rPr>
          <w:sz w:val="20"/>
          <w:szCs w:val="20"/>
          <w:color w:val="auto"/>
        </w:rPr>
      </w:pPr>
      <w:r>
        <w:rPr>
          <w:rFonts w:ascii="Times New Roman" w:cs="Times New Roman" w:eastAsia="Times New Roman" w:hAnsi="Times New Roman"/>
          <w:sz w:val="18"/>
          <w:szCs w:val="18"/>
          <w:color w:val="auto"/>
        </w:rPr>
        <w:t>repair or replace systems or technology and to prevent future occurrences. We may also be subject to potential increases in insurance premiums, resulting in increased costs or loss of revenue.</w:t>
      </w:r>
    </w:p>
    <w:p>
      <w:pPr>
        <w:spacing w:after="0" w:line="11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Even in the case of cybersecurity incidents on our third-party service-providers, we remain responsible under HIPAA for our participants’ PHI/PII and any failure on our part to comply with HIPAA in connection with such data could be subject to civil penalties, resolution agreements, monitoring or similar agreements or other enforcement action. For example, on February 21, 2024, Change Healthcare, a subsidiary of UnitedHealth Group, was the subject of a well-publicized cyberattack. Change Healthcare is the largest clearinghouse for medical claims in the U.S. and this event has caused significant delays and disruptions in payments to hospitals, physicians, pharmacists, and other health care providers across the country, including us. This cyberattack did not have a material impact on us or our operations. However, future cyber attacks on our third-party providers could have a material impact on our business.</w:t>
      </w:r>
    </w:p>
    <w:p>
      <w:pPr>
        <w:spacing w:after="0" w:line="1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we or our third-party service providers are unable to prevent or mitigate security breaches, security incidents or privacy violations,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and other compromise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accurately estimate incurred but not reported medical expenses could adversely affect our results of operations.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Positive or negative adjustments, if necessary, are made when the assumptions used to determine our claims liability change and when actual claim costs are ultimately determined.</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could be adversely impacted. Further, the inability to estimate these claims accurately may also affect our ability to take timely corrective actions, further exacerbating the extent of any adverse effect on our results of operations.</w:t>
      </w:r>
    </w:p>
    <w:p>
      <w:pPr>
        <w:spacing w:after="0" w:line="14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addition, our operational and financial results will experience some variability depending upon the time of year in which they are measured. For example, medical costs vary seasonally depending primarily on the weather because certain illnesses, such as the influenza virus, are far more prevalent during colder months of the year. Historically, we have seen higher levels of per-participant medical costs in the second and third quarters of our fiscal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lease half of our centers and may experience risks relating to lease termination, lease expense escalators, lease extensions and special charges.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currently lease 10 of our 20 centers. Our leases typically have terms of nine years, and generally provide for renewal or extension options for an average total potential term of approximately 23 years. However, there can be no assurance that these rights will be exercised in the future or that we will be able to satisfy the conditions precedent to exercising any such renewal or extension.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or if we are unable to renew or extend any of our leases, we may lose the center subject to that lease agreement. If we are not able to renew or extend our leases at or prior to the end of the existing lease terms, or if the terms of such options are unfavorable or unacceptable to us, our business, financial condition and results of operation could be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7" w:name="page38"/>
    <w:bookmarkEnd w:id="37"/>
    <w:p>
      <w:pPr>
        <w:spacing w:after="0" w:line="2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such as COVID-19, as well as weather and other factors, have affected, and could in the future adversely affect our business.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future pandemic, epidemic or outbreak of an infectious disease may adversely affect our business if one or all of the geographies we serve is affected by such outbreak, particularly at the onset of any such outbreak before response protocols have been developed. Specifically, if our participants fall ill due to an outbreak, such as during the COVID-19 pandemic, we may experience a high level of unexpected deaths, increased costs, difficulties adhering to the complex government laws and regulations that apply to our business (including difficulties enrolling participants as was the case during the COVID-19 pandemic), and other effects, including a loss of revenue, negative publicity, litigation and inquiries from government regulators.</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our results of operations have been and may in the future be negatively impacted by adverse conditions affecting our centers, including severe weather events such as tornadoes, hurricanes and widespread winter storms, earthquakes, violence or threats of violence or other factors beyond our control that cause disruption in provision of participant services, 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health emergencies, adverse weather conditions or other events. Our future operating results may be adversely affected by these and other factors that disrupt the operation of our centers.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Allegations that we have failed to adhere to all of the complex government laws and regulations that apply to our business have had and could in the future have a material adverse effect on our business, results of operations, financial condition, cash flows, reputation and stock price.</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operations are subject to extensive federal, state and local government laws and regulations, such as:</w:t>
      </w:r>
    </w:p>
    <w:p>
      <w:pPr>
        <w:spacing w:after="0" w:line="177" w:lineRule="exact"/>
        <w:rPr>
          <w:sz w:val="20"/>
          <w:szCs w:val="20"/>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Medicare, federal and state Medicaid, and federal and state PACE statutes and regulations, which are continuously changing and evolving;</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anti-kickback and self-referral laws, which prohibit, among other things, the knowing and willful offer, payment, solicitation or receipt of any bribe, kickback or remuneration, whether in cash or in kind, for referring an individual, in return for ordering, leasing, purchasing or recommending or arranging for or to induce the referral of an individual or the ordering, purchasing or leasing of items or services covered, in whole or in part, by federal healthcare programs, such as Medicare and Medicaid, or by any payor;</w:t>
      </w:r>
    </w:p>
    <w:p>
      <w:pPr>
        <w:spacing w:after="0" w:line="153"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FCA and associated regulations, which impose civil penalties through governmental, whistleblower or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$13,946 to $27,894 for each false claim, plus treble damages, and exclude the entity from participation in Medicare, Medicaid and other federal healthcare programs;</w:t>
      </w:r>
    </w:p>
    <w:p>
      <w:pPr>
        <w:spacing w:after="0" w:line="145"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which impose criminal penalties on individuals who make or present a false, fictitious, or fraudulent claim to the government that the individual knew was false, fictitious, or fraudulent, and was made with the specific intent to violate the law or with a consciousness of wrongdoing;</w:t>
      </w:r>
    </w:p>
    <w:p>
      <w:pPr>
        <w:spacing w:after="0" w:line="138"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w:t>
      </w:r>
    </w:p>
    <w:p>
      <w:pPr>
        <w:spacing w:after="0" w:line="151"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ind w:left="960"/>
        <w:spacing w:after="0" w:line="274" w:lineRule="auto"/>
        <w:rPr>
          <w:sz w:val="20"/>
          <w:szCs w:val="20"/>
          <w:color w:val="auto"/>
        </w:rPr>
      </w:pPr>
      <w:r>
        <w:rPr>
          <w:rFonts w:ascii="Times New Roman" w:cs="Times New Roman" w:eastAsia="Times New Roman" w:hAnsi="Times New Roman"/>
          <w:sz w:val="18"/>
          <w:szCs w:val="18"/>
          <w:color w:val="auto"/>
        </w:rPr>
        <w:t>exception applies, and which authorize assessments and program exclusion for various forms of fraud and abuse involving the Medicare and Medicaid programs;</w:t>
      </w:r>
    </w:p>
    <w:p>
      <w:pPr>
        <w:spacing w:after="0" w:line="124" w:lineRule="exact"/>
        <w:rPr>
          <w:sz w:val="20"/>
          <w:szCs w:val="20"/>
          <w:color w:val="auto"/>
        </w:rPr>
      </w:pPr>
    </w:p>
    <w:p>
      <w:pPr>
        <w:jc w:val="both"/>
        <w:ind w:left="960" w:hanging="318"/>
        <w:spacing w:after="0" w:line="304" w:lineRule="auto"/>
        <w:tabs>
          <w:tab w:leader="none" w:pos="9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fraud statute and its implementing regulations, which created federal criminal laws that prohibit, among other things, executing or attempting to execute a scheme to defraud any healthcare benefit program or making false statements relating to healthcare matters;</w:t>
      </w:r>
    </w:p>
    <w:p>
      <w:pPr>
        <w:spacing w:after="0" w:line="101" w:lineRule="exact"/>
        <w:rPr>
          <w:rFonts w:ascii="Times New Roman" w:cs="Times New Roman" w:eastAsia="Times New Roman" w:hAnsi="Times New Roman"/>
          <w:sz w:val="17"/>
          <w:szCs w:val="17"/>
          <w:color w:val="auto"/>
        </w:rPr>
      </w:pPr>
    </w:p>
    <w:p>
      <w:pPr>
        <w:jc w:val="both"/>
        <w:ind w:left="960" w:hanging="318"/>
        <w:spacing w:after="0" w:line="259"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regarding the collection, use disclosure and, protection of personal identifiable information or PII and protected health information or PHI (e.g., HIPAA and the CCPA) and the storage, handling, shipment, disposal and/or dispensing of pharmaceuticals and blood products and other biological materials, and many other applicable state and federal laws and requirements;</w:t>
      </w:r>
    </w:p>
    <w:p>
      <w:pPr>
        <w:spacing w:after="0" w:line="15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statutes and regulations that govern workplace health and safety;</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provide services to patients or to enroll and participate in the Medicaid programs, to report certain changes in their operations to the agencies that administer these programs and, in some cases, to re-enroll in these programs when changes in direct or indirect ownership occur;</w:t>
      </w:r>
    </w:p>
    <w:p>
      <w:pPr>
        <w:spacing w:after="0" w:line="138"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scope of practice and other laws pertaining to the provision of services by qualified healthcare providers, including those pertaining to the provision of services by nurse practitioners and physician assistants in certain settings and requirements for physician supervision of those services;</w:t>
      </w:r>
    </w:p>
    <w:p>
      <w:pPr>
        <w:spacing w:after="0" w:line="15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restricting the corporate practice of medicine; and</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consumer protection laws that regulate various trade practices (e.g. consumer communications or consumer-facing activities).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the above, PACE contracts also impose complex and extensive requirements upon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manuals, policies, and other guidance may also affect our operations.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various laws, regulations, and agency guidance that apply or relate to our operations are often subject to varying interpretations, and additional laws and regulations potentially affecting healthcare organizations continue to be promulgated and issued. A violation or departure from any of the legal requirements applicable to our business may result in, among other things, government audits, decreased payment rates, significant fines and penalties, the potential loss of licensure or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These legal requirements may be civil or administrative in nature. We are subject to federal and state regulations that require PACE organizations to maintain fiscally sound operations, as defined by CMS and applicable state agencies. We submit regular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and/or take action to adjust the capitalization or other financial status of such entities. As state agencies promulgate additional regulations applicable to PACE and issue sub-regulatory guidance, we will have to allocate sufficient resources to ensure compliance with both federal and state regulations.</w:t>
      </w:r>
    </w:p>
    <w:p>
      <w:pPr>
        <w:spacing w:after="0" w:line="1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endeavor to comply with all legal requirements. We further endeavor to structure our relationships with physicians, providers, and other third parties to comply with state and federal anti-kickback laws and other applicable healthcare laws. We utilize considerable resources to monitor laws and regulations and implement necessary changes. However, the laws and regulations in these areas are complex, changing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if we fail to report and return government overpayments within 60 days of when the overpayment is identified and quantified. See Item 1A. Risk Factors, “Risks Related to Our Business—We are subject to legal proceedings, enforcement actions and litigation, malpractice and privacy disputes, which are costly to defend and could materially harm our business and results of operations.” Additionally, the federal government has used the FCA to prosecute a wide variety of alleged false claims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9" w:name="page40"/>
    <w:bookmarkEnd w:id="39"/>
    <w:p>
      <w:pPr>
        <w:jc w:val="both"/>
        <w:spacing w:after="0" w:line="274" w:lineRule="auto"/>
        <w:rPr>
          <w:sz w:val="20"/>
          <w:szCs w:val="20"/>
          <w:color w:val="auto"/>
        </w:rPr>
      </w:pPr>
      <w:r>
        <w:rPr>
          <w:rFonts w:ascii="Times New Roman" w:cs="Times New Roman" w:eastAsia="Times New Roman" w:hAnsi="Times New Roman"/>
          <w:sz w:val="17"/>
          <w:szCs w:val="17"/>
          <w:color w:val="auto"/>
        </w:rPr>
        <w:t>and fraud allegedly perpetrated against Medicare, Medicaid, and other federally funded healthcare programs. Moreover, following amendments to the federal Anti-Kickback Statute under the ACA, claims that are implicated by Anti-Kickback Statute violations are also subject to liability under the FCA, including qui tam or whistleblower suits. In recent years, the number of suits brought in the medical industry by private individuals has increased dramatically. Given the high volume of claims processed by our various operating units, the potential is high for substantial penalties in connection with any alleged FCA violations.</w:t>
      </w:r>
    </w:p>
    <w:p>
      <w:pPr>
        <w:spacing w:after="0" w:line="12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provisions of the FCA, the federal government can use several criminal statutes to prosecute persons who are alleged to have submitted false or fraudulent claims for payment to the federal government.</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any of our operations are found to violate these or other government laws or regulations, we could suffer severe consequences that would have a material adverse effect on our business, results of operations, financial condition, cash flows, reputation and stock price, including:</w:t>
      </w:r>
    </w:p>
    <w:p>
      <w:pPr>
        <w:spacing w:after="0" w:line="137" w:lineRule="exact"/>
        <w:rPr>
          <w:sz w:val="20"/>
          <w:szCs w:val="20"/>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termination or exclusion of our participation in government payment programs;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received in violation of law or applicable payment program requirements dating back to the applicable statute of limitation periods;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Anti-Kickback Statute, Civil Monetary Penalties Statute and FCA, or other failures to meet regulatory requirements;</w:t>
      </w:r>
    </w:p>
    <w:p>
      <w:pPr>
        <w:spacing w:after="0" w:line="136"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for patients or employees relating to breach or impermissible use or disclosure of, or other incident relating to PHI and other types of personal data or PII that we collect, use, and disclose, in violation of federal or state privacy laws, including, for example and without limitation, HIPAA or state data privacy and security laws;</w:t>
      </w:r>
    </w:p>
    <w:p>
      <w:pPr>
        <w:spacing w:after="0" w:line="138"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could significantly increase operating expenses;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monitoring agreements or corrective action plans that could subject us to ongoing audits and reporting requirements as well as increased scrutiny of our billing and business practices;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real estate leases and consulting agreements; and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affect our ability to attract and retain participants and healthcare professionals, affect our ability to obtain financing and decrease access to new business opportunities, among other things.</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from time to time, and may in the future continue to be, a party to various lawsuits, demands, claims, governmental investigations,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has required management’s attention and caused us to incur significant legal expense. It is possible that criminal proceedings may be initiated against us and/or individuals in our business in connection with investigations by the federal government. The results of such lawsuits cannot be predicted. Qui tam actions are filed under seal and impose a mandatory duty on the U.S. DOJ to investigate such allegations, and because qui tam suits are filed under seal, we could be subject to suits of which we are not aware or have been ordered by the presiding court not to discuss or disclose.</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our healthcare professionals, and the centers in which we operate, are subject to various federal, state and local licensing, certification and other laws and regulations, relating to, among other things, the quality of medical care, equipment, privacy of health information, physician relationships, telehealth, personnel and operating policies and procedures. Failure to comply with these licensing and certification laws, regulations and standards could result in cessation of our services, recoupment of prior payments by government payors, corrective action plans, the suspension of participant enrollment or requirements to make significant changes to our operations and can give rise to civil or, in certain cases, criminal penalties. We routinely take the steps we believe are necessary to retain or obtain requisite licensure and operating authorities. While we endeavor to comply with federal, state and local licensing and certification laws and regulations and standards as we interpret them, the laws and regulations in these areas are complex, changing and often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0" w:name="page41"/>
    <w:bookmarkEnd w:id="40"/>
    <w:p>
      <w:pPr>
        <w:jc w:val="both"/>
        <w:spacing w:after="0" w:line="274" w:lineRule="auto"/>
        <w:rPr>
          <w:sz w:val="20"/>
          <w:szCs w:val="20"/>
          <w:color w:val="auto"/>
        </w:rPr>
      </w:pPr>
      <w:r>
        <w:rPr>
          <w:rFonts w:ascii="Times New Roman" w:cs="Times New Roman" w:eastAsia="Times New Roman" w:hAnsi="Times New Roman"/>
          <w:sz w:val="18"/>
          <w:szCs w:val="18"/>
          <w:color w:val="auto"/>
        </w:rPr>
        <w:t>subject to varying interpretations. Any failure to satisfy applicable laws and regulations could have a material adverse impact on our business, results of operations, financial condition, cash flows, and reputation.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adapt to changes in the healthcare industry, including changes to laws and regulations regarding or affecting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our business could be harmed.</w:t>
      </w:r>
    </w:p>
    <w:p>
      <w:pPr>
        <w:spacing w:after="0" w:line="1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importance of the healthcare industry in the lives of all Americans, federal, state, and local legislative bodies frequently pass legislation and administrative agencies promulgate regulations relating to healthcare reform or that affect the healthcare industry. As has been the trend in recent years, it is reasonable to assume that there will continue to be increased government oversight and regulation of the healthcare industry in the future. We cannot assure our stockholders as to the ultimate content, timing or effect of any new healthcare legislation or regulations, nor is it possible at this time to estimate the impact of potential new legislation or regulations on our business.</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Since nearly all of our revenue is derived from government payors, we are always subject to regulatory changes. Federal and state legislators routinely introduce and consider proposed legislation that would impact Medicare, Medicaid, and PACE funding and operations, and state and federal agencies also consider and implement regulations and guidance that impact our business. Similarly, changes in private payor reimbursement policies could lead to adverse changes in Medicare, Medicaid and other governmental healthcare programs, which could have a material adverse effect on our business, financial condition and result of operations. We cannot predict with certainty the impact that any particular federal and state healthcare legislation or regulation will have on us, but such changes could impose new and/or more stringent regulatory requirements on our activities or result in reduced payment rates, any of which could adversely affect our business, financial condition, and results of operations.</w:t>
      </w:r>
    </w:p>
    <w:p>
      <w:pPr>
        <w:spacing w:after="0" w:line="1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While we believe that we have structured our agreements and operations in material compliance with applicable healthcare laws and regulations, there can be no assurance that regulators will agree with our approach or that we will be able to successfully address changes in the current legislative and regulatory environment. Moreover,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Some of the states in which we currently operate have laws that prohibit business entities, such as us, from practicing medicine, employing physicians or other clinicians to practice medicine, exercising control over medical decisions by physicians or other clinicians or engaging in certain arrangements, such as fee-splitting, with physicians or other clinicians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healthcare practitioners by healthcare centers do not explicitly include a PACE organization in the list of healthcare centers by which a healthcare practitioner may be employed. Other states in which we may operate in the future may also generally prohibit the corporate practice of medicine.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spacing w:after="0" w:line="1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Penalties for violations of the corporate practice of medicine vary by state and may result in physicians being subject to disciplinary action, as well as forfeiture of revenues from payors for services rendered. For business entities, such as us, violations may also bring both civil and, in more extreme cases, criminal liability for engaging in medical practice without a license, as well as obligations to restructure the implicated arrangements.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these outcomes may have a material adverse effect on our business, results of operations, financial condition, cash flows and reputation.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governing the review and approval of healthcare transactions could limit our ability to grow our business.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Several states, including California, have adopted laws focused on competition, quality, access, and cost that authorize state agencies to review and approve healthcare transactions, and many other states, including Pennsylvania, are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1" w:name="page42"/>
    <w:bookmarkEnd w:id="41"/>
    <w:p>
      <w:pPr>
        <w:jc w:val="both"/>
        <w:spacing w:after="0" w:line="259" w:lineRule="auto"/>
        <w:rPr>
          <w:sz w:val="20"/>
          <w:szCs w:val="20"/>
          <w:color w:val="auto"/>
        </w:rPr>
      </w:pPr>
      <w:r>
        <w:rPr>
          <w:rFonts w:ascii="Times New Roman" w:cs="Times New Roman" w:eastAsia="Times New Roman" w:hAnsi="Times New Roman"/>
          <w:sz w:val="18"/>
          <w:szCs w:val="18"/>
          <w:color w:val="auto"/>
        </w:rPr>
        <w:t>considering similar legislation. California is also considering additional legislation that would provide the California attorney general with approval authority with respect to certain health care transactions. We have in the past and continue to intend to grow our business through acquisitions, and these laws could negatively affect our ability to grow in implicated states in the future.</w:t>
      </w:r>
    </w:p>
    <w:p>
      <w:pPr>
        <w:spacing w:after="0" w:line="12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PHI/PII is subject to HIPAA, CCPA as amended by the CPRA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w:t>
      </w:r>
    </w:p>
    <w:p>
      <w:pPr>
        <w:spacing w:after="0" w:line="14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disclosure, destruction, retention, privacy, confidentiality, security, availability, integrity and other processing of PHI/PII.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 A business associate is any person or entity (other than members of a covered entity’s workforce) that performs a service for or on behalf of a covered entity involving the use or disclosure of protected health information.</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HIPAA requires covered entities, such as ourselves, and their business associates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HIPAA imposes mandatory penalties for certain violations. Under a notice of enforcement discretion issued by HHS in 2019, penalties for violations of HIPAA and its implementing regulations start at $100 (not adjusted for inflation) per violation and are not to exceed approximately $63,000 (not adjusted for inflation) per violation, subject to a cap of approximately $1.9 million (not adjusted for inflation) for violations of the same standard in a single calendar year. However, a single breach incident can result in violations of multiple standards. In addition, HIPAA provides for criminal penalties of up to $250,000 and ten years in prison, with the severest penalties for obtaining and disclosing PHI with the intent to sell, transfer or use such information for commercial advantage, personal gain or malicious harm.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in no case later than 60 calendar days after discovery, and HHS will automatically investigate the breach and post the name of the entity on its public breach portal. If a breach involves fewer than 500 people, the covered entity must record it in a log and notify HHS at least annually. Breaches affecting more than 500 residents in the same state or jurisdiction must also be reported to the local media. Looking ahead, it is possible that Congress could pursue a federal privacy bill to harmonize privacy regimes across states.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and regulations protect the confidentiality, privacy, availability, integrity and security of individually identifiable information. State statutes and regulations vary from state to state, and these laws and regulations in many cases are more restrictive than, and may not be preempted by, HIPAA and its implementing rules. These laws and regulations are often uncertain, contradictory, and subject to changing or differing interpretations, and we expect new laws, rules and regulations regarding privacy, data protection, and information security to be proposed and enacted in the future. For example, the CCPA provides certain exceptions for PHI, but is still applicable to certain PII we process in the ordinary course of our business. The effects of the CCPA are wide-ranging and afford consumers certain rights with respect to PII, including a private right of action for data breaches involving certain personal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18"/>
          <w:szCs w:val="18"/>
          <w:color w:val="auto"/>
        </w:rPr>
        <w:t>information of California residents. In addition, the California Privacy Rights Act of 2020, or CPRA, expands the CCPA’s requirements, including by adding a new right for individuals to correct their personal information and establishing a new regulatory agency to implement and enforce the law. Other states have enacted similar privacy laws that impose new obligations or limitations in areas affecting our business and we continue to assess the impact of this state legislation on our business as additional information and guidance becomes available. Efforts at the federal level to enact similar laws have been ongoing.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also publish statements to our participants that describe how we handle and protect PHI. If federal or state regulatory authorities, such as the FTC,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The FTC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Any of the foregoing consequences could seriously harm our business and our financial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2024, we had total outstanding debt of (i) $63.8 million principal amount under the Term Loan Facility (as defined in Note 7, “Long-term Debt” to the consolidated financial statements), and (ii) $2.2 million principal amount under the convertible term loan. Our indebtedness, or any additional indebtedness we may incur, could require us to divert funds identified for other purposes for debt service, impairing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or on terms satisfactory to us or at all.</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indebtedness and the cash flow needed to satisfy our debt have important consequences, including:</w:t>
      </w:r>
    </w:p>
    <w:p>
      <w:pPr>
        <w:spacing w:after="0" w:line="191" w:lineRule="exact"/>
        <w:rPr>
          <w:sz w:val="20"/>
          <w:szCs w:val="20"/>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and pursuing our growth strategies by requiring us to dedicate a portion of our cash flows from operations to the repayment of debt and the interest on this debt;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3" w:name="page44"/>
    <w:bookmarkEnd w:id="43"/>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7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less leveraged. Fluctuations in interest rates can increase borrowing costs. Increases in interest rates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necessary to grow and maintain our businesses.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27"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In addition, the 2021 Credit Agreement (as defined in Note 7, “Long-term Debt” to the consolidated financial statements) contains a number of restrictive covenants that impose significant operating and financial restrictions on us and may limit our ability to engage in acts that may be in our long-term best interests. A breach of the covenants or restrictions under the 2021 Credit Agreement could result in an event of default under such document. Such a default may allow the creditors to accelerate the related debt and terminate all commitments to extend credit thereunder and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participant services in the future could reduce our ability to compete successfully and harm our results of operations.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If we need additional capital and cannot raise it on acceptable terms, or at all, we may not be able to, among other things:</w:t>
      </w:r>
    </w:p>
    <w:p>
      <w:pPr>
        <w:spacing w:after="0" w:line="146"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participant services;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business either by increasing enrollment or building de novo centers;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Shareholders control us, and their interests may conflict with ours or yours in the future.</w:t>
      </w:r>
    </w:p>
    <w:p>
      <w:pPr>
        <w:spacing w:after="0" w:line="19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Principal Shareholders own approximately 83% of our common stock, which means that they control the vote of all matters submitted to a vote of our shareholders, which enables them to control the election of the members of the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stock representing a majority of the total voting power, for so long as the Principal Shareholders continue to own a significant percentage of our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 our charter and bylaws, which govern the rights attached to our common stock. In particular, for so long as the Principal Shareholders continue to own a significant percentage of our stock, the Principal Shareholders will be able to cause or prevent a change of control of us or a change in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stockholders.</w:t>
      </w:r>
    </w:p>
    <w:p>
      <w:pPr>
        <w:spacing w:after="0" w:line="14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are party to a Director Nomination Agreement (defined herein) with the Principal Shareholders that provides the Principal Shareholders the right to designate: (i) all of the nominees for election to our Board for so long as the Principal Shareholders collectively beneficially own at least 40% of the Original Amount (as defined therein);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TCO Group Holdings, L.P., the investment vehicle through which the Principal Shareholders hold their investment is dissolved, then each of the Principal Shareholders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may also assign such right to their affiliates. The Director Nomination Agreement also provides for certain consent rights for each of the Principal Shareholders so long as such shareholder owns at least 5% of the Original Amount, including for any changes to the size of our Board.</w:t>
      </w:r>
    </w:p>
    <w:p>
      <w:pPr>
        <w:spacing w:after="0" w:line="15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director who is not employed by us (including any non-employee director who serves as one of our officers in both her or his director and officer capacities) or its affiliates have any duty to refrain from engaging, directly or indirectly, in the same business activities or similar business activities or lines of business in which we operate. The Principal Shareholders also may pursue business and investment opportunities that may be complementary to our business, and, as a result, those opportunities may not be available to us. In addition, the Principal Shareholders may have an interest in pursuing acquisitions, divestitures and other transactions that, in their judgment, could enhance their investment, even though such transactions might involve risks to you.</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we qualify for, and intend to continue relying on, exemptions from certain corporate governance requirements. Therefore, you do not have the same protections as those afforded to stockholders of companies that are subject to such governance requirements.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Principal Shareholders control a majority of the voting power of our outstanding common stock. As a result, we are a “controlled company” within the meaning of the corporate governance standards of the Nasdaq Global Select Market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141" w:lineRule="exact"/>
        <w:rPr>
          <w:sz w:val="20"/>
          <w:szCs w:val="20"/>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consist of independent directors;</w:t>
      </w:r>
    </w:p>
    <w:p>
      <w:pPr>
        <w:spacing w:after="0" w:line="190" w:lineRule="exact"/>
        <w:rPr>
          <w:rFonts w:ascii="Times New Roman" w:cs="Times New Roman" w:eastAsia="Times New Roman" w:hAnsi="Times New Roman"/>
          <w:sz w:val="18"/>
          <w:szCs w:val="18"/>
          <w:color w:val="auto"/>
        </w:rPr>
      </w:pPr>
    </w:p>
    <w:p>
      <w:pPr>
        <w:ind w:left="960" w:hanging="318"/>
        <w:spacing w:after="0" w:line="304" w:lineRule="auto"/>
        <w:tabs>
          <w:tab w:leader="none" w:pos="9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nominees to our Board are to be selected, or recommended for the Board’s selection, either by independent directors constituting a majority of the Board’s independent directors or by a nominations committee that is composed entirely of independent directors;</w:t>
      </w:r>
    </w:p>
    <w:p>
      <w:pPr>
        <w:spacing w:after="0" w:line="101"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Board and its committees.</w:t>
      </w:r>
    </w:p>
    <w:p>
      <w:pPr>
        <w:spacing w:after="0" w:line="1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currently utilize and intend to continue utilizing certain of these exemptions as long as they are available to us, and in the future, we could utilize additional exemptions. Accordingly, you do not have the same protections afforded to shareholders of companies that are subject to all of the corporate governance requirements of Nasdaq.</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5" w:name="page46"/>
    <w:bookmarkEnd w:id="45"/>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a “smaller reporting company” and we have elected to comply with reduced public company reporting requirements, which could make our common stock less attractive to investors.</w:t>
      </w:r>
    </w:p>
    <w:p>
      <w:pPr>
        <w:spacing w:after="0" w:line="121"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a “smaller reporting company” as defined by the Exchange Act. For as long as we continue to qualify as an emerging growth company, we are eligible for certain exemptions from various public company reporting requirements. These exemptions include, but are not limited to, (i) not being required to comply with the auditor attestation requirements of Section 404 of the Sarbanes-Oxley Act,</w:t>
      </w:r>
    </w:p>
    <w:p>
      <w:pPr>
        <w:spacing w:after="0" w:line="1" w:lineRule="exact"/>
        <w:rPr>
          <w:sz w:val="20"/>
          <w:szCs w:val="20"/>
          <w:color w:val="auto"/>
        </w:rPr>
      </w:pPr>
    </w:p>
    <w:p>
      <w:pPr>
        <w:jc w:val="both"/>
        <w:ind w:firstLine="6"/>
        <w:spacing w:after="0" w:line="246" w:lineRule="auto"/>
        <w:tabs>
          <w:tab w:leader="none" w:pos="2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and (iv) an extended transition period to comply with new or revised accounting standards applicable to public companies. We have chosen to take advantage of the extended transition period to comply with new or revised accounting standards applicable to public companies. Additionally, as long as we qualify as a smaller reporting company, we are required to present only the two most recent fiscal years of audited financial statements in our Annual Reports on Form 10-K.</w:t>
      </w:r>
    </w:p>
    <w:p>
      <w:pPr>
        <w:spacing w:after="0" w:line="15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after the first sale of our common stock pursuant to an effective registration statement under the Securities Act of 1933, as amended (the “Securities Act”), which first occurred in March 2021. However, if certain events occur prior to the end of such five-year period, including if we become a “large accelerated filer,” our annual gross revenue exceeds $1.235 billion or we issue more than $1.0 billion of non-convertible debt in any three-year period, we would cease to be an emerging growth company prior to the end of such five-year period. Additionally, even after we no longer qualify as an “emerging growth company,” we may still qualify as a “smaller reporting company” if the market value of our common stock held by non-affiliates is below $250 million (or $700 million if our annual revenue is less than $100 million) as of December 31 in any given year, which would allow us to continue taking advantage of certain of these exemptions.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no longer qualify as an “emerging growth company” or a “smaller reporting company.”</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listing requirements of Nasdaq and other applicable securities rules and regulations. Compliance with these rules and regulations creates legal and financial compliance costs, makes some activities more difficult, time-consuming and costly and increase demand on our systems and resources, particularly after we no longer qualify as an “emerging growth company” or “smaller reporting company.” Furthermore, the need to maintain the corporate infrastructure demanded of a public company may divert our management’s attention from implementing our business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w:t>
      </w:r>
    </w:p>
    <w:p>
      <w:pPr>
        <w:spacing w:after="0" w:line="15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7"/>
          <w:szCs w:val="17"/>
          <w:color w:val="auto"/>
        </w:rPr>
        <w:t>The Sarbanes-Oxley Act requires, among other things, that we establish and maintain effective internal controls and procedures for financial reporting.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The existence of any material weaknesses or significant deficiency in internal controls over financial reporting would require management to devote significant time and incur significant expenses to remediate any such issue and management may not be able to remediate the issue in a timely manner. The existence of any material weaknesses or significant deficiency could cause us to reissue our financial statements, fail to meet reporting deadlines or undermine shareholders’ confidence in our reported financial statements, all of which could materially and adversely impact our stock price.</w:t>
      </w:r>
    </w:p>
    <w:p>
      <w:pPr>
        <w:spacing w:after="0" w:line="15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such as disclosures related to climate emissions, are creating uncertainty for public companies, increasing legal and financial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18"/>
          <w:szCs w:val="18"/>
          <w:color w:val="auto"/>
        </w:rPr>
        <w:t>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in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4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Principal Shareholders’ beneficial ownership of a combined 83% of our common stock, our Director Nomination Agreement, certificate of incorporation and bylaws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w:t>
      </w:r>
    </w:p>
    <w:p>
      <w:pPr>
        <w:spacing w:after="0" w:line="154" w:lineRule="exact"/>
        <w:rPr>
          <w:sz w:val="20"/>
          <w:szCs w:val="20"/>
          <w:color w:val="auto"/>
        </w:rPr>
      </w:pPr>
    </w:p>
    <w:p>
      <w:pPr>
        <w:jc w:val="both"/>
        <w:ind w:left="960" w:hanging="318"/>
        <w:spacing w:after="0" w:line="259"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38"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written consent from and after the date on which the Principal Shareholders beneficially own, in the aggregate, less than 35% of our common stock then outstanding;</w:t>
      </w:r>
    </w:p>
    <w:p>
      <w:pPr>
        <w:spacing w:after="0" w:line="136" w:lineRule="exact"/>
        <w:rPr>
          <w:rFonts w:ascii="Times New Roman" w:cs="Times New Roman" w:eastAsia="Times New Roman" w:hAnsi="Times New Roman"/>
          <w:sz w:val="18"/>
          <w:szCs w:val="18"/>
          <w:color w:val="auto"/>
        </w:rPr>
      </w:pPr>
    </w:p>
    <w:p>
      <w:pPr>
        <w:jc w:val="both"/>
        <w:ind w:left="960" w:hanging="318"/>
        <w:spacing w:after="0" w:line="268"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in voting power of all the then-outstanding shares of our stock entitled to vote thereon, voting together as a single class; and</w:t>
      </w:r>
    </w:p>
    <w:p>
      <w:pPr>
        <w:spacing w:after="0" w:line="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shareholders at shareholder meetings, provided, however, that at any time when a Principal Shareholder beneficially owns at least 5% of our common stock then outstanding, such advance notice procedure will not apply to such Principal Shareholder.</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certificate of incorporation contains a provision that provides us with protections similar to Section 203 of the DGCL, and prevents us from engaging in a business combination with a person (excluding the Principal Shareholders and any of their direct or indirect transferees and any group as to which such persons are a party) who acquires at least 85% of our common stock for a period of three years from the date such person acquired such common stock,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exclusive forum for certain litigation that may be initiated by our shareholders and the federal district courts of the United States as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7" w:name="page48"/>
    <w:bookmarkEnd w:id="47"/>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litigation arising under the Securities Act, which could limit our shareholders’ ability to obtain a favorable judicial forum for disputes with us.</w:t>
      </w:r>
    </w:p>
    <w:p>
      <w:pPr>
        <w:spacing w:after="0" w:line="1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further provides that any person or entity purchasing or otherwise acquiring any interest in shares of our capital stock is deemed to have notice of and consented to the provisions of our certificate of incorporation described above; however, our shareholders will not be deemed to have waived our compliance with the federal securities laws and the rules and regulations thereunder.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w:t>
      </w:r>
    </w:p>
    <w:p>
      <w:pPr>
        <w:spacing w:after="0" w:line="14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fluctuated and may fluctuate significantly in the future, which makes our future operating results difficult to predict and could cause such results to fall below any guidance, targets or goals we provide.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and may fluctuate significantly, which makes it difficult for us to predict our future operating results. These fluctuations may be driven by a variety of factors, many of which are outside of our control, including, but not limited to:</w:t>
      </w:r>
    </w:p>
    <w:p>
      <w:pPr>
        <w:spacing w:after="0" w:line="124" w:lineRule="exact"/>
        <w:rPr>
          <w:sz w:val="20"/>
          <w:szCs w:val="20"/>
          <w:color w:val="auto"/>
        </w:rPr>
      </w:pPr>
    </w:p>
    <w:p>
      <w:pPr>
        <w:ind w:left="960" w:hanging="318"/>
        <w:spacing w:after="0" w:line="274"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including our ability to identify and successfully complete acquisitions and expand via de novo centers within existing and new markets;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8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control expenses and increases to the cost of care, including as a result of the composition of our participant pool, macroeconomic factors such as such as labor shortages, high inflation, and health emergencies;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current and future, routine and non-routine inspections, reviews, audits and investigations under federal and state government programs and contracts, and any resulting sanctions or remediation efforts as a result of such government actions; and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enforcement actions and litigation, malpractice and privacy disputes to which we are currently and may in the future be party to.</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impact of any one of the factors discussed above or any other factors discussed in this “Risk Factors” section, or the cumulative effects of a combination of such factors, could result in significant fluctuations and unpredictability in our quarterly and annual operating results. As a result of such variability and unpredictability, our revenue or operating results could fall short of our expectations or any guidance we provide and we may also fail to meet the expectations of industry or financial analysts or investors for any period. If the guidance we provide falls short or we are unable to meet the expectations of analysts or investors, the trading price of our common stock could decline substantially.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are volatile.</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price of our common stock has significantly fluctuated since our IPO. In addition, securities markets worldwide have experienced, and are likely to continue to experience, significant price and volume fluctuations. This market volatility, as well as general economic, market or political conditions, could continue to subject the market price of our shares to wide price fluctuations regardless of our operating performance. In addition, our operating results and the trading price of our shares may fluctuate in response to various factors, including:</w:t>
      </w:r>
    </w:p>
    <w:p>
      <w:pPr>
        <w:spacing w:after="0" w:line="141" w:lineRule="exact"/>
        <w:rPr>
          <w:sz w:val="20"/>
          <w:szCs w:val="20"/>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results of audits, sanctions, investigations and litigation;</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and macroeconomic conditions;</w:t>
      </w:r>
    </w:p>
    <w:p>
      <w:pPr>
        <w:spacing w:after="0" w:line="190"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increased interest rates, weather, public health events, such as the COVID-19 pandemic, and war, including uncertainties surrounding the Russia and Ukraine war and the Israel-Hamas war;</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us and our prospects; and</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1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party to a registration rights agreement with TCO Group Holdings, L.P., the investment vehicle through which the Principal Shareholders hold their investment, which requires us to effect the registration of the Principal Shareholders’ shares in certain circumstances. The Principal Shareholders are also entitled to participate in certain of our registered offerings, subject to the restrictions in the registration rights agreement. These registration rights would facilitate the resale of such securities into the public market, and any such resale would increase the number of shares of our common stock available for public trading.</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have registered shares of common stock that we may issue under our equity compensation plans. Such shares can be freely sold in the public market upon issuance, subject to vesting, and Rule 144 under the Securities Act.</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issued in connection with an investment or acquisition could constitute a material portion of our then-outstanding common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49" w:name="page50"/>
    <w:bookmarkEnd w:id="49"/>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plans to pay regular cash dividends on our common stock for the foreseeable future, you may not receive any return on investment unless you sell your common stock for a price greater than that which you paid for it.</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approved a share repurchase program that may subject us to certain risks, which can be exacerbated because our stock is thinly traded.</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Board of Directors approved a repurchase program to repurchase shares of our common stock. Our share repurchase program does not obligate us to acquire any common stock, and we may discontinue the program at any time. If we fail to meet any expectations related to share repurchases, we may lose market and investor confidence. In addition, our common stock is thinly traded. Thinly traded stocks pose several risks for investors because they have wider spreads and less displayed size than other stocks that trade in higher volumes. Other risks posed by thinly traded stocks include difficulty selling the stock, challenges attracting market makers to make markets in the stock, and difficulty with financings. Because our common stock is thinly traded, repurchases under the repurchase program can impact the price of our common stock on a given day or period.</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trading market for our shares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analysts have in the past downgraded, and may in the future downgrade our stock, or if our results of operations do not meet their expectations, our stock price could decline.</w:t>
      </w:r>
    </w:p>
    <w:p>
      <w:pPr>
        <w:spacing w:after="0" w:line="1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2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materially adversely affect the market price of our common stock.</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senior or subordinated notes, debt securities convertible into equity or shares of preferred stock. In addition, we may seek to expand operations in the future to other markets which we would expect to finance through a combination of additional issuances of equity, corporate indebtedness and/or cash from operations.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50" w:name="page51"/>
    <w:bookmarkEnd w:id="50"/>
    <w:p>
      <w:pPr>
        <w:jc w:val="both"/>
        <w:spacing w:after="0" w:line="274" w:lineRule="auto"/>
        <w:rPr>
          <w:sz w:val="20"/>
          <w:szCs w:val="20"/>
          <w:color w:val="auto"/>
        </w:rPr>
      </w:pPr>
      <w:r>
        <w:rPr>
          <w:rFonts w:ascii="Times New Roman" w:cs="Times New Roman" w:eastAsia="Times New Roman" w:hAnsi="Times New Roman"/>
          <w:sz w:val="18"/>
          <w:szCs w:val="18"/>
          <w:color w:val="auto"/>
        </w:rPr>
        <w:t>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disaster recovery systems or business continuity planning could limit our ability to operate our business effectively.</w:t>
      </w:r>
    </w:p>
    <w:p>
      <w:pPr>
        <w:spacing w:after="0" w:line="19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ransomware and other cybersecurity incidents and similar disruptions from unauthorized tampering or any weather-related disruptions in Denver, Colorado, where our headquarters is located. In addition, in the event that a significant number of our management personnel were unavailable in the event of a disaster, our ability to effectively conduct business could be adversely affected.</w:t>
      </w:r>
    </w:p>
    <w:p>
      <w:pPr>
        <w:spacing w:after="0" w:line="1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79" w:lineRule="exact"/>
        <w:rPr>
          <w:sz w:val="20"/>
          <w:szCs w:val="20"/>
          <w:color w:val="auto"/>
        </w:rPr>
      </w:pPr>
    </w:p>
    <w:p>
      <w:pPr>
        <w:ind w:right="80" w:firstLine="318"/>
        <w:spacing w:after="0" w:line="241" w:lineRule="auto"/>
        <w:rPr>
          <w:sz w:val="20"/>
          <w:szCs w:val="20"/>
          <w:color w:val="auto"/>
        </w:rPr>
      </w:pPr>
      <w:r>
        <w:rPr>
          <w:rFonts w:ascii="Times New Roman" w:cs="Times New Roman" w:eastAsia="Times New Roman" w:hAnsi="Times New Roman"/>
          <w:sz w:val="18"/>
          <w:szCs w:val="18"/>
          <w:color w:val="auto"/>
        </w:rPr>
        <w:t>Our Cybersecurity Program (“Program”) is designed from a risk- and compliance-based approach for resilience and protection across our operations and the appropriate access, use, and/or disclosure of PHI and PII. Our Program employs the National Institute of Standards Technology (NIST) cybersecurity framework and strategy to deliver multi-layered defenses and relevant technologies that are designed to control, audit, monitor, and protect access to sensitive information. We also leverage government partnerships, industry and government associations, third-party benchmarking, audits, threat intelligence feeds and other similar resources to inform our cybersecurity efforts and allocate resources.</w:t>
      </w:r>
    </w:p>
    <w:p>
      <w:pPr>
        <w:spacing w:after="0" w:line="15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maintain our Program with physical, administrative and technical safeguards, and we maintain plans and procedures whose objective is to help us prevent and respond to cybersecurity incidents. Elements of our Program include: (i) required training for our employees (including onboarding and annual training), exercises (including advanced phishing exercises), and awareness for our employees to promote vigilance of cybersecurity risks and (ii) compliance audits and assessments, which include routine technical and non-technical audits and assessments internally and in collaboration with independent third parties at least annually. In addition, we engage various third-party consultants to assist us in assessing, enhancing, implementing and monitoring our Program and responding to incidents.</w:t>
      </w:r>
    </w:p>
    <w:p>
      <w:pPr>
        <w:spacing w:after="0" w:line="155"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As a company managing the use and disclosure of PHI and PII, we annually undergo internal and/or third-party HIPAA Security Rule risk assessments of our administrative, physical, and technical safeguards. In addition, external assessors periodically evaluate our safeguards against multiple frameworks, including NIST Cyber Security Framework (CSF).</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Program is integrated into our Enterprise Risk Management (ERM) program and includes a vendor risk management program supported by our</w:t>
      </w:r>
    </w:p>
    <w:p>
      <w:pPr>
        <w:spacing w:after="0" w:line="23"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security and compliance teams. We assess vendor cybersecurity risks according to HIPAA and N</w:t>
      </w:r>
      <w:r>
        <w:rPr>
          <w:rFonts w:ascii="Times New Roman" w:cs="Times New Roman" w:eastAsia="Times New Roman" w:hAnsi="Times New Roman"/>
          <w:sz w:val="19"/>
          <w:szCs w:val="19"/>
          <w:color w:val="auto"/>
        </w:rPr>
        <w:t>IST CSF standards and have established an oversight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process to manage cybersecurity risks related to the products and services we procure.</w:t>
      </w:r>
    </w:p>
    <w:p>
      <w:pPr>
        <w:spacing w:after="0" w:line="157"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7"/>
          <w:szCs w:val="17"/>
          <w:color w:val="auto"/>
        </w:rPr>
        <w:t>During the fiscal year ended June 30, 2024, we did not identify risks from cybersecurity threats, including as a result of previous cybersecurity incidents, that have materially affected or are reasonably likely to materially affect our business strategy, results of operations, or financial condition. While prior incidents have not had a material impact on us, future incidents could have a material impact on our business, operations, and reputation. See “</w:t>
      </w:r>
      <w:r>
        <w:rPr>
          <w:rFonts w:ascii="Times New Roman" w:cs="Times New Roman" w:eastAsia="Times New Roman" w:hAnsi="Times New Roman"/>
          <w:sz w:val="17"/>
          <w:szCs w:val="17"/>
          <w:i w:val="1"/>
          <w:iCs w:val="1"/>
          <w:color w:val="auto"/>
        </w:rPr>
        <w:t>Security</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r>
        <w:rPr>
          <w:rFonts w:ascii="Times New Roman" w:cs="Times New Roman" w:eastAsia="Times New Roman" w:hAnsi="Times New Roman"/>
          <w:sz w:val="18"/>
          <w:szCs w:val="18"/>
          <w:color w:val="auto"/>
        </w:rPr>
        <w:t>”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1A “Risk Factors”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66"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While our full Board of Directors has overall responsibility for risk oversight, it has delegated primary oversight of certain risks to its committees. Our Audit Committee monitors cybersecurity risks, and the steps our management has taken to monitor and control exposures. Our Chief Information Officer (CIO) and Chief Information Security Officer (CISO) brief the Audit Committee quarterly on cybersecurity risks, updates on the regulatory and cyber landscape and significant cybersecurity events, as needed. Our Audit Committee reports to the Board of Directors on cybersecurity matters quarterly, or more often as the need arises.</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an Information Security Team to strengthen our cybersecurity risk management activities across the Company. The Information Security Team reports to our CISO who works in collaboration with our CIO, Chief Compliance Officer and General Counsel. The Information Security Team is responsible for the oversight and operation of our Program, and the management our security standards and operating procedures.</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Cole Naus is our CISO. Mr. Naus has over 10 years of experience in the cybersecurity industry. Mr. Naus holds a degree in Cybersecurity and Information Assurance and holds other cybersecurity certifications. Mr. Naus reports directly to Cara Babachicos, our CIO. Ms. Babachicos has over 20 years of experience in the cybersecurity industry, having previously worked as Chief Information Officer at other companies in the healthcare industry.</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2024, we operated an aggregate of 20 centers, of which ten were owned and ten were leased, representing approximately 410,000 and 240,000 gross square feet, respectively. Our centers are located in 14 markets and six states.</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principal executive offices are located in Denver, Colorado, where we own facilities totaling approximately 290,000 square feet across the state. We occupy a 69,000 square foot facility for administration, sales and marketing, technology and development and professional services in Denver, Colorado. We also own and lease properties for operational PACE centers in Denver, Colorado; Loveland, Colorado; Pueblo, Colorado; Albuquerque, New Mexico; Los Angeles, California; Sacramento, California; San Bernardino, California; Philadelphia, Pennsylvania; Charlottesville, Virginia; Newport News, Virginia; Richmond, Virginia; Roanoke, Virginia; Orlando, Florida; and Tampa, Florida . We do not have any PACE centers or properties located outside of the United States.</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leases typically have terms of nine years, and generally provide for renewal or extension options for an average total potential term of approximately 23 years. Our lease obligations often include annual fixed rent escalators ranging between 2.0% and 3.0%. Generally, our leases are “modified gross” leases, which require us to pay the cost of insurance, taxes, maintenance and utilities, but not for costs related to the structure of the building. We generally cannot cancel these leases at our option.</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facilities and centers are adequate to meet our needs for the immediate future, and that, should it be needed, suitable additional space will be available to accommodate any such expansion of our operations.</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we may be involved in various legal proceedings and be subject to claims.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February 2022, the Company received a civil investigative demand from the DOJ under the Federal False Claims Act on similar subject matter. The demand requests information and documents regarding audits, billing, orders tracking, and quality and timeliness of patient services in connection with the Company’s PACE programs in the states of California, Colorado, New Mexico, Pennsylvania, and Virginia. In December 2022, the Company received a supplemental civil investigative demand requesting supplemental information on the same matters. The Company continues to fully cooperate with the DOJ.</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currently unable to predict the outcome of these investigations.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On December 22, 2023, the District Court granted in part and denied in part the motion to dismiss. The action is now in discovery.</w:t>
      </w:r>
    </w:p>
    <w:p>
      <w:pPr>
        <w:spacing w:after="0" w:line="1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currently unable to predict the outcome of these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third fiscal quarter of 2023, the Company agreed to settle a wage and hour class action lawsuit in the State of California for a cash payment of $1.2 million. Subsequently, the Company was notified of certain additional individual claims and agreed to include such claims within the class. In October 2023, the Company agreed to increase the settlement amount to a total of $1.3 million, reflecting the additional individual claims. The Court entered the final approval of the settlement on April 2, 2024 and the payout occurred on June 7, 2024. The matter will remain open for 180 days to allow the class members to settle their checks, after which time the case is expected to officially close.</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46" w:lineRule="exact"/>
        <w:rPr>
          <w:sz w:val="20"/>
          <w:szCs w:val="20"/>
          <w:color w:val="auto"/>
        </w:rPr>
      </w:pPr>
    </w:p>
    <w:p>
      <w:pPr>
        <w:ind w:right="520" w:firstLine="318"/>
        <w:spacing w:after="0" w:line="453" w:lineRule="auto"/>
        <w:rPr>
          <w:sz w:val="20"/>
          <w:szCs w:val="20"/>
          <w:color w:val="auto"/>
        </w:rPr>
      </w:pPr>
      <w:r>
        <w:rPr>
          <w:rFonts w:ascii="Times New Roman" w:cs="Times New Roman" w:eastAsia="Times New Roman" w:hAnsi="Times New Roman"/>
          <w:sz w:val="18"/>
          <w:szCs w:val="18"/>
          <w:color w:val="auto"/>
        </w:rPr>
        <w:t xml:space="preserve">Refer to Note 9 “Commitments and Contingencies” to the Consolidated Financial Statements included in this Annual Report for more information. </w:t>
      </w:r>
      <w:r>
        <w:rPr>
          <w:rFonts w:ascii="Times New Roman" w:cs="Times New Roman" w:eastAsia="Times New Roman" w:hAnsi="Times New Roman"/>
          <w:sz w:val="18"/>
          <w:szCs w:val="18"/>
          <w:b w:val="1"/>
          <w:bCs w:val="1"/>
          <w:color w:val="auto"/>
        </w:rPr>
        <w:t>Item 4. MINE SAFETY DISCLOSURES</w:t>
      </w: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7" w:lineRule="exact"/>
        <w:rPr>
          <w:sz w:val="20"/>
          <w:szCs w:val="20"/>
          <w:color w:val="auto"/>
        </w:rPr>
      </w:pPr>
    </w:p>
    <w:p>
      <w:pPr>
        <w:jc w:val="both"/>
        <w:ind w:left="720" w:hanging="714"/>
        <w:spacing w:after="0" w:line="27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Market Information</w:t>
      </w:r>
    </w:p>
    <w:p>
      <w:pPr>
        <w:spacing w:after="0" w:line="193" w:lineRule="exact"/>
        <w:rPr>
          <w:sz w:val="20"/>
          <w:szCs w:val="20"/>
          <w:color w:val="auto"/>
        </w:rPr>
      </w:pPr>
    </w:p>
    <w:p>
      <w:pPr>
        <w:ind w:right="4440" w:firstLine="318"/>
        <w:spacing w:after="0" w:line="445" w:lineRule="auto"/>
        <w:rPr>
          <w:sz w:val="20"/>
          <w:szCs w:val="20"/>
          <w:color w:val="auto"/>
        </w:rPr>
      </w:pPr>
      <w:r>
        <w:rPr>
          <w:rFonts w:ascii="Times New Roman" w:cs="Times New Roman" w:eastAsia="Times New Roman" w:hAnsi="Times New Roman"/>
          <w:sz w:val="18"/>
          <w:szCs w:val="18"/>
          <w:color w:val="auto"/>
        </w:rPr>
        <w:t xml:space="preserve">Our common stock is listed on the Nasdaq Global Select Market under the symbol “INNV.” </w:t>
      </w:r>
      <w:r>
        <w:rPr>
          <w:rFonts w:ascii="Times New Roman" w:cs="Times New Roman" w:eastAsia="Times New Roman" w:hAnsi="Times New Roman"/>
          <w:sz w:val="18"/>
          <w:szCs w:val="18"/>
          <w:b w:val="1"/>
          <w:bCs w:val="1"/>
          <w:color w:val="auto"/>
        </w:rPr>
        <w:t>Holders of Record</w:t>
      </w:r>
    </w:p>
    <w:p>
      <w:pPr>
        <w:spacing w:after="0" w:line="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As of September 9, 2024, there were approximately ten stockholders of record for our common stock. The actual number of stockholders is greater than this number of record holders, and includes stockholders who are beneficial owners, but whose shares are held in street name by economic banks, brokers and other financial institutions. This number of holders of record also does not include stockholders whose shares may be held in trust by other entities.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June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repurchases during the three months ended June 30, 2024 were as follows: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6"/>
              </w:rPr>
              <w:t>Approximate Dollar Value</w:t>
            </w:r>
          </w:p>
        </w:tc>
      </w:tr>
      <w:tr>
        <w:trPr>
          <w:trHeight w:val="185"/>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100" w:type="dxa"/>
            <w:vAlign w:val="bottom"/>
          </w:tcPr>
          <w:p>
            <w:pPr>
              <w:spacing w:after="0"/>
              <w:rPr>
                <w:sz w:val="16"/>
                <w:szCs w:val="16"/>
                <w:color w:val="auto"/>
              </w:rPr>
            </w:pPr>
          </w:p>
        </w:tc>
        <w:tc>
          <w:tcPr>
            <w:tcW w:w="2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6"/>
              </w:rPr>
              <w:t>of Shares that May Yet Be</w:t>
            </w:r>
          </w:p>
        </w:tc>
      </w:tr>
      <w:tr>
        <w:trPr>
          <w:trHeight w:val="199"/>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ind w:right="52"/>
              <w:spacing w:after="0" w:line="199" w:lineRule="exact"/>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7"/>
                <w:szCs w:val="17"/>
                <w:color w:val="auto"/>
              </w:rPr>
            </w:pPr>
          </w:p>
        </w:tc>
        <w:tc>
          <w:tcPr>
            <w:tcW w:w="22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b w:val="1"/>
                <w:bCs w:val="1"/>
                <w:color w:val="auto"/>
                <w:w w:val="97"/>
              </w:rPr>
              <w:t>Average Price Paid per</w:t>
            </w:r>
          </w:p>
        </w:tc>
        <w:tc>
          <w:tcPr>
            <w:tcW w:w="208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Publicly Announced Plans</w:t>
            </w:r>
          </w:p>
        </w:tc>
        <w:tc>
          <w:tcPr>
            <w:tcW w:w="100" w:type="dxa"/>
            <w:vAlign w:val="bottom"/>
          </w:tcPr>
          <w:p>
            <w:pPr>
              <w:spacing w:after="0"/>
              <w:rPr>
                <w:sz w:val="17"/>
                <w:szCs w:val="17"/>
                <w:color w:val="auto"/>
              </w:rPr>
            </w:pPr>
          </w:p>
        </w:tc>
        <w:tc>
          <w:tcPr>
            <w:tcW w:w="21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Purchased Under the Plans</w:t>
            </w:r>
          </w:p>
        </w:tc>
      </w:tr>
      <w:tr>
        <w:trPr>
          <w:trHeight w:val="272"/>
        </w:trPr>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(a)</w:t>
            </w:r>
          </w:p>
        </w:tc>
        <w:tc>
          <w:tcPr>
            <w:tcW w:w="80" w:type="dxa"/>
            <w:vAlign w:val="bottom"/>
          </w:tcPr>
          <w:p>
            <w:pPr>
              <w:spacing w:after="0"/>
              <w:rPr>
                <w:sz w:val="23"/>
                <w:szCs w:val="2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2"/>
                <w:szCs w:val="22"/>
                <w:b w:val="1"/>
                <w:bCs w:val="1"/>
                <w:color w:val="auto"/>
                <w:w w:val="92"/>
                <w:vertAlign w:val="superscript"/>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or Programs</w:t>
            </w:r>
            <w:r>
              <w:rPr>
                <w:rFonts w:ascii="Times New Roman" w:cs="Times New Roman" w:eastAsia="Times New Roman" w:hAnsi="Times New Roman"/>
                <w:sz w:val="22"/>
                <w:szCs w:val="22"/>
                <w:b w:val="1"/>
                <w:bCs w:val="1"/>
                <w:color w:val="auto"/>
                <w:w w:val="94"/>
                <w:vertAlign w:val="superscript"/>
              </w:rPr>
              <w:t>(a)</w:t>
            </w:r>
          </w:p>
        </w:tc>
        <w:tc>
          <w:tcPr>
            <w:tcW w:w="100" w:type="dxa"/>
            <w:vAlign w:val="bottom"/>
          </w:tcPr>
          <w:p>
            <w:pPr>
              <w:spacing w:after="0"/>
              <w:rPr>
                <w:sz w:val="23"/>
                <w:szCs w:val="2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or Programs</w:t>
            </w:r>
            <w:r>
              <w:rPr>
                <w:rFonts w:ascii="Times New Roman" w:cs="Times New Roman" w:eastAsia="Times New Roman" w:hAnsi="Times New Roman"/>
                <w:sz w:val="22"/>
                <w:szCs w:val="22"/>
                <w:b w:val="1"/>
                <w:bCs w:val="1"/>
                <w:color w:val="auto"/>
                <w:w w:val="94"/>
                <w:vertAlign w:val="superscript"/>
              </w:rPr>
              <w:t>(a)</w:t>
            </w:r>
          </w:p>
        </w:tc>
      </w:tr>
      <w:tr>
        <w:trPr>
          <w:trHeight w:val="225"/>
        </w:trPr>
        <w:tc>
          <w:tcPr>
            <w:tcW w:w="2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 2024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31, 2024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 2024</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$4,775,900</w:t>
            </w:r>
          </w:p>
        </w:tc>
      </w:tr>
      <w:tr>
        <w:trPr>
          <w:trHeight w:val="225"/>
        </w:trPr>
        <w:tc>
          <w:tcPr>
            <w:tcW w:w="21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66" w:lineRule="exact"/>
        <w:rPr>
          <w:sz w:val="20"/>
          <w:szCs w:val="20"/>
          <w:color w:val="auto"/>
        </w:rPr>
      </w:pPr>
    </w:p>
    <w:p>
      <w:pPr>
        <w:ind w:left="320" w:right="520" w:hanging="314"/>
        <w:spacing w:after="0" w:line="227" w:lineRule="auto"/>
        <w:tabs>
          <w:tab w:leader="none" w:pos="315"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On June 10, 2024, the Company’s Board of Directors announced the approval of a share repurchase program authorizing the repurchase of up to $5 million of the Company’s common stock, with no expiration date. For further information regarding stock repurchase activity, see Note 16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Repurchase Program </w:t>
      </w:r>
      <w:r>
        <w:rPr>
          <w:rFonts w:ascii="Times New Roman" w:cs="Times New Roman" w:eastAsia="Times New Roman" w:hAnsi="Times New Roman"/>
          <w:sz w:val="18"/>
          <w:szCs w:val="18"/>
          <w:color w:val="auto"/>
        </w:rPr>
        <w:t>to the consolidated financial statements in this Annual Report.</w:t>
      </w:r>
    </w:p>
    <w:p>
      <w:pPr>
        <w:spacing w:after="0" w:line="120"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does not include costs associated with the repurchases.</w:t>
      </w:r>
    </w:p>
    <w:p>
      <w:pPr>
        <w:spacing w:after="0" w:line="1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54" w:name="page55"/>
    <w:bookmarkEnd w:id="5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 thereto included elsewhere in this Annual Report.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in the sections entitled “Risk Factors” and “Forward-Looking Statements” included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The Company served approximately 7,020 PACE participants as of June 30, 2024, making it the largest PACE provider in the U.S. based upon participants served, and operates 20 PACE centers across Colorado, California, Florida, New Mexico, Pennsylvania and Virginia. During the year ended June 30, 2024, the Company opened two de novo centers in Tampa and Orlando, Florida, and acquired two PACE centers in California from ConcertoCare, which include one operating center in the Crenshaw neighborhood of Los Angeles, and a second program that is a planned de novo in Bakersfield, California.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InnovAge’s programs are designed to allow frail seniors to live life on their terms by aging in place, in their own homes and communities, for as long as safely possible. Through our Program of All-Inclusive Care for the Elderly (“PACE”) program, we fulfill a broad range of medical and ancillary services for seniors, including in-home care services (skilled, unskilled and personal care), 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w:t>
      </w:r>
    </w:p>
    <w:p>
      <w:pPr>
        <w:spacing w:after="0" w:line="1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the leading healthcare delivery platform by number of participants focused on providing all-inclusive, capitated care to high-cost, dual-eligible seniors. Our programs are designed to directly address two of the most pressing challenges facing the U.S. healthcare industry: rising costs and poor outcomes. Our participant-centered care delivery approach is designed to improve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oversee all aspects of each participant’s unique care plan and function as the core group of care providers to our participants. We directly manage and are responsible for all healthcare needs and associated costs for our participants, including housing costs, where applicable.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During fiscal year 2024, the U.S. continued to wrestle with inflation and the health industry continued to face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due to labor shortages and increased competition among healthcare professionals. In fiscal year 2023 and 2024, in response to high levels of inflation, we implemented various mitigation strategies to reduce costs of operation, including consolidating services, price negotiations with providers and vendors and limiting corporate staffing, and effecting a reduction in workforce in December 2022 and October 2023. Inflationary pressures eased significantly during the second half of fiscal year 2024 and abated to normalized levels. The effects of inflation, after accounting for these mitigation strategies, were immaterial to our financial results for fiscal year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55" w:name="page56"/>
    <w:bookmarkEnd w:id="55"/>
    <w:p>
      <w:pPr>
        <w:jc w:val="both"/>
        <w:ind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Increased cost of care</w:t>
      </w:r>
      <w:r>
        <w:rPr>
          <w:rFonts w:ascii="Times New Roman" w:cs="Times New Roman" w:eastAsia="Times New Roman" w:hAnsi="Times New Roman"/>
          <w:sz w:val="17"/>
          <w:szCs w:val="17"/>
          <w:color w:val="auto"/>
        </w:rPr>
        <w:t>. In fiscal year 2024, operating expenses increased $49.6 million, or 6.7%, compared to 2023 due to (i) the increased cost of 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related cost per participant as a result of increased salaries, wages and benefits associated with increased headcount and higher wage rates and (ii) increased fleet and contract transportation due to an increase in external appointments related to growing census. Additionally, external provider costs increased in the fiscal year 2024 compared to 2023 due to annual increases in assisted living and nursing facility unit cost and general medical inflation. In an effort to mitigate the effects of these rising costs, in fiscal years 2023 and 2024, we implemented and continued certain clinical value initiatives designed to manage participant expenses and reduce low-value utilization of services and an infrastructure to ensure accurate reimbursement of services. During fiscal year 2024, we continued to strengthen our payer capabilities and reduced external provider costs, which we believe to be a result of our maturing clinical value initiatives. Additionally, in fiscal year 2024 we introduced operational value initiatives to complement our clinical value initiatives. These initiatives are focused on identifying value-creation opportunities at the center operating level and the selling, general and administrative level to drive staff productivity, operating efficiency and vendor unit economics from better leveraging people, process and technology. While we expect to continue to experience elevated operating expenses during fiscal year 2025 for similar reasons, we also expect that our clinical value initiatives will help offset increasing cost of care.</w:t>
      </w:r>
    </w:p>
    <w:p>
      <w:pPr>
        <w:spacing w:after="0" w:line="17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Census and capitation revenue. </w:t>
      </w:r>
      <w:r>
        <w:rPr>
          <w:rFonts w:ascii="Times New Roman" w:cs="Times New Roman" w:eastAsia="Times New Roman" w:hAnsi="Times New Roman"/>
          <w:sz w:val="17"/>
          <w:szCs w:val="17"/>
          <w:color w:val="auto"/>
        </w:rPr>
        <w:t>On May 11, 2023, President Biden allowed the national emergency and public health emergency declarations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COVID-19 pandemic to expire, which ended certain Medicaid waivers. While states have resumed processing new Medicaid applications and redeterminations of beneficiary eligibility, the healthcare industry, including the Company, experienced increased delays in the processing of such applications. As a result of such delays, the Company experienced an increase in gaps of eligibility with redetermination applications during fiscal year 2024, which is expected to continue through fiscal year 2025. While participants continue to receive care and remain enrolled with the Company during this time, the effect of such delays temporarily halts Medicaid revenue related to any closed application and simultaneously increases our risk of revenue recovery. In an effort to mitigate these risks, the Company utilizes State approved third-party eligibility partners to expedite applications, escalate delayed cases to State administrators, and pursue safe discharges for individuals who are truly ineligible. There has not been a material effect on the Company’s financial statements or operations due to this situation. The Company has experienced aging report accounts and financial losses being normalized to pre-public health emergency levels. The Company expects to continue these mitigating measures during fiscal year 2025 and will continue to assess the situation as it evolves.</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healthcare sector continues to experience a complex set of challenges in hiring additional professionals. Specifically, the demand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services has been steadily increasing due to an aging population and a greater focus on health and wellness in society. In addition, there are systemic challenges related to workforce training and the pipeline of qualified professionals, which have not kept pace with this growing demand. Furthermore, high inflation experienced during fiscal year 2023, which continued through fiscal year 2024 increased the cost of living, and subsequently, wage pressure for healthcare professionals, with a shift towards an employee-centric market with an emphasis on competitive compensation, flexibility and professional growth opportunities, which contributed to an increasingly competitive labor market. In an effort to mitigate the effects of these challenges, we adopted strategies to offer competitive compensation packages. Partially as a result of increased competition and other market trends, in conjunction with increased staffing related to compliance and remediation efforts in our centers, there was an increase in the cost of care for the fiscal year 2024 compared to 2023, as discussed in "Results of Operations" below.</w:t>
      </w:r>
    </w:p>
    <w:p>
      <w:pPr>
        <w:spacing w:after="0" w:line="1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Additionally, on October 13, 2023, California passed into law California Senate Bill No. 525 ("SB 525"), which would raise the minimum wage for many California healthcare workers. SB 525 becomes effective when certain financial metrics within the State of California are met. Even though SB 525 is not yet effective and PACE centers are not covered by it, many of our contractors and other third-party providers are expected to be impacted by SB 525, and we believe that due to this and other macroeconomic factors, our California centers have received provider requests to increase rates to cover their increased costs. In addition, as a result of competition generated by SB 525 and other California market conditions, we have increased our wages for healthcare workers and other comparable market positions in the California market. These increases did not have a material impact on our labor costs, financial statements or operations for the fourth quarter or fiscal year 2024. We will continue to evaluate the impact of this legislation on our business.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in fiscal year 2024, the nurses in our Pennsylvania centers voted to unionize and collective bargaining commenced in late 2024. These employees represent approximately 1% of our total workforce. We currently do not expect the impact from the negotiated collective bargaining agreement and costs for unionized employees to have a material effect on our costs of labor or operations. However, we cannot predict whether other employees will follow a similar course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56" w:name="page57"/>
    <w:bookmarkEnd w:id="56"/>
    <w:p>
      <w:pPr>
        <w:ind w:firstLine="318"/>
        <w:spacing w:after="0" w:line="274"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regulation, and employee matters, please see the section entitled “Risk Factors” included in Part I, Item 1A of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189" w:lineRule="exact"/>
        <w:rPr>
          <w:sz w:val="20"/>
          <w:szCs w:val="20"/>
          <w:color w:val="auto"/>
        </w:rPr>
      </w:pPr>
    </w:p>
    <w:p>
      <w:pPr>
        <w:jc w:val="both"/>
        <w:ind w:left="960" w:hanging="318"/>
        <w:spacing w:after="0" w:line="248" w:lineRule="auto"/>
        <w:tabs>
          <w:tab w:leader="none" w:pos="9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 directly contract with government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RAF score of 2.46 based on InnovAge data as of June 30, 2024, compared to an average RAF score of 1.08 for Medicare fee-for-service non-dual enrollees, as calculated in an analysis by Avalere Health in June 2020 of a cohort of individuals enrolled in Medicare Fee-for-Service in 2019;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In fiscal year 2023, we began working on expanding payer capabilities which we continued to strengthen in fiscal 2024 so that our revenue more accurately reflects the acuity of the populations we serve.</w:t>
      </w:r>
    </w:p>
    <w:p>
      <w:pPr>
        <w:spacing w:after="0" w:line="145" w:lineRule="exact"/>
        <w:rPr>
          <w:rFonts w:ascii="Times New Roman" w:cs="Times New Roman" w:eastAsia="Times New Roman" w:hAnsi="Times New Roman"/>
          <w:sz w:val="18"/>
          <w:szCs w:val="18"/>
          <w:i w:val="1"/>
          <w:iCs w:val="1"/>
          <w:color w:val="auto"/>
        </w:rPr>
      </w:pPr>
    </w:p>
    <w:p>
      <w:pPr>
        <w:jc w:val="both"/>
        <w:ind w:left="960" w:hanging="318"/>
        <w:spacing w:after="0" w:line="26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 access to the type of all-inclusive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by the PACE model. Several factors can affect our ability to grow enrollment and capacity within existing centers, including sanctions issued by regulators or suspensions of State attestations required to open new de novo centers.</w:t>
      </w:r>
    </w:p>
    <w:p>
      <w:pPr>
        <w:spacing w:after="0" w:line="132" w:lineRule="exact"/>
        <w:rPr>
          <w:rFonts w:ascii="Times New Roman" w:cs="Times New Roman" w:eastAsia="Times New Roman" w:hAnsi="Times New Roman"/>
          <w:sz w:val="18"/>
          <w:szCs w:val="18"/>
          <w:color w:val="auto"/>
        </w:rPr>
      </w:pPr>
    </w:p>
    <w:p>
      <w:pPr>
        <w:jc w:val="both"/>
        <w:ind w:left="960" w:hanging="318"/>
        <w:spacing w:after="0" w:line="253"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Our comprehensive individualized care model and frequency of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participants generates high levels of participant satisfaction. We achieved an average NPS score of 46 for fiscal year 2024 and average participant tenure of 3.6 years as of June 30, 2024, measured as tenure from enrollment to disenrollment, among our centers that have been operated by us for at least five years. Furthermore, we experience low levels of voluntary disenrollment, averaging 6.9% annually over the last three fiscal years.</w:t>
      </w:r>
    </w:p>
    <w:p>
      <w:pPr>
        <w:spacing w:after="0" w:line="154" w:lineRule="exact"/>
        <w:rPr>
          <w:rFonts w:ascii="Times New Roman" w:cs="Times New Roman" w:eastAsia="Times New Roman" w:hAnsi="Times New Roman"/>
          <w:sz w:val="18"/>
          <w:szCs w:val="18"/>
          <w:color w:val="auto"/>
        </w:rPr>
      </w:pPr>
    </w:p>
    <w:p>
      <w:pPr>
        <w:jc w:val="both"/>
        <w:ind w:left="960" w:hanging="318"/>
        <w:spacing w:after="0" w:line="25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 totality of a participant’s medical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settings. The risk pool of our population became more acute in fiscal year 2023 as we were not able to replenish our population mix with newer, lower-acuity participants as a result of State sanctions. Together with the factors disclosed above (increased salaries, wages and benefits, increased fleet and contract transportation costs, annual increases in assisted living and nursing facility unit cost and general medical inflation), our external provider costs and cost of care, excluding depreciation and amortization, represented approximately 83% of our revenue in the year ended June 30, 2024.</w:t>
      </w:r>
    </w:p>
    <w:p>
      <w:pPr>
        <w:spacing w:after="0" w:line="145"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The Company’s management uses Center-level Contribution Margin as the measure for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its operating segments. As we serve more participants in existing centers, we expect to leverage our fixed cost base at those centers and increase the value of a center to our business increases over time.</w:t>
      </w:r>
    </w:p>
    <w:p>
      <w:pPr>
        <w:spacing w:after="0" w:line="132"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de novo centers within existing and new markets. </w:t>
      </w:r>
      <w:r>
        <w:rPr>
          <w:rFonts w:ascii="Times New Roman" w:cs="Times New Roman" w:eastAsia="Times New Roman" w:hAnsi="Times New Roman"/>
          <w:sz w:val="18"/>
          <w:szCs w:val="18"/>
          <w:color w:val="auto"/>
        </w:rPr>
        <w:t>Several factors can affect our ability to open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sanctions issued by regulators, legal, community or other obstacles in the construction of such centers, and our ability to hire and train enough workers to ramp up these centers to maturity.</w:t>
      </w:r>
    </w:p>
    <w:p>
      <w:pPr>
        <w:spacing w:after="0" w:line="148" w:lineRule="exact"/>
        <w:rPr>
          <w:rFonts w:ascii="Times New Roman" w:cs="Times New Roman" w:eastAsia="Times New Roman" w:hAnsi="Times New Roman"/>
          <w:sz w:val="18"/>
          <w:szCs w:val="18"/>
          <w:color w:val="auto"/>
        </w:rPr>
      </w:pPr>
    </w:p>
    <w:p>
      <w:pPr>
        <w:ind w:left="9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 audit to our Sacramento center and a medical review of our San Bernardino center, which have been previously disclosed, the California Department of Health Care Services (“DHCS") notified us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57" w:name="page58"/>
    <w:bookmarkEnd w:id="57"/>
    <w:p>
      <w:pPr>
        <w:jc w:val="both"/>
        <w:ind w:left="318"/>
        <w:spacing w:after="0" w:line="255" w:lineRule="auto"/>
        <w:rPr>
          <w:sz w:val="20"/>
          <w:szCs w:val="20"/>
          <w:color w:val="auto"/>
        </w:rPr>
      </w:pPr>
      <w:r>
        <w:rPr>
          <w:rFonts w:ascii="Times New Roman" w:cs="Times New Roman" w:eastAsia="Times New Roman" w:hAnsi="Times New Roman"/>
          <w:sz w:val="18"/>
          <w:szCs w:val="18"/>
          <w:color w:val="auto"/>
        </w:rPr>
        <w:t>that it was suspending its attestations in support of the planned de novo center in Downey and the recently acquired planned de novo center in Bakersfield. CMS has closed its process and DHCS's process is ongoing. While the planned California de novo centers are precluded from opening at this time, DHCS notified us that it would consider restoring the State Attestations upon our successful remediation of the deficiencies raised in our Sacramento center.</w:t>
      </w:r>
    </w:p>
    <w:p>
      <w:pPr>
        <w:spacing w:after="0" w:line="139" w:lineRule="exact"/>
        <w:rPr>
          <w:sz w:val="20"/>
          <w:szCs w:val="20"/>
          <w:color w:val="auto"/>
        </w:rPr>
      </w:pPr>
    </w:p>
    <w:p>
      <w:pPr>
        <w:jc w:val="both"/>
        <w:ind w:left="318" w:hanging="318"/>
        <w:spacing w:after="0" w:line="250" w:lineRule="auto"/>
        <w:tabs>
          <w:tab w:leader="none" w:pos="3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and partnerships. </w:t>
      </w:r>
      <w:r>
        <w:rPr>
          <w:rFonts w:ascii="Times New Roman" w:cs="Times New Roman" w:eastAsia="Times New Roman" w:hAnsi="Times New Roman"/>
          <w:sz w:val="18"/>
          <w:szCs w:val="18"/>
          <w:color w:val="auto"/>
        </w:rPr>
        <w:t>Over the past six fiscal years, we have acquired and integrated four PACE organizations for a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eight operational centers (excluding the 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geography, such as the joint venture we entered into at our Orlando PACE center with Orlando Health during the fourth quarter of fiscal year 2024.</w:t>
      </w:r>
    </w:p>
    <w:p>
      <w:pPr>
        <w:spacing w:after="0" w:line="146" w:lineRule="exact"/>
        <w:rPr>
          <w:rFonts w:ascii="Times New Roman" w:cs="Times New Roman" w:eastAsia="Times New Roman" w:hAnsi="Times New Roman"/>
          <w:sz w:val="18"/>
          <w:szCs w:val="18"/>
          <w:color w:val="auto"/>
        </w:rPr>
      </w:pPr>
    </w:p>
    <w:p>
      <w:pPr>
        <w:ind w:left="318" w:hanging="318"/>
        <w:spacing w:after="0" w:line="276" w:lineRule="auto"/>
        <w:tabs>
          <w:tab w:leader="none" w:pos="3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high quality of regulatory compliance</w:t>
      </w:r>
      <w:r>
        <w:rPr>
          <w:rFonts w:ascii="Times New Roman" w:cs="Times New Roman" w:eastAsia="Times New Roman" w:hAnsi="Times New Roman"/>
          <w:sz w:val="18"/>
          <w:szCs w:val="18"/>
          <w:color w:val="auto"/>
        </w:rPr>
        <w:t>. The Company’s priority is to continue to maintain high quality of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its centers.</w:t>
      </w:r>
    </w:p>
    <w:p>
      <w:pPr>
        <w:spacing w:after="0" w:line="133" w:lineRule="exact"/>
        <w:rPr>
          <w:rFonts w:ascii="Times New Roman" w:cs="Times New Roman" w:eastAsia="Times New Roman" w:hAnsi="Times New Roman"/>
          <w:sz w:val="18"/>
          <w:szCs w:val="18"/>
          <w:color w:val="auto"/>
        </w:rPr>
      </w:pPr>
    </w:p>
    <w:p>
      <w:pPr>
        <w:jc w:val="both"/>
        <w:ind w:left="318" w:hanging="318"/>
        <w:spacing w:after="0" w:line="256" w:lineRule="auto"/>
        <w:tabs>
          <w:tab w:leader="none" w:pos="3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 government payors, namely Medicare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37" w:lineRule="exact"/>
        <w:rPr>
          <w:rFonts w:ascii="Times New Roman" w:cs="Times New Roman" w:eastAsia="Times New Roman" w:hAnsi="Times New Roman"/>
          <w:sz w:val="18"/>
          <w:szCs w:val="18"/>
          <w:color w:val="auto"/>
        </w:rPr>
      </w:pPr>
    </w:p>
    <w:p>
      <w:pPr>
        <w:jc w:val="both"/>
        <w:ind w:left="318" w:hanging="318"/>
        <w:spacing w:after="0" w:line="250" w:lineRule="auto"/>
        <w:tabs>
          <w:tab w:leader="none" w:pos="3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 sales and marketing organization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long-term growth. We expect our expenses to increase in absolute dollars for the foreseeable future to support our growth due, partially, to additional costs we incur in connection with audits to our centers, remediation plans and current and potential legal and regulatory proceedings. We plan to invest in future growth judiciously and maintain focus on managing our results of operations. We are investing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46" w:lineRule="exact"/>
        <w:rPr>
          <w:rFonts w:ascii="Times New Roman" w:cs="Times New Roman" w:eastAsia="Times New Roman" w:hAnsi="Times New Roman"/>
          <w:sz w:val="18"/>
          <w:szCs w:val="18"/>
          <w:color w:val="auto"/>
        </w:rPr>
      </w:pPr>
    </w:p>
    <w:p>
      <w:pPr>
        <w:jc w:val="both"/>
        <w:ind w:left="318" w:hanging="318"/>
        <w:spacing w:after="0" w:line="264" w:lineRule="auto"/>
        <w:tabs>
          <w:tab w:leader="none" w:pos="31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Seasonality to our business</w:t>
      </w:r>
      <w:r>
        <w:rPr>
          <w:rFonts w:ascii="Times New Roman" w:cs="Times New Roman" w:eastAsia="Times New Roman" w:hAnsi="Times New Roman"/>
          <w:sz w:val="17"/>
          <w:szCs w:val="17"/>
          <w:color w:val="auto"/>
        </w:rPr>
        <w:t>. Our operational and financial results, including medical costs and per-participant revenue true-ups, will experience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some variability depending upon the time of year in which they are measured. 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 up revenue. Historically, these true-up payments typically occur between May and August, but the timing of these payments is determined by CMS, and we have neither visibility into nor control over the timing of such payments. The variability of participant enrollments during the open enrollment period has also been impacted by additional offerings by MA and other competitors. We believe that, as a result of these additional offerings, we experienced higher than expected disenrollments during fiscal year 2024.</w:t>
      </w:r>
    </w:p>
    <w:p>
      <w:pPr>
        <w:spacing w:after="0" w:line="200" w:lineRule="exact"/>
        <w:rPr>
          <w:sz w:val="20"/>
          <w:szCs w:val="20"/>
          <w:color w:val="auto"/>
        </w:rPr>
      </w:pPr>
    </w:p>
    <w:p>
      <w:pPr>
        <w:spacing w:after="0" w:line="352" w:lineRule="exact"/>
        <w:rPr>
          <w:sz w:val="20"/>
          <w:szCs w:val="20"/>
          <w:color w:val="auto"/>
        </w:rPr>
      </w:pPr>
    </w:p>
    <w:p>
      <w:pPr>
        <w:ind w:left="4898"/>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98"/>
          </w:cols>
          <w:pgMar w:left="962" w:top="127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 medical care across all settings, we receive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capitated fees per participant that are paid monthly by Medicare, Medicaid, Veterans Affairs (“VA”) and private pay sources. The concentration of capitation revenue from our various payors was: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less than 1%</w:t>
      </w:r>
    </w:p>
    <w:p>
      <w:pPr>
        <w:spacing w:after="0" w:line="17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w:t>
      </w:r>
    </w:p>
    <w:p>
      <w:pPr>
        <w:spacing w:after="0" w:line="1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state food grants and rent revenues. For a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 non-InnovAge providers. We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1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includes the costs we incur to operate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5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 commissions, and employee benefits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4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include employee-related expenses,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costs. In addition, general and administrative expenses include all corporate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3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 and leasehold improvements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vehicles. Depreciation and amortization are recorded using the straight-line method over the shorter of estimated useful life or lease terms, to the extent the assets are being leased.</w:t>
      </w:r>
    </w:p>
    <w:p>
      <w:pPr>
        <w:spacing w:after="0" w:line="13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 for more detailed information regarding our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80" w:type="dxa"/>
            <w:vAlign w:val="bottom"/>
          </w:tcPr>
          <w:p>
            <w:pPr>
              <w:spacing w:after="0"/>
              <w:rPr>
                <w:sz w:val="16"/>
                <w:szCs w:val="16"/>
                <w:color w:val="auto"/>
              </w:rPr>
            </w:pP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5"/>
                <w:szCs w:val="15"/>
                <w:color w:val="auto"/>
              </w:rPr>
            </w:pPr>
          </w:p>
        </w:tc>
      </w:tr>
      <w:tr>
        <w:trPr>
          <w:trHeight w:val="38"/>
        </w:trPr>
        <w:tc>
          <w:tcPr>
            <w:tcW w:w="7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762,570</w:t>
            </w:r>
          </w:p>
        </w:tc>
        <w:tc>
          <w:tcPr>
            <w:tcW w:w="100" w:type="dxa"/>
            <w:vAlign w:val="bottom"/>
          </w:tcPr>
          <w:p>
            <w:pPr>
              <w:spacing w:after="0"/>
              <w:rPr>
                <w:sz w:val="21"/>
                <w:szCs w:val="21"/>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686,836</w:t>
            </w:r>
          </w:p>
        </w:tc>
      </w:tr>
      <w:tr>
        <w:trPr>
          <w:trHeight w:val="252"/>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1,251</w:t>
            </w:r>
          </w:p>
        </w:tc>
      </w:tr>
      <w:tr>
        <w:trPr>
          <w:trHeight w:val="245"/>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763,855</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688,087</w:t>
            </w:r>
          </w:p>
        </w:tc>
      </w:tr>
      <w:tr>
        <w:trPr>
          <w:trHeight w:val="23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3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403,010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374,528</w:t>
            </w:r>
          </w:p>
        </w:tc>
      </w:tr>
      <w:tr>
        <w:trPr>
          <w:trHeight w:val="258"/>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228,781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212,271</w:t>
            </w: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19,627</w:t>
            </w:r>
          </w:p>
        </w:tc>
      </w:tr>
      <w:tr>
        <w:trPr>
          <w:trHeight w:val="258"/>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115,637</w:t>
            </w:r>
          </w:p>
        </w:tc>
      </w:tr>
      <w:tr>
        <w:trPr>
          <w:trHeight w:val="246"/>
        </w:trPr>
        <w:tc>
          <w:tcPr>
            <w:tcW w:w="7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15,419</w:t>
            </w:r>
          </w:p>
        </w:tc>
      </w:tr>
      <w:tr>
        <w:trPr>
          <w:trHeight w:val="251"/>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787,035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737,482</w:t>
            </w:r>
          </w:p>
        </w:tc>
      </w:tr>
      <w:tr>
        <w:trPr>
          <w:trHeight w:val="23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(23,180)</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(49,395)</w:t>
            </w:r>
          </w:p>
        </w:tc>
      </w:tr>
      <w:tr>
        <w:trPr>
          <w:trHeight w:val="251"/>
        </w:trPr>
        <w:tc>
          <w:tcPr>
            <w:tcW w:w="7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8"/>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(1,522)</w:t>
            </w:r>
          </w:p>
        </w:tc>
      </w:tr>
      <w:tr>
        <w:trPr>
          <w:trHeight w:val="246"/>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cost and equity method investments</w:t>
            </w:r>
          </w:p>
        </w:tc>
        <w:tc>
          <w:tcPr>
            <w:tcW w:w="38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r>
      <w:tr>
        <w:trPr>
          <w:trHeight w:val="245"/>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(1,398)</w:t>
            </w:r>
          </w:p>
        </w:tc>
      </w:tr>
      <w:tr>
        <w:trPr>
          <w:trHeight w:val="25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(50,793)</w:t>
            </w:r>
          </w:p>
        </w:tc>
      </w:tr>
      <w:tr>
        <w:trPr>
          <w:trHeight w:val="24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(7,241)</w:t>
            </w:r>
          </w:p>
        </w:tc>
      </w:tr>
      <w:tr>
        <w:trPr>
          <w:trHeight w:val="24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(43,552)</w:t>
            </w:r>
          </w:p>
        </w:tc>
      </w:tr>
      <w:tr>
        <w:trPr>
          <w:trHeight w:val="245"/>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(2,879)</w:t>
            </w:r>
          </w:p>
        </w:tc>
      </w:tr>
      <w:tr>
        <w:trPr>
          <w:trHeight w:val="27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InnovAge Holding Corp.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(40,673)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as a % of revenue</w:t>
            </w:r>
          </w:p>
        </w:tc>
        <w:tc>
          <w:tcPr>
            <w:tcW w:w="568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as a % of revenue</w:t>
            </w:r>
          </w:p>
        </w:tc>
        <w:tc>
          <w:tcPr>
            <w:tcW w:w="5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901"/>
        </w:trPr>
        <w:tc>
          <w:tcPr>
            <w:tcW w:w="4460" w:type="dxa"/>
            <w:vAlign w:val="bottom"/>
          </w:tcPr>
          <w:p>
            <w:pPr>
              <w:spacing w:after="0"/>
              <w:rPr>
                <w:sz w:val="24"/>
                <w:szCs w:val="24"/>
                <w:color w:val="auto"/>
              </w:rPr>
            </w:pPr>
          </w:p>
        </w:tc>
        <w:tc>
          <w:tcPr>
            <w:tcW w:w="5680" w:type="dxa"/>
            <w:vAlign w:val="bottom"/>
          </w:tcPr>
          <w:p>
            <w:pPr>
              <w:jc w:val="right"/>
              <w:ind w:right="4332"/>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Pr>
          <w:p>
            <w:pPr>
              <w:spacing w:after="0"/>
              <w:rPr>
                <w:sz w:val="24"/>
                <w:szCs w:val="24"/>
                <w:color w:val="auto"/>
              </w:rPr>
            </w:pPr>
          </w:p>
        </w:tc>
      </w:tr>
      <w:tr>
        <w:trPr>
          <w:trHeight w:val="111"/>
        </w:trPr>
        <w:tc>
          <w:tcPr>
            <w:tcW w:w="4460" w:type="dxa"/>
            <w:vAlign w:val="bottom"/>
            <w:tcBorders>
              <w:bottom w:val="single" w:sz="8" w:color="9A9A9A"/>
            </w:tcBorders>
          </w:tcPr>
          <w:p>
            <w:pPr>
              <w:spacing w:after="0"/>
              <w:rPr>
                <w:sz w:val="9"/>
                <w:szCs w:val="9"/>
                <w:color w:val="auto"/>
              </w:rPr>
            </w:pPr>
          </w:p>
        </w:tc>
        <w:tc>
          <w:tcPr>
            <w:tcW w:w="5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6"/>
              </w:rPr>
              <w:t>762,570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686,836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32"/>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1,285</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61"/>
        </w:trPr>
        <w:tc>
          <w:tcPr>
            <w:tcW w:w="4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763,855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688,087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$762.6 million for the year ended June 30, 2024, an increase of $75.7 million, or 11.0%, compared to $686.8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June 30, 2023. This increase was driven by a $30.8 million, or 4.5% increase in member months (as defined below under “Key Business Metrics and non-GAAP Measures – Total member months”) coupled with a $44.9 million, or 6.3%, increase in capitation rates. The increase in member months was primarily due to the release of sanctions at our Sacramento, California center and at our Colorado centers. The increase in capitation rates was primarily driven by an annual increase in both Medicaid capitation rates as determined by the States and Medicare capitation rates as a result of increased risk score and county rates.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374,528</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5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228,781</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212,271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1"/>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5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5"/>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64"/>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787,035</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737,482</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$403.0 million for the year ended June 30, 2024, an increase of $28.5 million, or 7.6%,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$374.5 million for the year ended June 30, 2023. The increase was primarily driven by an increase of $16.8 million, or 4.5% in member months coupled with an increase of $11.7 million, or 3.0%, in cost per participant. The increase in cost per participant was primarily driven by a $9.6 million increase associated with increased assisted living utilization and unit cost and a $3.6 million increase associated with higher professional services utilization. This was partially offset by a $5.1 million reduction in permanent nursing facility utilization.</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 was $228.8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an increase of $16.5 million, or 7.8%, compared to $212.3 million for the year ended June 30, 2023, primarily due to an increase of $7.0 million, or 3.1%, in cost per participant coupled with an increase of $9.5 million, or 4.5%, in member months. The increase in cost per participant was driven by (i) a $12.8 million increase in salaries, wages and benefits associated with increased headcount to support growth and higher wage rates, (ii) a $2.3 million increase in contract provider expense in California, (iii) $1.9 million in increased fleet expense and contract transportation as a result of higher average daily attendance, an increase in external appointments, and higher fuel costs, (iv) $1.2 million in increased building maintenance and security, (v) $1.8 million in software license fees, and (vi) $1.8 million in de novo occupancy and administrative costs inclusive of the Concerto acquisition in December 2023. This was partially offset by a $3.9 million reduction in third party audit and compliance support.</w:t>
      </w:r>
    </w:p>
    <w:p>
      <w:pPr>
        <w:spacing w:after="0" w:line="143"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were $25.0 million for the year ended June 30, 2024, an increase of $5.3 million, or 27.2%,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$19.6 million for the year ended June 30, 2023, primarily due to a $1.6 million increase in marketing spend and a $2.8 million increase in salaries, wages and benefits, both associated with sanction release in our Colorado and Sacramento, California centers as well as opening new centers in Florida.</w:t>
      </w:r>
    </w:p>
    <w:p>
      <w:pPr>
        <w:spacing w:after="0" w:line="1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were $111.3 million for the year ended June 30, 2024,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$4.3 million, or 3.7% compared to $115.6 million for the year ended June 30, 2023. The decrease was primarily due to (i) $2.7 million reduction in third party legal expense, (ii) $2.3 million reduction in insurance expense, (iii) $4.5 million reduction in consulting expense associated with improving organizational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capabilities including the transition to a new electronic medical record (“EMR”), (iv) $2.2 million reduction in contract staff augmentation, and (v) $1.0 million reduction in recruiting expense. These decreases were partially offset by (i) a $3.5 million increase in employee compensation and benefits as the result of an increase in headcount to support compliance and bolster organizational capabilities, (ii) $3.7 million in bad debt expense, and (iii) $1.2 million in consulting costs including Sarbanes-Oxley Act of 2002 compliance, internal audit support, and public relations.</w:t>
      </w:r>
    </w:p>
    <w:p>
      <w:pPr>
        <w:spacing w:after="0" w:line="13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$19.0 million for the year ended June 30, 2024, an increase of $3.5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22.9%, compared to $15.4 million for the year ended June 30, 2023. The increase in depreciation expense was a result of capital additions in the normal course of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(2,501)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0" w:type="dxa"/>
            <w:vAlign w:val="bottom"/>
          </w:tcPr>
          <w:p>
            <w:pPr>
              <w:spacing w:after="0"/>
              <w:rPr>
                <w:sz w:val="1"/>
                <w:szCs w:val="1"/>
                <w:color w:val="auto"/>
              </w:rPr>
            </w:pPr>
          </w:p>
        </w:tc>
      </w:tr>
      <w:tr>
        <w:trPr>
          <w:trHeight w:val="259"/>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cost and equity method investments</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08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2,842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2,418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64"/>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(1,398)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8"/>
              </w:rPr>
              <w:t>2,759</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1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 of interest income earned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restricted cash. Interest expense, net was $4.0 million for the year ended June 30, 2024, an increase of $2.5 million, or 164.3%, compared to $1.5 million for the year ended June 30, 2023. The increase was primarily due to interest expense of $7.5 million partially offset by interest income of $3.5 million from money market funds during the year ended June 30, 2024. Interest income during the year ended June 30, 2023 was $3.4 million from money market funds offsetting interest expense of $4.9 million.</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Gain on cost and equity method investments. </w:t>
      </w:r>
      <w:r>
        <w:rPr>
          <w:rFonts w:ascii="Times New Roman" w:cs="Times New Roman" w:eastAsia="Times New Roman" w:hAnsi="Times New Roman"/>
          <w:sz w:val="18"/>
          <w:szCs w:val="18"/>
          <w:color w:val="auto"/>
        </w:rPr>
        <w:t>Gain on cost and equity method investment was $2.8 million for the year ended June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gain or loss for the year ended June 30, 2023. On March 13, 2024, Pinewood Lodge, LLLP (“PWD”), a variable interest entity of the Company, entered into a Purchase and Sale Agreement for the sale of all of PWD's property, including its senior housing unit, which was used in our operations. On May 2, 2024, PWD closed on the sale of the property. In June 2024, the partnership was dissolved and we recognized a gain of $4.8 million from the dissolution of the partnership. See Note 4 “Cost and Equity Method Investments” to our consolidated financial statements included in this Annual Report for further discussion. The gain was partially offset by impairment losses of $2.0 million in conjunction with our minority interest investment in Jetdoc, Inc. ("Jetdoc") during the year ended June 30, 2024. No observable price changes or impairments were recorded during the year ended June 30, 2023.</w:t>
      </w:r>
    </w:p>
    <w:p>
      <w:pPr>
        <w:spacing w:after="0" w:line="147" w:lineRule="exact"/>
        <w:rPr>
          <w:sz w:val="20"/>
          <w:szCs w:val="20"/>
          <w:color w:val="auto"/>
        </w:rPr>
      </w:pPr>
    </w:p>
    <w:p>
      <w:pPr>
        <w:ind w:left="80" w:right="20"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consists primarily of the net proceeds received from the sale of or disposal of property and equipment,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and investment income related to short-term investments. Other income was $2.5 million for the year ended June 30, 2024, an increase of $2.4 million, compared to $0.1 million for the year ended June 30, 2023, due to $2.4 million in investment income related to short-term investments. Investment income during the year ended June 30, 2023 was $1.2 million offset by $1.1 million loss on disposal of capital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81" w:lineRule="exact"/>
        <w:rPr>
          <w:sz w:val="20"/>
          <w:szCs w:val="20"/>
          <w:color w:val="auto"/>
        </w:rPr>
      </w:pPr>
    </w:p>
    <w:p>
      <w:pPr>
        <w:ind w:right="100" w:firstLine="318"/>
        <w:spacing w:after="0" w:line="232"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(benefit) for income taxes for SH1 or InnovAge Sacramento is included in these consolidated financial statements. Further, the Company entered into a joint venture called InnovAge Florida PACE – Orlando on May 28, 2024 and its members elected to be taxed as a partnership. No provision (benefit) for income taxes for InnovAge Orlando is included in these consolidated financial statements for activity occurring from joint venture formation date through the balance of the fiscal year.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2" w:name="page63"/>
    <w:bookmarkEnd w:id="62"/>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June 30, 2024 and 2023, we reported provision (benefit) for income taxes of $1.4 million and $(7.2) million, respectively. The decrease of $8.6 million is primarily due to (i) pretax book loss recognized during the year ended June 30, 2024, as compared to the pretax book loss recognized during the year ended June 30, 2023 and (ii) the change in our valuation allowance.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InnovAge Senior Housing Thornton, LLC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as net loss attributable to noncontrolling interests.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June 30, 2024 and 2023, we reported net loss of $23.2 million and $43.6 million, respectively, consisting of (i) operating loss of $23.2 million and $49.4 million, respectively, (ii) other income of $1.4 million and other expense of $1.4 million, respectively, and (iii) provision for income taxes of $1.4 million and benefit for income taxes of $7.2 million, respectively, each as described above.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80" w:type="dxa"/>
            <w:vAlign w:val="bottom"/>
          </w:tcPr>
          <w:p>
            <w:pPr>
              <w:spacing w:after="0"/>
              <w:rPr>
                <w:sz w:val="16"/>
                <w:szCs w:val="16"/>
                <w:color w:val="auto"/>
              </w:rPr>
            </w:pP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9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5"/>
                <w:szCs w:val="15"/>
                <w:color w:val="auto"/>
              </w:rPr>
            </w:pPr>
          </w:p>
        </w:tc>
      </w:tr>
      <w:tr>
        <w:trPr>
          <w:trHeight w:val="38"/>
        </w:trPr>
        <w:tc>
          <w:tcPr>
            <w:tcW w:w="7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Business Metrics: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Centers</w:t>
            </w:r>
            <w:r>
              <w:rPr>
                <w:rFonts w:ascii="Times New Roman" w:cs="Times New Roman" w:eastAsia="Times New Roman" w:hAnsi="Times New Roman"/>
                <w:sz w:val="22"/>
                <w:szCs w:val="22"/>
                <w:color w:val="auto"/>
                <w:vertAlign w:val="superscript"/>
              </w:rPr>
              <w:t>(a)</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Census</w:t>
            </w:r>
            <w:r>
              <w:rPr>
                <w:rFonts w:ascii="Times New Roman" w:cs="Times New Roman" w:eastAsia="Times New Roman" w:hAnsi="Times New Roman"/>
                <w:sz w:val="22"/>
                <w:szCs w:val="22"/>
                <w:color w:val="auto"/>
                <w:vertAlign w:val="superscript"/>
              </w:rPr>
              <w:t>(a)(b)</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6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2"/>
                <w:szCs w:val="22"/>
                <w:color w:val="auto"/>
                <w:vertAlign w:val="superscript"/>
              </w:rPr>
              <w:t>(b)</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80,840</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77,370</w:t>
            </w:r>
          </w:p>
        </w:tc>
      </w:tr>
      <w:tr>
        <w:trPr>
          <w:trHeight w:val="265"/>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Measures: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Center-level Contribution Margin</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132,064</w:t>
            </w:r>
          </w:p>
        </w:tc>
        <w:tc>
          <w:tcPr>
            <w:tcW w:w="6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101,288</w:t>
            </w:r>
          </w:p>
        </w:tc>
      </w:tr>
      <w:tr>
        <w:trPr>
          <w:trHeight w:val="26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Center-level Contribution Margin as a % of revenue</w:t>
            </w:r>
            <w:r>
              <w:rPr>
                <w:rFonts w:ascii="Times New Roman" w:cs="Times New Roman" w:eastAsia="Times New Roman" w:hAnsi="Times New Roman"/>
                <w:sz w:val="22"/>
                <w:szCs w:val="22"/>
                <w:color w:val="auto"/>
                <w:vertAlign w:val="superscript"/>
              </w:rPr>
              <w:t>(c)</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65"/>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2"/>
                <w:szCs w:val="22"/>
                <w:color w:val="auto"/>
                <w:vertAlign w:val="superscript"/>
              </w:rPr>
              <w:t>(c)</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16,474</w:t>
            </w: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(3,425)</w:t>
            </w:r>
          </w:p>
        </w:tc>
      </w:tr>
      <w:tr>
        <w:trPr>
          <w:trHeight w:val="26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left="320" w:right="80" w:hanging="314"/>
        <w:spacing w:after="0" w:line="217" w:lineRule="auto"/>
        <w:tabs>
          <w:tab w:leader="none" w:pos="315"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InnovAge Sacramento and InnovAge Orlando, which the Company owns and controls through joint ventures and are consolidated in our financial statements. During the fiscal year ended June 30, 2024, the Company opened the Orlando and Tampa centers and acquired an operational center from Concerto in Los Angeles.</w:t>
      </w:r>
    </w:p>
    <w:p>
      <w:pPr>
        <w:spacing w:after="0" w:line="135"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approximate.</w:t>
      </w:r>
    </w:p>
    <w:p>
      <w:pPr>
        <w:spacing w:after="0" w:line="152" w:lineRule="exact"/>
        <w:rPr>
          <w:rFonts w:ascii="Times New Roman" w:cs="Times New Roman" w:eastAsia="Times New Roman" w:hAnsi="Times New Roman"/>
          <w:sz w:val="23"/>
          <w:szCs w:val="23"/>
          <w:color w:val="auto"/>
          <w:vertAlign w:val="superscript"/>
        </w:rPr>
      </w:pPr>
    </w:p>
    <w:p>
      <w:pPr>
        <w:jc w:val="both"/>
        <w:ind w:left="320" w:hanging="314"/>
        <w:spacing w:after="0" w:line="231" w:lineRule="auto"/>
        <w:tabs>
          <w:tab w:leader="none" w:pos="315"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1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define Total Member Months as the total number of participants as of period end multiplied by the number of months within a year in which each participant was enrolled in our program. We believe this is a useful metric as it more precisely tracks the number of participants we serve throughout the year.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w:t>
      </w:r>
    </w:p>
    <w:p>
      <w:pPr>
        <w:sectPr>
          <w:pgSz w:w="11900" w:h="16838" w:orient="portrait"/>
          <w:cols w:equalWidth="0" w:num="1">
            <w:col w:w="11240"/>
          </w:cols>
          <w:pgMar w:left="320" w:top="127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64" w:name="page65"/>
    <w:bookmarkEnd w:id="64"/>
    <w:p>
      <w:pPr>
        <w:jc w:val="both"/>
        <w:spacing w:after="0" w:line="251" w:lineRule="auto"/>
        <w:rPr>
          <w:sz w:val="20"/>
          <w:szCs w:val="20"/>
          <w:color w:val="auto"/>
        </w:rPr>
      </w:pPr>
      <w:r>
        <w:rPr>
          <w:rFonts w:ascii="Times New Roman" w:cs="Times New Roman" w:eastAsia="Times New Roman" w:hAnsi="Times New Roman"/>
          <w:sz w:val="18"/>
          <w:szCs w:val="18"/>
          <w:color w:val="auto"/>
        </w:rPr>
        <w:t>Center-level Contribution Margin on a center-by-center basis, we do not allocate our sales and marketing expense or corporate, general and administrative expenses across our centers. Center-level Contribution Margin was $132.1 million and $101.3 million for the years ended June 30, 2024 and 2023, respectively. The increase in Center-level Contribution Margin for fiscal year 2024 was primarily due to a year-over-year increase of 11.0% in total revenue and 7.7% in center level expense during the same period. For more information relating to Center-level Contribution Margin, see Note 14 “Segment Reporting” to our consolidated financial statements. A reconciliation of Center-level Contribution Margin to loss before income taxes, the most directly comparable GAAP measure, for each of the periods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All other</w:t>
            </w:r>
            <w:r>
              <w:rPr>
                <w:rFonts w:ascii="Times New Roman" w:cs="Times New Roman" w:eastAsia="Times New Roman" w:hAnsi="Times New Roman"/>
                <w:sz w:val="18"/>
                <w:szCs w:val="18"/>
                <w:b w:val="1"/>
                <w:bCs w:val="1"/>
                <w:color w:val="auto"/>
                <w:w w:val="95"/>
                <w:vertAlign w:val="superscript"/>
              </w:rPr>
              <w:t>(1)</w:t>
            </w:r>
          </w:p>
        </w:tc>
        <w:tc>
          <w:tcPr>
            <w:tcW w:w="28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8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All other</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9"/>
                <w:szCs w:val="19"/>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5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101,288</w:t>
            </w:r>
          </w:p>
        </w:tc>
        <w:tc>
          <w:tcPr>
            <w:tcW w:w="0" w:type="dxa"/>
            <w:vAlign w:val="bottom"/>
          </w:tcPr>
          <w:p>
            <w:pPr>
              <w:spacing w:after="0"/>
              <w:rPr>
                <w:sz w:val="1"/>
                <w:szCs w:val="1"/>
                <w:color w:val="auto"/>
              </w:rPr>
            </w:pPr>
          </w:p>
        </w:tc>
      </w:tr>
      <w:tr>
        <w:trPr>
          <w:trHeight w:val="258"/>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2"/>
                <w:szCs w:val="22"/>
                <w:color w:val="auto"/>
                <w:vertAlign w:val="superscript"/>
              </w:rPr>
              <w:t>(2)</w:t>
            </w: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136,284</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136,294</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0" w:type="dxa"/>
            <w:vAlign w:val="bottom"/>
          </w:tcPr>
          <w:p>
            <w:pPr>
              <w:spacing w:after="0"/>
              <w:rPr>
                <w:sz w:val="1"/>
                <w:szCs w:val="1"/>
                <w:color w:val="auto"/>
              </w:rPr>
            </w:pPr>
          </w:p>
        </w:tc>
      </w:tr>
      <w:tr>
        <w:trPr>
          <w:trHeight w:val="245"/>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cost and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left="320" w:hanging="314"/>
        <w:spacing w:after="0" w:line="274" w:lineRule="auto"/>
        <w:tabs>
          <w:tab w:leader="none" w:pos="3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spacing w:after="0" w:line="136"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consists of the Sales and marketing and Corporate, general and administrative financial statement line items.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 M&amp;A diligence, transaction and integration, business optimization, EMR implementation and gain on cost and equity method investments.</w:t>
      </w:r>
    </w:p>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June 30, 2024 and 2023, our net loss was $23.2 million and $43.6 million, respectively, representing a year-over-year improvement of 47%, and Adjusted EBITDA was $16.5 million and $(3.4) million, respectively, representing a year-over-year increase of 585%.</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margin is Adjusted EBITDA expressed as a percentage of our total revenue. For the year ended June 30, 2024, our net loss margin was 3.0%, compared to our net loss margin of 6.3% for the year ended June 30, 2023. For the year ended June 30, 2024, our Adjusted EBITDA margin was 2.2%, compared to our Adjusted EBITDA margin for the year ended June 30, 2023 of (0.5)%.</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Adjusted EBITDA and Adjusted EBITDA margin are supplemental measures of operating performance monitored by management that are not defined under GAAP and that do not represent, and should not be considered as, an alternative to net loss and net loss margin, respectively, as determined by GAAP. We believe that Adjusted EBITDA and Adjusted EBITDA margin are appropriate measures of operating performance because the metrics eliminate the impact of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loss and net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 Effective for the year ended June 30, 2024, the Company has revised its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5" w:name="page66"/>
    <w:bookmarkEnd w:id="65"/>
    <w:p>
      <w:pPr>
        <w:spacing w:after="0" w:line="274" w:lineRule="auto"/>
        <w:rPr>
          <w:sz w:val="20"/>
          <w:szCs w:val="20"/>
          <w:color w:val="auto"/>
        </w:rPr>
      </w:pPr>
      <w:r>
        <w:rPr>
          <w:rFonts w:ascii="Times New Roman" w:cs="Times New Roman" w:eastAsia="Times New Roman" w:hAnsi="Times New Roman"/>
          <w:sz w:val="18"/>
          <w:szCs w:val="18"/>
          <w:color w:val="auto"/>
        </w:rPr>
        <w:t>calculation of Adjusted EBITDA to no longer exclude de novo center development costs and to reflect the impact of other investment income. The presentation for the year ended June 30, 2023 has been recast to conform to the current presentation.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Adjusted EBITDA to net loss, the most directly comparable GAAP measure, for each of the periods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6"/>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2"/>
                <w:szCs w:val="22"/>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r>
      <w:tr>
        <w:trPr>
          <w:trHeight w:val="26"/>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6"/>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2"/>
                <w:szCs w:val="22"/>
                <w:color w:val="auto"/>
                <w:vertAlign w:val="superscript"/>
              </w:rPr>
              <w:t>(b)</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M&amp;A diligence, transaction and integration</w:t>
            </w:r>
            <w:r>
              <w:rPr>
                <w:rFonts w:ascii="Times New Roman" w:cs="Times New Roman" w:eastAsia="Times New Roman" w:hAnsi="Times New Roman"/>
                <w:sz w:val="22"/>
                <w:szCs w:val="22"/>
                <w:color w:val="auto"/>
                <w:vertAlign w:val="superscript"/>
              </w:rPr>
              <w:t>(c)</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2"/>
                <w:szCs w:val="22"/>
                <w:color w:val="auto"/>
                <w:vertAlign w:val="superscript"/>
              </w:rPr>
              <w:t>(d)</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EMR implementation</w:t>
            </w:r>
            <w:r>
              <w:rPr>
                <w:rFonts w:ascii="Times New Roman" w:cs="Times New Roman" w:eastAsia="Times New Roman" w:hAnsi="Times New Roman"/>
                <w:sz w:val="22"/>
                <w:szCs w:val="22"/>
                <w:color w:val="auto"/>
                <w:vertAlign w:val="superscript"/>
              </w:rPr>
              <w:t>(e)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cost and equity method investments</w:t>
            </w:r>
            <w:r>
              <w:rPr>
                <w:rFonts w:ascii="Times New Roman" w:cs="Times New Roman" w:eastAsia="Times New Roman" w:hAnsi="Times New Roman"/>
                <w:sz w:val="22"/>
                <w:szCs w:val="22"/>
                <w:color w:val="auto"/>
                <w:vertAlign w:val="superscript"/>
              </w:rPr>
              <w:t>(f)</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3" w:lineRule="exact"/>
        <w:rPr>
          <w:sz w:val="20"/>
          <w:szCs w:val="20"/>
          <w:color w:val="auto"/>
        </w:rPr>
      </w:pPr>
    </w:p>
    <w:p>
      <w:pPr>
        <w:ind w:left="320" w:hanging="314"/>
        <w:spacing w:after="0" w:line="225" w:lineRule="auto"/>
        <w:tabs>
          <w:tab w:leader="none" w:pos="315"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investment income related to short term investments included in our consolidated statement of operations. Effective for the year ended June 30, 2024, the Company has revised the calculation for Adjusted EBITDA to reflect the impact of investment income in 2024 and 2023.</w:t>
      </w:r>
    </w:p>
    <w:p>
      <w:pPr>
        <w:spacing w:after="0" w:line="154" w:lineRule="exact"/>
        <w:rPr>
          <w:rFonts w:ascii="Times New Roman" w:cs="Times New Roman" w:eastAsia="Times New Roman" w:hAnsi="Times New Roman"/>
          <w:sz w:val="23"/>
          <w:szCs w:val="23"/>
          <w:color w:val="auto"/>
          <w:vertAlign w:val="superscript"/>
        </w:rPr>
      </w:pPr>
    </w:p>
    <w:p>
      <w:pPr>
        <w:jc w:val="both"/>
        <w:ind w:left="320" w:hanging="314"/>
        <w:spacing w:after="0" w:line="265" w:lineRule="auto"/>
        <w:tabs>
          <w:tab w:leader="none" w:pos="312"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Reflects a $1.2 million reserve for a California wage and hour class action settlement for the year ended June 30, 2023, and each of the years ended June 30, 2023 and 2024 included charges/(credits) related to litigation by stockholders, litigation related to de novo center, and civil investigative demands. See Item 3, “Legal Proceedings” included in this Annual Report.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w:t>
      </w: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(v) counterparty involved, and (vi) the Company's overall litigation strategy.</w:t>
      </w:r>
    </w:p>
    <w:p>
      <w:pPr>
        <w:spacing w:after="0" w:line="157" w:lineRule="exact"/>
        <w:rPr>
          <w:rFonts w:ascii="Times New Roman" w:cs="Times New Roman" w:eastAsia="Times New Roman" w:hAnsi="Times New Roman"/>
          <w:sz w:val="13"/>
          <w:szCs w:val="13"/>
          <w:color w:val="auto"/>
        </w:rPr>
      </w:pPr>
    </w:p>
    <w:p>
      <w:pPr>
        <w:jc w:val="both"/>
        <w:ind w:left="320" w:hanging="314"/>
        <w:spacing w:after="0" w:line="231" w:lineRule="auto"/>
        <w:tabs>
          <w:tab w:leader="none" w:pos="315"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charges related to M&amp;A transaction and integrations, including the Concerto acquisition in December 2023. Effective for the year ended June 30, 2024, the Company has revised the calculation for Adjusted EBITDA to no longer exclude de novo center development costs in 2024 and 2023. De novo center development costs were $1.0 million for each of the years ended June 30, 2024 and 2023.</w:t>
      </w:r>
    </w:p>
    <w:p>
      <w:pPr>
        <w:spacing w:after="0" w:line="168" w:lineRule="exact"/>
        <w:rPr>
          <w:rFonts w:ascii="Times New Roman" w:cs="Times New Roman" w:eastAsia="Times New Roman" w:hAnsi="Times New Roman"/>
          <w:sz w:val="23"/>
          <w:szCs w:val="23"/>
          <w:color w:val="auto"/>
          <w:vertAlign w:val="superscript"/>
        </w:rPr>
      </w:pPr>
    </w:p>
    <w:p>
      <w:pPr>
        <w:jc w:val="both"/>
        <w:ind w:left="320" w:hanging="314"/>
        <w:spacing w:after="0" w:line="256" w:lineRule="auto"/>
        <w:tabs>
          <w:tab w:leader="none" w:pos="308"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the year ended June 30, 2024 costs include (i) $3.1 million associated with third party consultants as we implement our core provider initiatives, asses our risk-bearing payor capabilities, and strengthen our enterprise capabilities, (ii) $0.3 million of costs related to severance and other organizational costs, and (iii) $0.9 million related to charges for technology improvements, environmental sustainability, governance reporting, and other non-recurring projects aimed at reducing costs and improving efficiencies. For the year ended June 30, 2023, costs included (i) $1.8 million related to consultants and contractors performing audit and other related services at sanctioned centers, (ii) $5.7 million of costs associated with third party consultants to strengthen enterprise capabilities, (iii) $0.6 million related to the consolidation of the Germantown, Pennsylvania center, (iv) $1.1 million related to organizational restructure, and (v) $1.4 million related to other non-recurring projects aimed at reducing costs and improving efficiencies.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6" w:name="page67"/>
    <w:bookmarkEnd w:id="66"/>
    <w:p>
      <w:pPr>
        <w:ind w:left="320" w:hanging="314"/>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non-recurring expenses relating to the implementation of a new EMR vendor.</w:t>
      </w:r>
    </w:p>
    <w:p>
      <w:pPr>
        <w:spacing w:after="0" w:line="13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$4.8 million net benefit associated with the dissolution of the PWD partnership partially offset by $2.0 million impairment in Jetdoc investment.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from the sale of common stock in our IPO that occurred in March 2021. As of the years ended June 30, 2024 and 2023, we had cash and cash equivalents of $56.9 million and $127.2 million, respectively, a decrease of $70.3 million primarily due to the Concerto acquisition, deferred revenue due to the timing of payments received during the prior fiscal year, and a decrease in working capital. Our cash and cash equivalents primarily consist of highly liquid investments in demand deposit accounts and cash.</w:t>
      </w:r>
    </w:p>
    <w:p>
      <w:pPr>
        <w:spacing w:after="0" w:line="146"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capital resources are generally used to fund (i) debt service requirements, the majority of which relate to the quarterly principal payments of the Term Loan Facility (as defined in Note 7 “Long-term Debt” to the audited consolidated financial statements) due 2026, (ii) finance and operating lease obligations, which are generally paid on a monthly basis and include maturities through 2028 and 2032, respectively, (iii) the operations of our business, (iv) income tax payments, which are generally due on a quarterly and annual basis, (v) capital additions, which include acquisition and de novo centers, and (vi) share repurchases authorized under the $5.0 million Board approved program. We also will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 For additional information regarding our lease obligations, debt and commitments, see Notes 6 “Leases,” 7 “Long-term Debt,” and 9 “Commitments and Contingencies,” respectively, to our audited consolidated financial statements.</w:t>
      </w:r>
    </w:p>
    <w:p>
      <w:pPr>
        <w:spacing w:after="0" w:line="1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Revolving Credit Facility (as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2021 Credit Agreement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June 30, 2024 and 2023, the interest rate on the Term Loan Facility was 7.18% and 6.95%, respectively. Under the terms of the 2021 Credit Agreement, the Revolving Credit Facility fee accrues at 0.25% of the average daily unused amount and is paid quarterly. As of June 30, 2024, we had no borrowings outstanding, $3.9 million of letters of credit issued, and $96.1 million of remaining capacity under the Revolving Credit Facility. As of June 30, 2024, we also had $2.2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more information about our debt, see Note 7 “Long-term Debt” to our audited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67" w:name="page68"/>
    <w:bookmarkEnd w:id="67"/>
    <w:p>
      <w:pPr>
        <w:ind w:firstLine="318"/>
        <w:spacing w:after="0" w:line="274"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primarily relate to long-term debt and lease obligations. Expected timing of those payments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Next 12 Months</w:t>
            </w:r>
          </w:p>
        </w:tc>
        <w:tc>
          <w:tcPr>
            <w:tcW w:w="140" w:type="dxa"/>
            <w:vAlign w:val="bottom"/>
          </w:tcPr>
          <w:p>
            <w:pPr>
              <w:spacing w:after="0"/>
              <w:rPr>
                <w:sz w:val="16"/>
                <w:szCs w:val="16"/>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Beyond 12 Months</w:t>
            </w:r>
          </w:p>
        </w:tc>
      </w:tr>
      <w:tr>
        <w:trPr>
          <w:trHeight w:val="38"/>
        </w:trPr>
        <w:tc>
          <w:tcPr>
            <w:tcW w:w="66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8"/>
        </w:trPr>
        <w:tc>
          <w:tcPr>
            <w:tcW w:w="6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(excluding interest)</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62,194</w:t>
            </w:r>
          </w:p>
        </w:tc>
      </w:tr>
      <w:tr>
        <w:trPr>
          <w:trHeight w:val="26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r>
              <w:rPr>
                <w:rFonts w:ascii="Times New Roman" w:cs="Times New Roman" w:eastAsia="Times New Roman" w:hAnsi="Times New Roman"/>
                <w:sz w:val="20"/>
                <w:szCs w:val="20"/>
                <w:color w:val="auto"/>
                <w:vertAlign w:val="superscript"/>
              </w:rPr>
              <w:t>(2)</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w:t>
            </w:r>
          </w:p>
        </w:tc>
      </w:tr>
      <w:tr>
        <w:trPr>
          <w:trHeight w:val="26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 (excluding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r>
      <w:tr>
        <w:trPr>
          <w:trHeight w:val="256"/>
        </w:trPr>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107,474</w:t>
            </w:r>
          </w:p>
        </w:tc>
      </w:tr>
      <w:tr>
        <w:trPr>
          <w:trHeight w:val="22"/>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left="320" w:hanging="314"/>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amounts related to the 2021 Credit Agreement.</w:t>
      </w:r>
    </w:p>
    <w:p>
      <w:pPr>
        <w:spacing w:after="0" w:line="190"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adopted ASU 2016-02 on July 1, 2022, which requires lessees to recognize almost all leases on the balance sheet. See Note 2 “Summary of Significant Accounting Policies” to our Consolidated Financial Statements.</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currently intend to retain substantially all available funds and any future earnings to fund the development and growth of our business and to repay indebtedness, other than with respect to share repurchases, and, therefore, we do not anticipate paying any cash dividends in the foreseeable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consolidated statements of cash flows for the year ended June 30, 2024 and 2023 are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(57,134)</w:t>
            </w:r>
          </w:p>
        </w:tc>
        <w:tc>
          <w:tcPr>
            <w:tcW w:w="0" w:type="dxa"/>
            <w:vAlign w:val="bottom"/>
          </w:tcPr>
          <w:p>
            <w:pPr>
              <w:spacing w:after="0"/>
              <w:rPr>
                <w:sz w:val="1"/>
                <w:szCs w:val="1"/>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43,148</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56"/>
        </w:trPr>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0" w:type="dxa"/>
            <w:vAlign w:val="bottom"/>
          </w:tcPr>
          <w:p>
            <w:pPr>
              <w:spacing w:after="0"/>
              <w:rPr>
                <w:sz w:val="1"/>
                <w:szCs w:val="1"/>
                <w:color w:val="auto"/>
              </w:rPr>
            </w:pPr>
          </w:p>
        </w:tc>
      </w:tr>
      <w:tr>
        <w:trPr>
          <w:trHeight w:val="22"/>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by (used in) operating activities was primarily due to the net effect of (i) a net loss of $23.2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June 30, 2024 compared to a net loss of $43.6 million during the prior year, as described further above, (ii) a decrease of $28.1 million in deferred revenue during fiscal year 2024 due to timing of payments received during the prior year, and (iii) an increase of $38.6 million in accounts receivable, net of allowance primarily due to timing for the receipt of payments in 2024.</w:t>
      </w:r>
    </w:p>
    <w:p>
      <w:pPr>
        <w:spacing w:after="0" w:line="190"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in 2024 was primarily made up of $23.9 million for the Concerto acquisition and approximately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$7.9 million in purchases of property and equipment. In 2023, net cash used in investing activities was primarily due to $23.4 million in purchases of property</w:t>
      </w:r>
    </w:p>
    <w:p>
      <w:pPr>
        <w:spacing w:after="0" w:line="1"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18"/>
          <w:szCs w:val="18"/>
          <w:color w:val="auto"/>
        </w:rPr>
        <w:t>and equipment and $46.2 million for purchases of short-term investments, consisting primarily of managed income funds invested in investment grade short-term fixed and floating rate debt securities aimed at creating income while maintaining low volatility on principal. Our investment in managed income funds regularly pay dividends which are reinvested into the funds.</w:t>
      </w:r>
    </w:p>
    <w:p>
      <w:pPr>
        <w:spacing w:after="0" w:line="148" w:lineRule="exact"/>
        <w:rPr>
          <w:sz w:val="20"/>
          <w:szCs w:val="20"/>
          <w:color w:val="auto"/>
        </w:rPr>
      </w:pPr>
    </w:p>
    <w:p>
      <w:pPr>
        <w:ind w:right="600" w:firstLine="318"/>
        <w:spacing w:after="0" w:line="45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decrease in net cash used in financing activities was primarily due to a contribution from a joint venture partner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Emerging Growth Company and Smaller Reporting Company</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w:t>
      </w:r>
    </w:p>
    <w:p>
      <w:pPr>
        <w:sectPr>
          <w:pgSz w:w="11900" w:h="16838" w:orient="portrait"/>
          <w:cols w:equalWidth="0" w:num="1">
            <w:col w:w="11240"/>
          </w:cols>
          <w:pgMar w:left="320" w:top="127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type w:val="continuous"/>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8"/>
          <w:szCs w:val="18"/>
          <w:color w:val="auto"/>
        </w:rPr>
        <w:t>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to our audited Consolidated Financial Statements,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9"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 xml:space="preserve">We recognize revenue in accordance with Accounting Standards Codification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Our PACE operating unit provides comprehensive healthcare services to participants on the basis of estimated PMPM amounts we expect to be entitled to receive from the capitated fees per participant that are paid monthly by Medicare, Medicaid, the VA, and private pay sources. We recognize capitation revenues based on the estimated PMPM transaction price to transfer the service for a distinct increment of the series (i.e. month). We recognize revenue in the month in which participants are entitled to receive comprehensive care benefits during the contract term. Medicaid and Medicare capitation revenues are based on PMPM capitation rates under the PACE program, and Medicare rates can fluctuate throughout the contract based on the acuity of each individual participant. In certain contracts, PMPM rates also include “risk adjustments” based on various factors. For additional information see Note 3 “Revenue Recognition”.</w:t>
      </w:r>
    </w:p>
    <w:p>
      <w:pPr>
        <w:spacing w:after="0" w:line="13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certain capitation payments, the Company is subject to retroactive premium risk adjustments based on various factors. The Company estimates the amount of the adjustment based on participant medical status and historical experience. Such estimates are then recorded monthly on a straight-line basis. We review our assumptions and adjust these estimates accordingly on a quarterly basis. Our consolidated financial statements could be materially impacted if actual risk scores are different from the estimated risk scores. If our accrual estimates for risk scores at June 30, 2024 were to differ by 5%, the impact on revenues would be approximately $0.5 million.</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third-party payor contracts include a Medicare Part D payment related to pharmacy claims, which is subject to risk sharing through accepted risk corridor provisions. Under certain agreements the fund risk allocation is established whereby we, as the contracted provider, receive only a portion of the risk and the associated surplus or deficit. We estimate and recognize an adjustment monthly to Part D capitation revenues related to these risk corridor provisions based upon pharmacy claims experience to date, as if the annual risk contract were to terminate at the end of the reporting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Goodwill represents the excess of consideration paid over the fair value of net assets acquired through business acquisitions. Goodwill is not amortized but is tested for impairment at least annually.</w:t>
      </w:r>
    </w:p>
    <w:p>
      <w:pPr>
        <w:spacing w:after="0" w:line="1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test goodwill for impairment annually on April 1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For purposes of the annual goodwill impairment assessment, the Company has identified two reporting units, East and West. There were no indicators of impairment identified and no goodwill impairments recorded during the years ended June 30, 2024 and 2023. In determining the fair value of our reporting units, we estimate a number of factors including anticipated future cash flows and discount rates. Although we believe these estimates are reasonable, actual results could differ from those estimates due to the inherent uncertainty involved in making such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and estimated claims</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Reported and estimated claims expenses are costs for third-party healthcare service providers that provide medical care to our participants for which we are contractually obligated to pay (through our full-risk capitation arrangements). The estimated reserve for unpaid claims liability is included in the liability for reported and estimated claims in the consolidated balance sheets and requires estimates including actual member utilization of healthcare services, unit cost trends, participant acuity, changes in net census, known outbreaks of disease or increased incidence of illness such as influenza or COVID-19 and other factors. We periodically assess our estimates with an independent actuarial expert to ensure our estimates represent the best, most reasonable estimate given the data available to us at the time the estimates are made.</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included incurred but not reported claims of approximately $55.4 million and $43.0 million on our balance sheet as of June 30, 2024 and 2023, respectively. Our recorded medical claims expense estimate is approximately within +/- 5-10% of actual medical claims expense incurred, or less than 1% of our total operating expense.</w:t>
      </w:r>
    </w:p>
    <w:p>
      <w:pPr>
        <w:spacing w:after="0" w:line="15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following tables provide information about incurred and paid claims reporting and development as of June 30, 2024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 actual incurred claims table represents the actual amount of claims incurred by the Company with the benefit of the passage of time. The cumulative actual paid claims table represents the actual amount of claims paid by the Company during the period. The variance between the expense recorded and the cumulative actual incurred claims ranges between approximately 1% and 3% of actual total incurred claims over the periods presented, and such variance may vary based on the factors described above in this section.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2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Expenses Recorded for the Fiscal Years Ended June 30,</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2020</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299,432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315,148</w:t>
            </w:r>
          </w:p>
        </w:tc>
        <w:tc>
          <w:tcPr>
            <w:tcW w:w="0" w:type="dxa"/>
            <w:vAlign w:val="bottom"/>
          </w:tcPr>
          <w:p>
            <w:pPr>
              <w:spacing w:after="0"/>
              <w:rPr>
                <w:sz w:val="1"/>
                <w:szCs w:val="1"/>
                <w:color w:val="auto"/>
              </w:rPr>
            </w:pPr>
          </w:p>
        </w:tc>
      </w:tr>
      <w:tr>
        <w:trPr>
          <w:trHeight w:val="25"/>
        </w:trPr>
        <w:tc>
          <w:tcPr>
            <w:tcW w:w="3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299,432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315,148</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expense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87,862</w:t>
            </w:r>
          </w:p>
        </w:tc>
        <w:tc>
          <w:tcPr>
            <w:tcW w:w="0" w:type="dxa"/>
            <w:vAlign w:val="bottom"/>
          </w:tcPr>
          <w:p>
            <w:pPr>
              <w:spacing w:after="0"/>
              <w:rPr>
                <w:sz w:val="1"/>
                <w:szCs w:val="1"/>
                <w:color w:val="auto"/>
              </w:rPr>
            </w:pPr>
          </w:p>
        </w:tc>
      </w:tr>
      <w:tr>
        <w:trPr>
          <w:trHeight w:val="25"/>
        </w:trPr>
        <w:tc>
          <w:tcPr>
            <w:tcW w:w="35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External provider costs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759"/>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Cumulative Actual Incurred Claims for the Fiscal Year Ended June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2020</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205,633</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205,550</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205,301</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205,244</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204,557</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333,376</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283,542</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301,757</w:t>
            </w:r>
          </w:p>
        </w:tc>
      </w:tr>
      <w:tr>
        <w:trPr>
          <w:trHeight w:val="25"/>
        </w:trPr>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1"/>
        </w:trPr>
        <w:tc>
          <w:tcPr>
            <w:tcW w:w="3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02"/>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 Actual Paid Claims for the Fiscal Year Ended June 30,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3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2020</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205,601</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205,550</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205,301</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205,244</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204,557</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333,376</w:t>
            </w:r>
          </w:p>
        </w:tc>
      </w:tr>
      <w:tr>
        <w:trPr>
          <w:trHeight w:val="25"/>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283,538</w:t>
            </w:r>
          </w:p>
        </w:tc>
      </w:tr>
      <w:tr>
        <w:trPr>
          <w:trHeight w:val="2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246,145</w:t>
            </w:r>
          </w:p>
        </w:tc>
      </w:tr>
      <w:tr>
        <w:trPr>
          <w:trHeight w:val="25"/>
        </w:trPr>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3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1,272,860</w:t>
            </w:r>
          </w:p>
        </w:tc>
      </w:tr>
      <w:tr>
        <w:trPr>
          <w:trHeight w:val="25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claims-related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99"/>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Reported and estimated claims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See Note 2 to our consolidated financial statements “Summary of Significant Accounting Policies—</w:t>
      </w:r>
      <w:r>
        <w:rPr>
          <w:rFonts w:ascii="Times New Roman" w:cs="Times New Roman" w:eastAsia="Times New Roman" w:hAnsi="Times New Roman"/>
          <w:sz w:val="18"/>
          <w:szCs w:val="18"/>
          <w:i w:val="1"/>
          <w:iCs w:val="1"/>
          <w:color w:val="auto"/>
        </w:rPr>
        <w:t>Recently Adopted Accounting Pronouncements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Recent Accounting Pronouncements Not Yet Adopted”</w:t>
      </w:r>
      <w:r>
        <w:rPr>
          <w:rFonts w:ascii="Times New Roman" w:cs="Times New Roman" w:eastAsia="Times New Roman" w:hAnsi="Times New Roman"/>
          <w:sz w:val="18"/>
          <w:szCs w:val="18"/>
          <w:color w:val="auto"/>
        </w:rPr>
        <w:t xml:space="preserve"> for more information.</w:t>
      </w:r>
    </w:p>
    <w:p>
      <w:pPr>
        <w:spacing w:after="0" w:line="12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3"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2024, we had total outstanding borrowings of (i) $63.8 million principal amount under the Term Loan Facility (as defined in Note 7 to the audited consolidated financial statements) and (ii) $2.2 million principal amount under the convertible term loan. As of June 30, 2023, we had total outstanding debt of $67.5 million in principal amount under the Term Loan Facility and $2.3 under the Convertible Term Loan. As of June 30, 2024 and 2023, the interest rate on the Term Loan Facility was 7.18% and 6.95%, respectively.</w:t>
      </w:r>
    </w:p>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exposed to changes in interest rates as a result of our variable-rate borrowings under the 2021 Credit Agreement. Generally, the Company may designate specific borrowings under the 2021 Credit Agreement as either base rate borrowings or Secured Overnight Financing Rate (“SOFR”) borrowings. We amended our 2021 Credit Agreement during the fourth quarter ended June 30, 2024 to replace the London Interbank Offered Rate (“LIBOR”) reference rate with SOFR prior to the discontinuance of LIBOR. As of June 30, 2024, based on our secured net leverage ratio, the margins of our borrowings under the Term Loan Facility and Revolving Credit Facility (as defined in Note 7 to the audited consolidated financial statements) were (a) 0.75% for alternate base rate borrowings and (b) 1.75% for Term SOFR borrowings.</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had cash and cash equivalents of $56.9 million as of June 30, 2024, which are deposited with high credit quality financial institutions and are primarily in demand deposit accounts. We do not believe that an increase or decrease</w:t>
      </w:r>
    </w:p>
    <w:p>
      <w:pPr>
        <w:sectPr>
          <w:pgSz w:w="11900" w:h="16838" w:orient="portrait"/>
          <w:cols w:equalWidth="0" w:num="1">
            <w:col w:w="11240"/>
          </w:cols>
          <w:pgMar w:left="320" w:top="13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 interest rates of 100 basis points would have a material effect on our business, financial condition or results of operations.</w:t>
      </w:r>
    </w:p>
    <w:p>
      <w:pPr>
        <w:spacing w:after="0" w:line="217" w:lineRule="exact"/>
        <w:rPr>
          <w:sz w:val="20"/>
          <w:szCs w:val="20"/>
          <w:color w:val="auto"/>
        </w:rPr>
      </w:pPr>
    </w:p>
    <w:p>
      <w:pPr>
        <w:jc w:val="both"/>
        <w:ind w:right="20" w:firstLine="318"/>
        <w:spacing w:after="0" w:line="250" w:lineRule="auto"/>
        <w:rPr>
          <w:sz w:val="20"/>
          <w:szCs w:val="20"/>
          <w:color w:val="auto"/>
        </w:rPr>
      </w:pPr>
      <w:r>
        <w:rPr>
          <w:rFonts w:ascii="Times New Roman" w:cs="Times New Roman" w:eastAsia="Times New Roman" w:hAnsi="Times New Roman"/>
          <w:sz w:val="18"/>
          <w:szCs w:val="18"/>
          <w:color w:val="auto"/>
        </w:rPr>
        <w:t>We had short-term investments $45.8 million and $46.2 million as of June 30, 2024 and 2023,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79"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See more information under Item 7. Management’s Discussion of Financial Condition and Results of Operations—Trends and Uncertainties Affecting the Company.” There can be no assurance that future inflation will not have an adverse impact on our operating results and financial condition.</w:t>
      </w:r>
    </w:p>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Index to Consolidated Financial Statements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20" w:type="dxa"/>
            <w:vAlign w:val="bottom"/>
            <w:tcBorders>
              <w:top w:val="single" w:sz="8" w:color="auto"/>
              <w:left w:val="single" w:sz="8" w:color="auto"/>
            </w:tcBorders>
          </w:tcPr>
          <w:p>
            <w:pPr>
              <w:spacing w:after="0"/>
              <w:rPr>
                <w:sz w:val="18"/>
                <w:szCs w:val="18"/>
                <w:color w:val="auto"/>
              </w:rPr>
            </w:pPr>
          </w:p>
        </w:tc>
        <w:tc>
          <w:tcPr>
            <w:tcW w:w="966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1480" w:type="dxa"/>
            <w:vAlign w:val="bottom"/>
            <w:tcBorders>
              <w:top w:val="single" w:sz="8" w:color="auto"/>
              <w:right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color w:val="auto"/>
              </w:rPr>
              <w:t>68</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10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Balance Sheets as of June 30, 2024 and 2023</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69</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10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June 30, 2024 and 2023</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70</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10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72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June 30, 2024 and 2023</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71</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10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7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June 30, 2024 and 2023</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72</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10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7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9660" w:type="dxa"/>
            <w:vAlign w:val="bottom"/>
            <w:tcBorders>
              <w:right w:val="single" w:sz="8" w:color="auto"/>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80" w:type="dxa"/>
            <w:vAlign w:val="bottom"/>
            <w:tcBorders>
              <w:right w:val="single" w:sz="8" w:color="auto"/>
            </w:tcBorders>
          </w:tcPr>
          <w:p>
            <w:pPr>
              <w:jc w:val="right"/>
              <w:ind w:right="1132"/>
              <w:spacing w:after="0" w:line="192" w:lineRule="exact"/>
              <w:rPr>
                <w:sz w:val="20"/>
                <w:szCs w:val="20"/>
                <w:color w:val="auto"/>
              </w:rPr>
            </w:pPr>
            <w:r>
              <w:rPr>
                <w:rFonts w:ascii="Times New Roman" w:cs="Times New Roman" w:eastAsia="Times New Roman" w:hAnsi="Times New Roman"/>
                <w:sz w:val="18"/>
                <w:szCs w:val="18"/>
                <w:color w:val="auto"/>
              </w:rPr>
              <w:t>72</w:t>
            </w: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3080" w:type="dxa"/>
            <w:vAlign w:val="bottom"/>
            <w:tcBorders>
              <w:top w:val="single" w:sz="8" w:color="0000FF"/>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r>
      <w:tr>
        <w:trPr>
          <w:trHeight w:val="882"/>
        </w:trPr>
        <w:tc>
          <w:tcPr>
            <w:tcW w:w="60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1"/>
        </w:trPr>
        <w:tc>
          <w:tcPr>
            <w:tcW w:w="1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74" w:right="319" w:bottom="1440" w:gutter="0" w:footer="0" w:header="0"/>
        </w:sectPr>
      </w:pPr>
    </w:p>
    <w:bookmarkStart w:id="72" w:name="page73"/>
    <w:bookmarkEnd w:id="72"/>
    <w:p>
      <w:pPr>
        <w:ind w:right="5180"/>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InnovAge Holding Corp.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InnovAge Holding Corp. and subsidiaries (the "Company") as of June 30, 2024 and 2023, the related consolidated statements of operations, stockholders' equity, and cash flows, for each of the two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two years in the period ended June 30, 2024,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10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1"/>
        </w:trPr>
        <w:tc>
          <w:tcPr>
            <w:tcW w:w="8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81"/>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127,249</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Short-term investments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46,213</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1"/>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 ($6,729 – June 30, 2024 and $4,161 – June 30, 2023)</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24,344</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17,145</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5"/>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173,142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215,229</w:t>
            </w:r>
          </w:p>
        </w:tc>
      </w:tr>
      <w:tr>
        <w:trPr>
          <w:trHeight w:val="181"/>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192,188</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assets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21,210</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Deposits and other</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139,949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124,217</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5"/>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noncurrent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374,519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352,129</w:t>
            </w:r>
          </w:p>
        </w:tc>
      </w:tr>
      <w:tr>
        <w:trPr>
          <w:trHeight w:val="205"/>
        </w:trPr>
        <w:tc>
          <w:tcPr>
            <w:tcW w:w="8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547,661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567,358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818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54,935</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42,999</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payable</w:t>
            </w: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28,115</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148,450</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13,114</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18,828</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debt, net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64,844</w:t>
            </w:r>
          </w:p>
        </w:tc>
      </w:tr>
      <w:tr>
        <w:trPr>
          <w:trHeight w:val="181"/>
        </w:trPr>
        <w:tc>
          <w:tcPr>
            <w:tcW w:w="8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247,853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252,558</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9)</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Interests (See Note 4)</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12,708</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6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$0.001 par value; 500,000,000 authorized as of June 30, 2024 and 2023; 136,152,858 issued and 136,116,299 outstanding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 of June 30, 2024 and 135,639,845 issued and outstanding as of June 30, 2023.</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stock at cost, 36,559 shares as of June 30, 2024</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332,107</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deficit</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(35,944)</w:t>
            </w: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InnovAge Holding Corp.</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269,261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296,299</w:t>
            </w: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302,092</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547,661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r>
      <w:tr>
        <w:trPr>
          <w:trHeight w:val="24"/>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100" w:type="dxa"/>
            <w:vAlign w:val="bottom"/>
          </w:tcPr>
          <w:p>
            <w:pPr>
              <w:spacing w:after="0"/>
              <w:rPr>
                <w:sz w:val="21"/>
                <w:szCs w:val="21"/>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686,836</w:t>
            </w:r>
          </w:p>
        </w:tc>
      </w:tr>
      <w:tr>
        <w:trPr>
          <w:trHeight w:val="25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4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763,855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688,087</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374,528</w:t>
            </w:r>
          </w:p>
        </w:tc>
      </w:tr>
      <w:tr>
        <w:trPr>
          <w:trHeight w:val="25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212,271</w:t>
            </w: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w:t>
            </w:r>
          </w:p>
        </w:tc>
      </w:tr>
      <w:tr>
        <w:trPr>
          <w:trHeight w:val="25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115,637</w:t>
            </w:r>
          </w:p>
        </w:tc>
      </w:tr>
      <w:tr>
        <w:trPr>
          <w:trHeight w:val="246"/>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w:t>
            </w:r>
          </w:p>
        </w:tc>
      </w:tr>
      <w:tr>
        <w:trPr>
          <w:trHeight w:val="25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787,035</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737,482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(49,395)</w:t>
            </w:r>
          </w:p>
        </w:tc>
      </w:tr>
      <w:tr>
        <w:trPr>
          <w:trHeight w:val="271"/>
        </w:trPr>
        <w:tc>
          <w:tcPr>
            <w:tcW w:w="8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4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cost and equity method investments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(50,793)</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(43,552)</w:t>
            </w:r>
          </w:p>
        </w:tc>
      </w:tr>
      <w:tr>
        <w:trPr>
          <w:trHeight w:val="245"/>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InnovAge Holding Corp.</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135,902,214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135,593,824</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135,902,214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135,593,824</w:t>
            </w:r>
          </w:p>
        </w:tc>
      </w:tr>
      <w:tr>
        <w:trPr>
          <w:trHeight w:val="271"/>
        </w:trPr>
        <w:tc>
          <w:tcPr>
            <w:tcW w:w="8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diluted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75" w:name="page76"/>
    <w:bookmarkEnd w:id="75"/>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16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Permanent</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restart"/>
          </w:tcPr>
          <w:p>
            <w:pPr>
              <w:jc w:val="right"/>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60" w:type="dxa"/>
            <w:vAlign w:val="bottom"/>
            <w:gridSpan w:val="5"/>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980" w:type="dxa"/>
            <w:vAlign w:val="bottom"/>
            <w:gridSpan w:val="3"/>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6"/>
                <w:szCs w:val="6"/>
                <w:color w:val="auto"/>
              </w:rPr>
            </w:pPr>
          </w:p>
        </w:tc>
        <w:tc>
          <w:tcPr>
            <w:tcW w:w="94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8"/>
              </w:rPr>
              <w:t>(Temporary</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4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44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24"/>
        </w:trPr>
        <w:tc>
          <w:tcPr>
            <w:tcW w:w="1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8"/>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135,532,811</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327,499</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4,729</w:t>
            </w:r>
          </w:p>
        </w:tc>
        <w:tc>
          <w:tcPr>
            <w:tcW w:w="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338,466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4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(40,673)</w:t>
            </w:r>
          </w:p>
        </w:tc>
        <w:tc>
          <w:tcPr>
            <w:tcW w:w="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(43,552)</w:t>
            </w:r>
          </w:p>
        </w:tc>
        <w:tc>
          <w:tcPr>
            <w:tcW w:w="0" w:type="dxa"/>
            <w:vAlign w:val="bottom"/>
          </w:tcPr>
          <w:p>
            <w:pPr>
              <w:spacing w:after="0"/>
              <w:rPr>
                <w:sz w:val="1"/>
                <w:szCs w:val="1"/>
                <w:color w:val="auto"/>
              </w:rPr>
            </w:pPr>
          </w:p>
        </w:tc>
      </w:tr>
      <w:tr>
        <w:trPr>
          <w:trHeight w:val="141"/>
        </w:trPr>
        <w:tc>
          <w:tcPr>
            <w:tcW w:w="144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Balances, June 30,</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135,639,845</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60" w:type="dxa"/>
            <w:vAlign w:val="bottom"/>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44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Balances, June 30,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135,639,845</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6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800,515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related</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the net share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based compensation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from joint</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venture partner</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 at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redeemable</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(21,338)</w:t>
            </w:r>
          </w:p>
        </w:tc>
        <w:tc>
          <w:tcPr>
            <w:tcW w:w="6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w:t>
            </w:r>
          </w:p>
        </w:tc>
        <w:tc>
          <w:tcPr>
            <w:tcW w:w="0" w:type="dxa"/>
            <w:vAlign w:val="bottom"/>
          </w:tcPr>
          <w:p>
            <w:pPr>
              <w:spacing w:after="0"/>
              <w:rPr>
                <w:sz w:val="1"/>
                <w:szCs w:val="1"/>
                <w:color w:val="auto"/>
              </w:rPr>
            </w:pPr>
          </w:p>
        </w:tc>
      </w:tr>
      <w:tr>
        <w:trPr>
          <w:trHeight w:val="24"/>
        </w:trPr>
        <w:tc>
          <w:tcPr>
            <w:tcW w:w="14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4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Balances, June 30,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136,116,299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(68,311)</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60"/>
          </w:cols>
          <w:pgMar w:left="320" w:top="1272" w:right="1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(43,552)</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15,419</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rentals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cost and equity method investments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(11,525)</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8,223</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 and other</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6,786</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taxes payable</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28,115</w:t>
            </w: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(36,898)</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20,236</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(23,354)</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(46,167)</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dissolution of equity method investments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 of business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(26,373)</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(69,521)</w:t>
            </w: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of equity securities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Contribution from joint venture partner</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Taxes paid related to net settlements of stock-based compensation awards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(7,896)</w:t>
            </w:r>
          </w:p>
        </w:tc>
      </w:tr>
      <w:tr>
        <w:trPr>
          <w:trHeight w:val="62"/>
        </w:trPr>
        <w:tc>
          <w:tcPr>
            <w:tcW w:w="8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88"/>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&amp; RESTRICTED CASH</w:t>
            </w:r>
          </w:p>
        </w:tc>
        <w:tc>
          <w:tcPr>
            <w:tcW w:w="9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(70,305)</w:t>
            </w:r>
          </w:p>
        </w:tc>
        <w:tc>
          <w:tcPr>
            <w:tcW w:w="1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(57,181)</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127,265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184,446</w:t>
            </w:r>
          </w:p>
        </w:tc>
      </w:tr>
      <w:tr>
        <w:trPr>
          <w:trHeight w:val="20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56,960</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127,265</w:t>
            </w:r>
          </w:p>
        </w:tc>
      </w:tr>
      <w:tr>
        <w:trPr>
          <w:trHeight w:val="40"/>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paid</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taxes paid</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purchased under capital leases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272"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InnovAge Holding Corp. and its subsidiaries (“InnovAge” or the “Company”), are headquartered in Denver, Colorado. The Company’s participant-centered care delivery approach is designed to improve the quality of care the Company’s participants receive, while keeping them in their homes for as long as safely possible. Through the Company’s Program of All-Inclusive Care for the Elderly (“PACE”) program,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w:t>
      </w:r>
    </w:p>
    <w:p>
      <w:pPr>
        <w:spacing w:after="0" w:line="14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As of June 30, 2024, the Company served approximately 7,020 PACE participants, making it the largest PACE provider in the United States of America (the U.S.) based upon participants served, and operated 20 PACE centers across Colorado, California, Florida, New Mexico, Pennsylvania and Virginia.</w:t>
      </w:r>
    </w:p>
    <w:p>
      <w:pPr>
        <w:spacing w:after="0" w:line="1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common stock is traded on the Nasdaq Stock Market LLC (“NASDAQ”) under the ticker symbol “INNV”.</w:t>
      </w:r>
    </w:p>
    <w:p>
      <w:pPr>
        <w:spacing w:after="0" w:line="1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 (GAAP). The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the allowance for uncollectible accounts; revenue reserves; useful lives of property and equipment and the valuation of goodwill and intangible assets; risk-score adjustments to participant revenues; reported and estimated claims; accruals; the determination of assumptions for stock-based compensation costs; deferred taxes, including the determination of a need for a valuation allowance; legal contingencies, including medical malpractice claims; the determination of fair value of net assets acquired in a business combination; and other fair value measurements. Actual results may differ from previously estimated amounts.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8"/>
          <w:szCs w:val="18"/>
          <w:color w:val="auto"/>
        </w:rPr>
        <w:t>Cash and cash equivalents consist of cash and financial instruments issued by major financial institutions that have an original maturity of less than three months. Amounts are reported in the consolidated balance sheets at cost, which approximates fair value.</w:t>
      </w:r>
    </w:p>
    <w:p>
      <w:pPr>
        <w:ind w:right="20" w:firstLine="318"/>
        <w:spacing w:after="0" w:line="262" w:lineRule="auto"/>
        <w:rPr>
          <w:sz w:val="20"/>
          <w:szCs w:val="20"/>
          <w:color w:val="auto"/>
        </w:rPr>
      </w:pPr>
      <w:r>
        <w:rPr>
          <w:rFonts w:ascii="Times New Roman" w:cs="Times New Roman" w:eastAsia="Times New Roman" w:hAnsi="Times New Roman"/>
          <w:sz w:val="17"/>
          <w:szCs w:val="17"/>
          <w:color w:val="auto"/>
        </w:rPr>
        <w:t>The Company’s cash and cash equivalents are deposited with high credit quality financial institutions and are primarily in demand deposit accounts. The FDIC insurance coverage is $250,000 on the aggregate of interest bearing and non-interest bearing accounts. The Company has not experienced losses on these accounts and management believes, based upon the quality of the financial institutions, that the credit risk with regard to these deposits is not significant.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Cost method investments do not have a readily determinable fair value and are carried at cost, less impairment plus or minus any changes resulting from observable price changes in orderly transactions for the identical or similar investment of the same issuer.</w:t>
      </w:r>
    </w:p>
    <w:p>
      <w:pPr>
        <w:spacing w:after="0" w:line="1" w:lineRule="exact"/>
        <w:rPr>
          <w:sz w:val="20"/>
          <w:szCs w:val="20"/>
          <w:color w:val="auto"/>
        </w:rPr>
      </w:pPr>
    </w:p>
    <w:p>
      <w:pPr>
        <w:ind w:right="200" w:firstLine="318"/>
        <w:spacing w:after="0" w:line="234"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entities that it does not control, but in which it has the ability to exercise significant influence over operating and financial policies. The Company’s investments in these nonconsolidated entities are reflected in the Company’s consolidated balance sheets under the equity method, and the Company’s proportionate net income (loss), if any, is included in the Company’s consolidated statements of operations under the equity method.</w:t>
      </w:r>
    </w:p>
    <w:p>
      <w:pPr>
        <w:spacing w:after="0" w:line="15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Company evaluates its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During the fiscal year ended June 30, 2024, we noted indicators of impairment in one of our investments and recorded $2.0 million of impairment charges. There were no write-downs in the fiscal year ended June 30, 2023. See Note 4 “Cost and Equity Method Investments” for more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Short-term investments consist of investments in managed income fund securities managed by major financial institutions. These securities are measured at fair value on a recurring basis with changes in fair value recognized in earnings. The estimated fair value of the short-term investments is valued using quoted market prices in active markets and classified as Level 1 of the fair value hierarchy. Dividend income is reported within other income (expense) in the Company’s consolidated statement of operations. Dividends received are reinvested in fund securities. We may sell these securities at any time for use in current operations. As a result, we classify our short-term investments as current assets on the Company’s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Restricted cash includes cash held for participants who have established a personal-needs account to pay for nonmedical personal expenses, payment of which only occurs upon participant authorization, in the amount of approximately $0.01 million and $0.02 million as of June 30, 2024 and 2023, respectively. The Company records a related deposit liability for any participant contributions to these personal-needs accounts in accounts payable and accrued expenses in the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Accounts are written off as bad debts when they are deemed uncollectible based upon individual credit evaluations and specific circumstances underlying the accounts. See additional information in Note 3 “Revenue Recognition.”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and amortization are recorded using the straight-line method over the shorter of estimated useful lives or lease terms, if the assets are being leased.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79" w:name="page80"/>
    <w:bookmarkEnd w:id="79"/>
    <w:p>
      <w:pPr>
        <w:ind w:left="32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June 30: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r>
      <w:tr>
        <w:trPr>
          <w:trHeight w:val="25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124,262</w:t>
            </w:r>
          </w:p>
        </w:tc>
      </w:tr>
      <w:tr>
        <w:trPr>
          <w:trHeight w:val="27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w:t>
            </w:r>
          </w:p>
        </w:tc>
      </w:tr>
      <w:tr>
        <w:trPr>
          <w:trHeight w:val="25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57,754</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42,223</w:t>
            </w:r>
          </w:p>
        </w:tc>
      </w:tr>
      <w:tr>
        <w:trPr>
          <w:trHeight w:val="245"/>
        </w:trPr>
        <w:tc>
          <w:tcPr>
            <w:tcW w:w="6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262,865</w:t>
            </w: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(70,677)</w:t>
            </w:r>
          </w:p>
        </w:tc>
      </w:tr>
      <w:tr>
        <w:trPr>
          <w:trHeight w:val="23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193,022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192,188</w:t>
            </w:r>
          </w:p>
        </w:tc>
      </w:tr>
      <w:tr>
        <w:trPr>
          <w:trHeight w:val="26"/>
        </w:trPr>
        <w:tc>
          <w:tcPr>
            <w:tcW w:w="6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of $18.3 million and $14.8 million was recorded during the fiscal years ended June 30, 2024 and 2023, respectively. Land is not depreciated, and construction in progress is not depreciated until ready for service. Costs of enhancements or modifications that substantially extend the capacity or useful life of an asset are capitalized and depreciated accordingly. Ordinary repairs and maintenance are expensed as incurred.</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costs of acquiring or developing internal-use software, including directly related payroll costs for internal resources, are capitalized. Software maintenance and training costs are expensed in the period incurred.</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is capitalized on construction projects, including internal-use software development projects, while in progress. During the fiscal years ended June 30, 2024 and 2023, the Company capitalized interest of approximately $0.01 million and $1.0 million, respectively.</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property and equipment are retired or otherwise disposed of, the cost and accumulated depreciation are removed from the consolidated balance sheets, and the resulting gain or loss, if any, is reflected in the consolidated statements of operations. Long-lived assets are evaluated for impairment whenever events or changes in circumstances indicate the carrying value of an asset may not be recoverable. No impairment charges were recorded in the fiscal years ended June 30, 2024 or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Intangible assets primarily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tests goodwill for impairment annually on April 1st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The Company has two reporting units, East and West, for evaluating goodwill impairment.</w:t>
      </w:r>
    </w:p>
    <w:p>
      <w:pPr>
        <w:spacing w:after="0" w:line="1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ASC 350, Intangibles — Goodwill and Other (“ASC 350”), allows entities to first use a qualitative approach to test goodwill for impairment. When the reporting units where the Company performs the quantitative goodwill impairment are tested, the Company compares the fair value of the reporting unit, which the Company primarily determines using an income approach based on the present value of discounted cash flows, to the respective carrying value, which includes goodwill.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2024 and 2023.</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2024 and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and Estimated Claims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Debt issuance costs are those costs that have been incurred in connection with the issuance of long-term debt and are offset against long-term debt in the consolidated balance sheets. Such costs are being amortized over the term of the underlying debt using the straight-line method, as the difference between that and the effective interest method are immaterial.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 Medicaid and Medicare capitation revenues are based on a per member, per month (“PMPM”) capitation rates under the PACE program. For a discussion of our revenue recognition policies, please see Note 3 “Revenue Recognition.”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 Claims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records a liability for medical malpractice claims based on estimated probable losses and costs associated with settling these claims and a receivable to reflect the estimated insurance recoveries, if any. See Note 9 “Commitments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purchased services and contracts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Total advertising expenses were $6.8 million and $5.6 million for the fiscal years ended June 30, 2024 and 2023,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Company and its principal shareholder have long-term equity incentive plans that provide for stock-based compensation, including the granting of stock options, profits interests units and restricted stock units to employees, directors, consultants, or advisers, as determined by each of the respective plans.</w:t>
      </w:r>
    </w:p>
    <w:p>
      <w:pPr>
        <w:spacing w:after="0" w:line="1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utilizes the Black-Scholes option-pricing model to determine the fair value of the stock options on the date of grant. This model derives the fair value of the options based on certain assumptions related to expected stock price volatility, expected option life, risk-free interest rate, and dividend yield. The Company uses the Monte Carlo option model to determine the fair value of the granted profits interests units.</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service-vesting awards (i.e., restricted stock units), we recognize stock-based compensation expense over the requisite service period, which is generally the vesting period of the respective award, on a straight-line basis. If the award was, in substance, multiple awards, we recognize stock-based compensation expense over the requisite service period for each separately vesting portion of the awards. For performance-vesting awards (i.e., performance stock units), we recognize stock-based compensation expense when it is probable that the performance condition will be achieved. We analyze if a performance condition is probable for each reporting period through the settlement date for awards subject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performance vesting. Stock-based compensation is included in corporate, general and administrative expenses on our consolidated statements of operations.</w:t>
      </w:r>
    </w:p>
    <w:p>
      <w:pPr>
        <w:spacing w:after="0" w:line="17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Shares issued pursuant to our equity incentive plan are issued from authorized but unissued shares or from shares held by the Company as treasury stock, if any. See Note 10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1" w:lineRule="exact"/>
        <w:rPr>
          <w:sz w:val="20"/>
          <w:szCs w:val="20"/>
          <w:color w:val="auto"/>
        </w:rPr>
      </w:pPr>
    </w:p>
    <w:p>
      <w:pPr>
        <w:ind w:right="40" w:firstLine="318"/>
        <w:spacing w:after="0" w:line="233"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(benefit) for income taxes for SH1 or InnovAge Sacramento is included in these consolidated financial statements. Further, InnovAge Orlando entered into a joint venture on May 28, 2024 and its members elected to be taxed as a partnership. No provision (benefit) for income taxes for InnovAge Orlando is included in these consolidated financial statements for activity occurring from joint venture formation date through the balance of the fiscal year.</w:t>
      </w:r>
    </w:p>
    <w:p>
      <w:pPr>
        <w:spacing w:after="0" w:line="1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(VIE)</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 VIE is defined as a legal entity whose equity owners do not have sufficient equity at risk or whose equity owners lack certain decision-making and economic rights. The primary beneficiary is identified as the variable interest holder that has both the power to direct the activities of the VIE that most significantly affect the entity’s economic performance and the obligation to absorb losses or the right to receive benefits from the entity. The primary beneficiary is required to consolidate the VIE. InnovAge Senior Housing Thornton, LLC (“SH1”) and Pinewood Lodge, LLP (“PWD”) are considered to be VIEs. The Company is not considered the primary beneficiary of PWD but is considered the primary beneficiary of SH1. On March 13, 2024, PWD entered into a Purchase and Sale Agreement for the sale of all of PWD's property, including the Senior Housing unit. The sale closed on May 2, 2024, and as a result, the Company ceased providing senior housing services through PWD.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9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companies that comply with the new or revised accounting pronouncements as of public company effective dates.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91" w:lineRule="exact"/>
        <w:rPr>
          <w:sz w:val="20"/>
          <w:szCs w:val="20"/>
          <w:color w:val="auto"/>
        </w:rPr>
      </w:pPr>
    </w:p>
    <w:p>
      <w:pPr>
        <w:ind w:firstLine="318"/>
        <w:spacing w:after="0" w:line="273" w:lineRule="auto"/>
        <w:rPr>
          <w:sz w:val="20"/>
          <w:szCs w:val="20"/>
          <w:color w:val="auto"/>
        </w:rPr>
      </w:pPr>
      <w:r>
        <w:rPr>
          <w:rFonts w:ascii="Times New Roman" w:cs="Times New Roman" w:eastAsia="Times New Roman" w:hAnsi="Times New Roman"/>
          <w:sz w:val="17"/>
          <w:szCs w:val="17"/>
          <w:color w:val="auto"/>
        </w:rPr>
        <w:t xml:space="preserve">In April 2019, the Financial Accounting Standards Board ("FASB") issued Accounting Standards Update ("ASU") 2019-04, </w:t>
      </w:r>
      <w:r>
        <w:rPr>
          <w:rFonts w:ascii="Times New Roman" w:cs="Times New Roman" w:eastAsia="Times New Roman" w:hAnsi="Times New Roman"/>
          <w:sz w:val="17"/>
          <w:szCs w:val="17"/>
          <w:i w:val="1"/>
          <w:iCs w:val="1"/>
          <w:color w:val="auto"/>
        </w:rPr>
        <w:t>Codification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326, Financial Instruments—Credit Losses, Topic 815, Derivatives and Hedging, and Topic 825, Financial Instruments </w:t>
      </w:r>
      <w:r>
        <w:rPr>
          <w:rFonts w:ascii="Times New Roman" w:cs="Times New Roman" w:eastAsia="Times New Roman" w:hAnsi="Times New Roman"/>
          <w:sz w:val="17"/>
          <w:szCs w:val="17"/>
          <w:color w:val="auto"/>
        </w:rPr>
        <w:t>(“ASU 2019-04”), which</w:t>
      </w:r>
    </w:p>
    <w:p>
      <w:pPr>
        <w:spacing w:after="0" w:line="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The CECL model is expected to result in more timely recognition of credit losses. The Company adopted the standard on July 1, 2023. Our adoption of the standard did not have a material impact on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2" w:name="page83"/>
    <w:bookmarkEnd w:id="82"/>
    <w:p>
      <w:pPr>
        <w:ind w:right="60"/>
        <w:spacing w:after="0" w:line="259" w:lineRule="auto"/>
        <w:rPr>
          <w:sz w:val="20"/>
          <w:szCs w:val="20"/>
          <w:color w:val="auto"/>
        </w:rPr>
      </w:pPr>
      <w:r>
        <w:rPr>
          <w:rFonts w:ascii="Times New Roman" w:cs="Times New Roman" w:eastAsia="Times New Roman" w:hAnsi="Times New Roman"/>
          <w:sz w:val="18"/>
          <w:szCs w:val="18"/>
          <w:color w:val="auto"/>
        </w:rPr>
        <w:t>consolidated financial statements. The Company makes estimates of expected credit losses based on a combination of factors, including historical losses adjusted for current market conditions, delinquency trends, aging behaviors of receivables and credit and liquidity indicators, and future market and economic conditions and regularly reviews the adequacy of the allowance for credit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improves reportable segment disclosure requirements, primarily through enhanced disclosures about significant segment expenses that are regularly provided to the chief operating decision maker. Additionally, ASU 2023-07 requires that all existing annual segment disclosures be provided on an interim basis and clarifies that single reportable segment entities are subject to the disclosure requirement under Topic 280 in its entirety. ASU 2023-07 will be applied retrospectively and is effective for fiscal years beginning after December 15, 2023 and interim periods beginning after December 15, 2024. The Company is evaluating the impact of ASU 2023-07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ASU 2023-09 is effective for annual periods beginning after December 15, 2025. The Company is currently evaluating the impact of ASU 2023-09 on our consolidated financial statements.</w:t>
      </w:r>
    </w:p>
    <w:p>
      <w:pPr>
        <w:spacing w:after="0" w:line="187" w:lineRule="exact"/>
        <w:rPr>
          <w:sz w:val="20"/>
          <w:szCs w:val="20"/>
          <w:color w:val="auto"/>
        </w:rPr>
      </w:pPr>
    </w:p>
    <w:p>
      <w:pPr>
        <w:ind w:right="1100" w:firstLine="318"/>
        <w:spacing w:after="0" w:line="452" w:lineRule="auto"/>
        <w:rPr>
          <w:sz w:val="20"/>
          <w:szCs w:val="20"/>
          <w:color w:val="auto"/>
        </w:rPr>
      </w:pPr>
      <w:r>
        <w:rPr>
          <w:rFonts w:ascii="Times New Roman" w:cs="Times New Roman" w:eastAsia="Times New Roman" w:hAnsi="Times New Roman"/>
          <w:sz w:val="18"/>
          <w:szCs w:val="18"/>
          <w:color w:val="auto"/>
        </w:rPr>
        <w:t xml:space="preserve">We do not expect that any other recently issued accounting guidance will have a significant effect on our consolidated financial statements. </w:t>
      </w:r>
      <w:r>
        <w:rPr>
          <w:rFonts w:ascii="Times New Roman" w:cs="Times New Roman" w:eastAsia="Times New Roman" w:hAnsi="Times New Roman"/>
          <w:sz w:val="18"/>
          <w:szCs w:val="18"/>
          <w:b w:val="1"/>
          <w:bCs w:val="1"/>
          <w:color w:val="auto"/>
        </w:rPr>
        <w:t>Note 3: Revenue Recognition</w:t>
      </w:r>
    </w:p>
    <w:p>
      <w:pPr>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PMPM basis. We receive 100% of the pooled capitated payment to directly provide or manage the healthcare needs of our participants.</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consolidated balance sheets. These costs are amortized over a three-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3" w:name="page84"/>
    <w:bookmarkEnd w:id="83"/>
    <w:p>
      <w:pPr>
        <w:jc w:val="both"/>
        <w:spacing w:after="0" w:line="274" w:lineRule="auto"/>
        <w:rPr>
          <w:sz w:val="20"/>
          <w:szCs w:val="20"/>
          <w:color w:val="auto"/>
        </w:rPr>
      </w:pPr>
      <w:r>
        <w:rPr>
          <w:rFonts w:ascii="Times New Roman" w:cs="Times New Roman" w:eastAsia="Times New Roman" w:hAnsi="Times New Roman"/>
          <w:sz w:val="18"/>
          <w:szCs w:val="18"/>
          <w:color w:val="auto"/>
        </w:rPr>
        <w:t>year period which corresponds to the average time a participant is enrolled in the PACE program. As of June 30, 2024 and 2023, contract assets included within deposits and other were $2.8 million and $1.0 million, respectively.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year ended June 30: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9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 payments according to the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12% and 13% of capitation revenues for the years ended June 30, 2024 and 2023, respectively, and (ii) 24% and 23% of external provider costs for the years ended June 30, 2024 and 2023, respectively.</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The concentration of net receivables from participants and third-party payers as of June 30, 2024 and 2023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5"/>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58"/>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$6.7 million as of June 30, 2024, compared to $4.2 million as of June 30, 2023. Accounts are written off as bad debts when they are deemed uncollectible based upon individual credit evaluations and specific circumstances underlying the accounts.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193" w:lineRule="exact"/>
        <w:rPr>
          <w:sz w:val="20"/>
          <w:szCs w:val="20"/>
          <w:color w:val="auto"/>
        </w:rPr>
      </w:pPr>
    </w:p>
    <w:p>
      <w:pPr>
        <w:ind w:right="560" w:firstLine="318"/>
        <w:spacing w:after="0" w:line="258" w:lineRule="auto"/>
        <w:rPr>
          <w:sz w:val="20"/>
          <w:szCs w:val="20"/>
          <w:color w:val="auto"/>
        </w:rPr>
      </w:pPr>
      <w:r>
        <w:rPr>
          <w:rFonts w:ascii="Times New Roman" w:cs="Times New Roman" w:eastAsia="Times New Roman" w:hAnsi="Times New Roman"/>
          <w:sz w:val="18"/>
          <w:szCs w:val="18"/>
          <w:color w:val="auto"/>
        </w:rPr>
        <w:t>Other service revenue primarily consists of revenues derived from state food grants and rent revenues. Accounts receivable related to other service revenue were not significant as of both June 30, 2024 and June 30,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4" w:name="page85"/>
    <w:bookmarkEnd w:id="84"/>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Cost and Equity Method Investments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holds cost method and equity method investments as of June 30: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1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960" w:type="dxa"/>
            <w:vAlign w:val="bottom"/>
            <w:tcBorders>
              <w:bottom w:val="single" w:sz="8" w:color="CCEEFF"/>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9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6"/>
        </w:trPr>
        <w:tc>
          <w:tcPr>
            <w:tcW w:w="8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181" w:lineRule="exact"/>
        <w:rPr>
          <w:sz w:val="20"/>
          <w:szCs w:val="20"/>
          <w:color w:val="auto"/>
        </w:rPr>
      </w:pPr>
    </w:p>
    <w:p>
      <w:pPr>
        <w:ind w:right="20" w:firstLine="318"/>
        <w:spacing w:after="0" w:line="245" w:lineRule="auto"/>
        <w:rPr>
          <w:sz w:val="20"/>
          <w:szCs w:val="20"/>
          <w:color w:val="auto"/>
        </w:rPr>
      </w:pPr>
      <w:r>
        <w:rPr>
          <w:rFonts w:ascii="Times New Roman" w:cs="Times New Roman" w:eastAsia="Times New Roman" w:hAnsi="Times New Roman"/>
          <w:sz w:val="18"/>
          <w:szCs w:val="18"/>
          <w:color w:val="auto"/>
        </w:rPr>
        <w:t>As of June 30, 2024 and 2023, the Company maintained one investment and two investments, respectively, that were accounted for using the cost method. The Company’s ownership interests are less than 20% of the voting stock of the investments and the Company does not have the ability to exercise significant influence over the operating and financial policies of the investments.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193"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We determined that indicators of impairment were present as of December 31, 2023, and recognized an impairment loss of $1.9 million during the three months then ended. During the three months ended March 31, 2024, we determined that the remaining balance of our investment in Jetdoc was impaired and recognized an additional impairment loss of $0.1 million. Impairment losses are included in gain on cost and equity method investments on our consolidated statements of operations. During the year ended June 30, 2023, there were no observable price changes or impairments recorded. As of June 30, 2024, the Company does not have any ownership interest in JetDoc.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Dispatch Health</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As of June 30, 2024, the balance of the Company’s investment was $2.6 million which represents the maximum exposure to loss.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years ended June 30, 2024 and 2023, there were no observable price changes or impairments.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179"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Through May 2, 2024, the Company’s operations included a Senior Housing unit that primarily included the accounts of Continental Community Housing (“CCH”), a wholly-owned subsidiary of the Company and the general partner of PWD, which was organized to develop, construct, own, maintain, and operate certain apartment complexes intended for rental to low-income elderly individuals aged 62 or older.</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PWD was a VIE, but the Company was not the primary beneficiary. The Company did not have the power to direct the activities that most significantly impacted the economic performance of PWD. Accordingly, the Company did not consolidate PWD. PWD was accounted for using the equity method of accounting. The equity earnings of PWD were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insignificant. As of June 30, 2023, the balance of the Company’s investment in PWD was $0.8 million, which represented the maximum exposure to loss.</w:t>
      </w:r>
    </w:p>
    <w:p>
      <w:pPr>
        <w:spacing w:after="0" w:line="164" w:lineRule="exact"/>
        <w:rPr>
          <w:sz w:val="20"/>
          <w:szCs w:val="20"/>
          <w:color w:val="auto"/>
        </w:rPr>
      </w:pPr>
    </w:p>
    <w:p>
      <w:pPr>
        <w:ind w:right="80" w:firstLine="318"/>
        <w:spacing w:after="0" w:line="228" w:lineRule="auto"/>
        <w:rPr>
          <w:sz w:val="20"/>
          <w:szCs w:val="20"/>
          <w:color w:val="auto"/>
        </w:rPr>
      </w:pPr>
      <w:r>
        <w:rPr>
          <w:rFonts w:ascii="Times New Roman" w:cs="Times New Roman" w:eastAsia="Times New Roman" w:hAnsi="Times New Roman"/>
          <w:sz w:val="18"/>
          <w:szCs w:val="18"/>
          <w:color w:val="auto"/>
        </w:rPr>
        <w:t>On March 13, 2024, PWD entered into a Purchase and Sale Agreement for the sale of all of PWD's property, including the Senior Housing unit. On May 2, 2024, PWD closed on the sale of its Senior Housing property for $9.5 million. Upon completion of the sale, PWD ceased providing senior housing services and in June 2024 was dissolved. Following the dissolution, the remaining proceeds from the sale were distributed in accordance with the partnership agreement and as otherwise agreed by the partners.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Entities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Orlando</w:t>
      </w:r>
    </w:p>
    <w:p>
      <w:pPr>
        <w:spacing w:after="0" w:line="179"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On May 28, 2024, the Company entered into a Joint Venture Agreement with Orlando Health (“OHI”) to develop and manage PACE centers to serve communities in Orlando, Florida. In connection with the joint venture, the joint venture, InnovAge Florida PACE – Orlando was formed. The Company contributed $26.1 million for its controlling membership interest of 90%. As result, the joint venture’s results are consolidated in the Company’s consolidated financial statements. OHI contributed $2.9 million in cash for its 10% interest.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SH1, which was organized to develop, construct, own, maintain, and operate certain apartment complexes intended for rental to low-income elderly individuals aged 62 or older. 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assets and liabilities of SH1 as of June 30: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1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5"/>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r>
      <w:tr>
        <w:trPr>
          <w:trHeight w:val="25"/>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net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5"/>
        </w:trPr>
        <w:tc>
          <w:tcPr>
            <w:tcW w:w="8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6" w:name="page87"/>
    <w:bookmarkEnd w:id="86"/>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June 30, 2024, none of the conditions specified in the JV Agreement had been met. Accordingly, these put rights held by the noncontrolling interests of the joint venture are required to be presented as temporary equity. As of June 30, 2024 and 2023, the Company’s redeemable noncontrolling interest was recorded at fair value of $22.2 million and carrying value of $12.7 million, respectively.</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Goodwill represents the excess of cost over the fair value of net assets acquired. Goodwill amounted to $139.9 million and $124.2 million as of June 30, 2024 and June 30, 2023, respectively. The Company had one acquisition resulting in goodwill during the year ended June 30, 2024, see additional information in Note 11 “Acquisitions,” and did not have any acquisitions resulting in goodwill during the year ended June 30, 2023. Goodwill is not amortized.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Pursuant to ASC 350, “Intangibles — Goodwill and Other,” we review the recoverability of goodwill annually as of April 1 or whenever significant events or changes occur which might impair the recovery of recorded amounts. For purposes of the annual goodwill impairment assessment for fiscal year 2024, the Company identified two reporting units, East and West. There were no indicators of impairment identified and no goodwill impairments recorded during the years ended June 30, 2024 and 2023.</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for the fiscal years ended June 30:</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9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0" w:type="dxa"/>
            <w:vAlign w:val="bottom"/>
          </w:tcPr>
          <w:p>
            <w:pPr>
              <w:spacing w:after="0"/>
              <w:rPr>
                <w:sz w:val="1"/>
                <w:szCs w:val="1"/>
                <w:color w:val="auto"/>
              </w:rPr>
            </w:pPr>
          </w:p>
        </w:tc>
      </w:tr>
      <w:tr>
        <w:trPr>
          <w:trHeight w:val="23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139,949</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80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8"/>
              </w:rPr>
              <w:t>6,600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Permits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8"/>
              </w:rPr>
              <w:t>2,000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8"/>
              </w:rPr>
              <w:t>8,600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8"/>
              </w:rPr>
              <w:t>(4,062)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8"/>
              </w:rPr>
              <w:t>4,538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Intangible assets with a finite useful life continue to be amortized over their useful lives. The Company recorded amortization expense of $0.7 million for each of the years ended June 30, 2024 and 2023.</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total expected future annual amortization expense for the next 5 years ended June 30,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38"/>
        </w:trPr>
        <w:tc>
          <w:tcPr>
            <w:tcW w:w="3140" w:type="dxa"/>
            <w:vAlign w:val="bottom"/>
            <w:tcBorders>
              <w:bottom w:val="single" w:sz="8" w:color="CCEEFF"/>
            </w:tcBorders>
          </w:tcPr>
          <w:p>
            <w:pPr>
              <w:spacing w:after="0"/>
              <w:rPr>
                <w:sz w:val="3"/>
                <w:szCs w:val="3"/>
                <w:color w:val="auto"/>
              </w:rPr>
            </w:pPr>
          </w:p>
        </w:tc>
        <w:tc>
          <w:tcPr>
            <w:tcW w:w="66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40" w:type="dxa"/>
            <w:vAlign w:val="bottom"/>
            <w:tcBorders>
              <w:bottom w:val="single" w:sz="8" w:color="CCEEFF"/>
            </w:tcBorders>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5"/>
        </w:trPr>
        <w:tc>
          <w:tcPr>
            <w:tcW w:w="31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6"/>
        </w:trPr>
        <w:tc>
          <w:tcPr>
            <w:tcW w:w="31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889"/>
        </w:trPr>
        <w:tc>
          <w:tcPr>
            <w:tcW w:w="3140" w:type="dxa"/>
            <w:vAlign w:val="bottom"/>
          </w:tcPr>
          <w:p>
            <w:pPr>
              <w:spacing w:after="0"/>
              <w:rPr>
                <w:sz w:val="24"/>
                <w:szCs w:val="24"/>
                <w:color w:val="auto"/>
              </w:rPr>
            </w:pPr>
          </w:p>
        </w:tc>
        <w:tc>
          <w:tcPr>
            <w:tcW w:w="6620" w:type="dxa"/>
            <w:vAlign w:val="bottom"/>
          </w:tcPr>
          <w:p>
            <w:pPr>
              <w:jc w:val="right"/>
              <w:ind w:right="3952"/>
              <w:spacing w:after="0"/>
              <w:rPr>
                <w:sz w:val="20"/>
                <w:szCs w:val="20"/>
                <w:color w:val="auto"/>
              </w:rPr>
            </w:pPr>
            <w:r>
              <w:rPr>
                <w:rFonts w:ascii="Times New Roman" w:cs="Times New Roman" w:eastAsia="Times New Roman" w:hAnsi="Times New Roman"/>
                <w:sz w:val="18"/>
                <w:szCs w:val="18"/>
                <w:color w:val="auto"/>
              </w:rPr>
              <w:t>82</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1"/>
        </w:trPr>
        <w:tc>
          <w:tcPr>
            <w:tcW w:w="3140" w:type="dxa"/>
            <w:vAlign w:val="bottom"/>
            <w:tcBorders>
              <w:bottom w:val="single" w:sz="8" w:color="9A9A9A"/>
            </w:tcBorders>
          </w:tcPr>
          <w:p>
            <w:pPr>
              <w:spacing w:after="0"/>
              <w:rPr>
                <w:sz w:val="9"/>
                <w:szCs w:val="9"/>
                <w:color w:val="auto"/>
              </w:rPr>
            </w:pPr>
          </w:p>
        </w:tc>
        <w:tc>
          <w:tcPr>
            <w:tcW w:w="66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7" w:name="page88"/>
    <w:bookmarkEnd w:id="87"/>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2024 and 2023.</w:t>
      </w:r>
    </w:p>
    <w:p>
      <w:pPr>
        <w:spacing w:after="0" w:line="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2024 through 2034. We determine if an arrangement is a lease upon commencement of the contract. If an arrangement is determined to be a long-term lease (greater than 12 months), we recognize a right-of-use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20, 2023, we consolidated our Germantown center in Pennsylvania with two of our existing centers. Upon consolidation, we terminated our Germantown center lease and recognized lease termination costs of $0.6 million. Lease termination costs are included in other income (expense) on our consolidated statements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as of June 30.</w:t>
      </w: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47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360" w:type="dxa"/>
            <w:vAlign w:val="bottom"/>
          </w:tcPr>
          <w:p>
            <w:pPr>
              <w:spacing w:after="0"/>
              <w:rPr>
                <w:sz w:val="20"/>
                <w:szCs w:val="20"/>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30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30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5"/>
                <w:szCs w:val="15"/>
                <w:color w:val="auto"/>
              </w:rPr>
            </w:pPr>
          </w:p>
        </w:tc>
      </w:tr>
      <w:tr>
        <w:trPr>
          <w:trHeight w:val="38"/>
        </w:trPr>
        <w:tc>
          <w:tcPr>
            <w:tcW w:w="30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80" w:type="dxa"/>
            <w:vAlign w:val="bottom"/>
          </w:tcPr>
          <w:p>
            <w:pPr>
              <w:spacing w:after="0"/>
              <w:rPr>
                <w:sz w:val="20"/>
                <w:szCs w:val="20"/>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r>
      <w:tr>
        <w:trPr>
          <w:trHeight w:val="25"/>
        </w:trPr>
        <w:tc>
          <w:tcPr>
            <w:tcW w:w="30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7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r>
      <w:tr>
        <w:trPr>
          <w:trHeight w:val="258"/>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7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w:t>
            </w:r>
          </w:p>
        </w:tc>
      </w:tr>
      <w:tr>
        <w:trPr>
          <w:trHeight w:val="20"/>
        </w:trPr>
        <w:tc>
          <w:tcPr>
            <w:tcW w:w="3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Statement of Operations for the years ended June 30.</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Statement of Operations Line Items</w:t>
            </w:r>
          </w:p>
        </w:tc>
        <w:tc>
          <w:tcPr>
            <w:tcW w:w="360" w:type="dxa"/>
            <w:vAlign w:val="bottom"/>
          </w:tcPr>
          <w:p>
            <w:pPr>
              <w:spacing w:after="0"/>
              <w:rPr>
                <w:sz w:val="20"/>
                <w:szCs w:val="20"/>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3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3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5"/>
                <w:szCs w:val="15"/>
                <w:color w:val="auto"/>
              </w:rPr>
            </w:pPr>
          </w:p>
        </w:tc>
      </w:tr>
      <w:tr>
        <w:trPr>
          <w:trHeight w:val="38"/>
        </w:trPr>
        <w:tc>
          <w:tcPr>
            <w:tcW w:w="31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0"/>
        </w:trPr>
        <w:tc>
          <w:tcPr>
            <w:tcW w:w="3100" w:type="dxa"/>
            <w:vAlign w:val="bottom"/>
            <w:shd w:val="clear" w:color="auto" w:fill="CCEEFF"/>
          </w:tcPr>
          <w:p>
            <w:pPr>
              <w:spacing w:after="0"/>
              <w:rPr>
                <w:sz w:val="19"/>
                <w:szCs w:val="19"/>
                <w:color w:val="auto"/>
              </w:rPr>
            </w:pPr>
          </w:p>
        </w:tc>
        <w:tc>
          <w:tcPr>
            <w:tcW w:w="5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Cost of care excluding depreciation and amortization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3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5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9"/>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6"/>
        </w:trPr>
        <w:tc>
          <w:tcPr>
            <w:tcW w:w="3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3100" w:type="dxa"/>
            <w:vAlign w:val="bottom"/>
            <w:shd w:val="clear" w:color="auto" w:fill="CCEEFF"/>
          </w:tcPr>
          <w:p>
            <w:pPr>
              <w:spacing w:after="0"/>
              <w:rPr>
                <w:sz w:val="19"/>
                <w:szCs w:val="19"/>
                <w:color w:val="auto"/>
              </w:rPr>
            </w:pPr>
          </w:p>
        </w:tc>
        <w:tc>
          <w:tcPr>
            <w:tcW w:w="5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Cost of care excluding depreciation and amortization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0"/>
        </w:trPr>
        <w:tc>
          <w:tcPr>
            <w:tcW w:w="3100" w:type="dxa"/>
            <w:vAlign w:val="bottom"/>
          </w:tcPr>
          <w:p>
            <w:pPr>
              <w:spacing w:after="0"/>
              <w:rPr>
                <w:sz w:val="19"/>
                <w:szCs w:val="19"/>
                <w:color w:val="auto"/>
              </w:rPr>
            </w:pP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Cost of care excluding depreciation and amortization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0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
        </w:trPr>
        <w:tc>
          <w:tcPr>
            <w:tcW w:w="31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50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 June 30.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260" w:type="dxa"/>
            <w:vAlign w:val="bottom"/>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6"/>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8"/>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tcBorders>
              <w:bottom w:val="single" w:sz="8" w:color="CCEEFF"/>
            </w:tcBorders>
            <w:gridSpan w:val="4"/>
            <w:shd w:val="clear" w:color="auto" w:fill="CCEEFF"/>
          </w:tcPr>
          <w:p>
            <w:pPr>
              <w:jc w:val="center"/>
              <w:ind w:left="1478"/>
              <w:spacing w:after="0"/>
              <w:rPr>
                <w:sz w:val="20"/>
                <w:szCs w:val="20"/>
                <w:color w:val="auto"/>
              </w:rPr>
            </w:pPr>
            <w:r>
              <w:rPr>
                <w:rFonts w:ascii="Times New Roman" w:cs="Times New Roman" w:eastAsia="Times New Roman" w:hAnsi="Times New Roman"/>
                <w:sz w:val="18"/>
                <w:szCs w:val="18"/>
                <w:color w:val="auto"/>
                <w:w w:val="98"/>
              </w:rPr>
              <w:t>7.7 years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years</w:t>
            </w:r>
          </w:p>
        </w:tc>
      </w:tr>
      <w:tr>
        <w:trPr>
          <w:trHeight w:val="24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4"/>
          </w:tcPr>
          <w:p>
            <w:pPr>
              <w:jc w:val="center"/>
              <w:ind w:left="1478"/>
              <w:spacing w:after="0"/>
              <w:rPr>
                <w:sz w:val="20"/>
                <w:szCs w:val="20"/>
                <w:color w:val="auto"/>
              </w:rPr>
            </w:pPr>
            <w:r>
              <w:rPr>
                <w:rFonts w:ascii="Times New Roman" w:cs="Times New Roman" w:eastAsia="Times New Roman" w:hAnsi="Times New Roman"/>
                <w:sz w:val="18"/>
                <w:szCs w:val="18"/>
                <w:color w:val="auto"/>
                <w:w w:val="98"/>
              </w:rPr>
              <w:t>3.5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years</w:t>
            </w:r>
          </w:p>
        </w:tc>
      </w:tr>
      <w:tr>
        <w:trPr>
          <w:trHeight w:val="55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260" w:type="dxa"/>
            <w:vAlign w:val="bottom"/>
          </w:tcPr>
          <w:p>
            <w:pPr>
              <w:jc w:val="right"/>
              <w:ind w:right="10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6"/>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8"/>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tcBorders>
              <w:bottom w:val="single" w:sz="8" w:color="CCEEFF"/>
            </w:tcBorders>
            <w:shd w:val="clear" w:color="auto" w:fill="CCEEFF"/>
          </w:tcPr>
          <w:p>
            <w:pPr>
              <w:jc w:val="center"/>
              <w:ind w:left="1638"/>
              <w:spacing w:after="0"/>
              <w:rPr>
                <w:sz w:val="20"/>
                <w:szCs w:val="20"/>
                <w:color w:val="auto"/>
              </w:rPr>
            </w:pPr>
            <w:r>
              <w:rPr>
                <w:rFonts w:ascii="Times New Roman" w:cs="Times New Roman" w:eastAsia="Times New Roman" w:hAnsi="Times New Roman"/>
                <w:sz w:val="18"/>
                <w:szCs w:val="18"/>
                <w:color w:val="auto"/>
                <w:w w:val="97"/>
              </w:rPr>
              <w:t>6.86 %</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24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tcPr>
          <w:p>
            <w:pPr>
              <w:jc w:val="center"/>
              <w:ind w:left="1638"/>
              <w:spacing w:after="0"/>
              <w:rPr>
                <w:sz w:val="20"/>
                <w:szCs w:val="20"/>
                <w:color w:val="auto"/>
              </w:rPr>
            </w:pPr>
            <w:r>
              <w:rPr>
                <w:rFonts w:ascii="Times New Roman" w:cs="Times New Roman" w:eastAsia="Times New Roman" w:hAnsi="Times New Roman"/>
                <w:sz w:val="18"/>
                <w:szCs w:val="18"/>
                <w:color w:val="auto"/>
                <w:w w:val="97"/>
              </w:rPr>
              <w:t>7.80 %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June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Borders>
              <w:bottom w:val="single" w:sz="8" w:color="CCEEFF"/>
            </w:tcBorders>
            <w:shd w:val="clear" w:color="auto" w:fill="CCEEFF"/>
          </w:tcPr>
          <w:p>
            <w:pPr>
              <w:jc w:val="right"/>
              <w:ind w:right="13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r>
      <w:tr>
        <w:trPr>
          <w:trHeight w:val="25"/>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5"/>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11,582</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r>
      <w:tr>
        <w:trPr>
          <w:trHeight w:val="25"/>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5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38,384</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57,934</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r>
      <w:tr>
        <w:trPr>
          <w:trHeight w:val="25"/>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30,420</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47,762</w:t>
            </w:r>
          </w:p>
        </w:tc>
      </w:tr>
      <w:tr>
        <w:trPr>
          <w:trHeight w:val="2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5"/>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3"/>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1580" w:type="dxa"/>
            <w:vAlign w:val="bottom"/>
            <w:tcBorders>
              <w:bottom w:val="single" w:sz="8" w:color="auto"/>
            </w:tcBorders>
            <w:shd w:val="clear" w:color="auto" w:fill="CCEEFF"/>
          </w:tcPr>
          <w:p>
            <w:pPr>
              <w:jc w:val="right"/>
              <w:ind w:right="13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26,275</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89" w:name="page90"/>
    <w:bookmarkEnd w:id="8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long-term debt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Facility</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5"/>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term loan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69,784</w:t>
            </w:r>
          </w:p>
        </w:tc>
      </w:tr>
      <w:tr>
        <w:trPr>
          <w:trHeight w:val="26"/>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6"/>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maturities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19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March 8, 2021, the Company entered into a credit agreement (as amended,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Borrowing capacity under the Revolving Credit Facility is subject to (i) any issued amounts under our letters of credit, which as of June 30, 2024 was $3.9 million, and (ii) applicable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w:t>
      </w:r>
    </w:p>
    <w:p>
      <w:pPr>
        <w:spacing w:after="0" w:line="1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June 30, 2024 and 2023, the interest rate on the Term Loan Facility was 7.18% and 6.95%, respectively. Under the terms of the 2021 Credit Agreement, the Revolving Credit Facility fee accrues at 0.25% of the average daily unused amount and is paid quarterly. As of June 30, 2024, we had no borrowings outstanding, $3.9 million of letters of credit issued, and $96.1 million of remaining capacity under the Revolving Credit Facility.</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The Company was in compliance with the covenants of the 2021 Credit Agreement as of June 30, 2024 and 2023.</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consolidated balance sheets. Total amortization of deferred financing costs was $0.4 million and $0.4 million for the years ended June 30, 2024 and 2023,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June 29, 2015, SH1 entered into a convertible term loan. Principal and interest payments of $0.02 million are due monthly.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8"/>
          <w:szCs w:val="18"/>
          <w:color w:val="auto"/>
        </w:rPr>
        <w:t>Aggregate maturities of our debt as of June 30, 2024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Long-term</w:t>
            </w:r>
          </w:p>
        </w:tc>
      </w:tr>
      <w:tr>
        <w:trPr>
          <w:trHeight w:val="186"/>
        </w:trPr>
        <w:tc>
          <w:tcPr>
            <w:tcW w:w="9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debt</w:t>
            </w:r>
          </w:p>
        </w:tc>
      </w:tr>
      <w:tr>
        <w:trPr>
          <w:trHeight w:val="38"/>
        </w:trPr>
        <w:tc>
          <w:tcPr>
            <w:tcW w:w="9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1"/>
        </w:trPr>
        <w:tc>
          <w:tcPr>
            <w:tcW w:w="9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38"/>
        </w:trPr>
        <w:tc>
          <w:tcPr>
            <w:tcW w:w="9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June 30: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6"/>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60,059</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6"/>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58"/>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65,989</w:t>
            </w:r>
          </w:p>
        </w:tc>
      </w:tr>
      <w:tr>
        <w:trPr>
          <w:trHeight w:val="20"/>
        </w:trPr>
        <w:tc>
          <w:tcPr>
            <w:tcW w:w="9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175" w:lineRule="exact"/>
        <w:rPr>
          <w:sz w:val="20"/>
          <w:szCs w:val="20"/>
          <w:color w:val="auto"/>
        </w:rPr>
      </w:pPr>
    </w:p>
    <w:p>
      <w:pPr>
        <w:ind w:left="9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 that the entity has the ability to access at the measurement</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w:t>
      </w:r>
    </w:p>
    <w:p>
      <w:pPr>
        <w:spacing w:after="0" w:line="156" w:lineRule="exact"/>
        <w:rPr>
          <w:sz w:val="20"/>
          <w:szCs w:val="20"/>
          <w:color w:val="auto"/>
        </w:rPr>
      </w:pPr>
    </w:p>
    <w:p>
      <w:pPr>
        <w:ind w:left="64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or liabilities</w:t>
      </w:r>
    </w:p>
    <w:p>
      <w:pPr>
        <w:spacing w:after="0" w:line="133" w:lineRule="exact"/>
        <w:rPr>
          <w:sz w:val="20"/>
          <w:szCs w:val="20"/>
          <w:color w:val="auto"/>
        </w:rPr>
      </w:pPr>
    </w:p>
    <w:p>
      <w:pPr>
        <w:ind w:left="96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to the valuation techniques that are significant to the fair value measurements of the assets or liabilities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Company’s cash, cash equivalents and marketable securities by significant investment category as of June 30, 2024.</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Short-term</w:t>
            </w:r>
          </w:p>
        </w:tc>
      </w:tr>
      <w:tr>
        <w:trPr>
          <w:trHeight w:val="19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7"/>
                <w:szCs w:val="17"/>
                <w:color w:val="auto"/>
              </w:rPr>
            </w:pP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Investments</w:t>
            </w:r>
          </w:p>
        </w:tc>
      </w:tr>
      <w:tr>
        <w:trPr>
          <w:trHeight w:val="38"/>
        </w:trPr>
        <w:tc>
          <w:tcPr>
            <w:tcW w:w="57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5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r>
      <w:tr>
        <w:trPr>
          <w:trHeight w:val="25"/>
        </w:trPr>
        <w:tc>
          <w:tcPr>
            <w:tcW w:w="5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168" w:lineRule="exact"/>
        <w:rPr>
          <w:sz w:val="20"/>
          <w:szCs w:val="20"/>
          <w:color w:val="auto"/>
        </w:rPr>
      </w:pPr>
    </w:p>
    <w:p>
      <w:pPr>
        <w:ind w:right="80" w:firstLine="318"/>
        <w:spacing w:after="0" w:line="239"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w:t>
      </w:r>
    </w:p>
    <w:p>
      <w:pPr>
        <w:sectPr>
          <w:pgSz w:w="11900" w:h="16838" w:orient="portrait"/>
          <w:cols w:equalWidth="0" w:num="1">
            <w:col w:w="11240"/>
          </w:cols>
          <w:pgMar w:left="320" w:top="1274"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type w:val="continuous"/>
        </w:sectPr>
      </w:pPr>
    </w:p>
    <w:bookmarkStart w:id="91" w:name="page92"/>
    <w:bookmarkEnd w:id="91"/>
    <w:p>
      <w:pPr>
        <w:ind w:right="520"/>
        <w:spacing w:after="0" w:line="258" w:lineRule="auto"/>
        <w:rPr>
          <w:sz w:val="20"/>
          <w:szCs w:val="20"/>
          <w:color w:val="auto"/>
        </w:rPr>
      </w:pPr>
      <w:r>
        <w:rPr>
          <w:rFonts w:ascii="Times New Roman" w:cs="Times New Roman" w:eastAsia="Times New Roman" w:hAnsi="Times New Roman"/>
          <w:sz w:val="18"/>
          <w:szCs w:val="18"/>
          <w:color w:val="auto"/>
        </w:rPr>
        <w:t>the redeemable noncontrolling interest is determined utilizing a discounted cash flow model. As of June 30, 2024 and 2023, the Company’s redeemable noncontrolling interest was recorded at carrying value of $22.2 million and $12.7 million, respectively.</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transfers in and out of Level 3 during the fiscal years ended June 30, 2024 and 2023. The Company’s policy is to recognize transfers as of the actual date of the event or change in circumstances.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1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 We are currently unable to predict the outcome of this investigation.</w:t>
      </w:r>
    </w:p>
    <w:p>
      <w:pPr>
        <w:spacing w:after="0" w:line="1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the Company received a supplemental civil investigative demand requesting supplemental information on the same matters. The Company continues to fully cooperate with the DOJ. We are currently unable to predict the outcome of this investigation.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On December 22, 2023, the District Court granted in part and denied in part the motion to dismiss. The action is now in discovery.</w:t>
      </w:r>
    </w:p>
    <w:p>
      <w:pPr>
        <w:spacing w:after="0" w:line="1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 On January 22, 2024, upon stipulation of the parties, the court entered an order further staying the litigation pending the close of fact discovery in the Securities Action.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currently unable to predict the outcome of these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third fiscal quarter of 2023, the Company agreed to settle a wage and hour class action lawsuit in the State of California for a cash payment of $1.2 million. Subsequently, the Company was notified of certain additional individual claims and agreed to include such claims within the class. In October 2023, the Company agreed to increase the settlement amount to a total of $1.3 million, reflecting the additional individual claim. The Court entered the final approval of the settlement on April 2, 2024 and the payout occurred on June 7, 2024. The matter will remain open for 180 days to allow the class members to settle their checks, after which time the case is expected to officially close.</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consolidated statements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5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were issued under the plan. As of June 30, 2024, a total of 15,222,837 profits interests units have been granted under the 2020 Equity Incentive Plan.</w:t>
      </w:r>
    </w:p>
    <w:p>
      <w:pPr>
        <w:spacing w:after="0" w:line="14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During the fiscal year ended June 30, 2024, a total of 2,213,700 Class B Units were awarded to the Company's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93" w:name="page94"/>
    <w:bookmarkEnd w:id="93"/>
    <w:p>
      <w:pPr>
        <w:ind w:right="160"/>
        <w:spacing w:after="0" w:line="274" w:lineRule="auto"/>
        <w:rPr>
          <w:sz w:val="20"/>
          <w:szCs w:val="20"/>
          <w:color w:val="auto"/>
        </w:rPr>
      </w:pPr>
      <w:r>
        <w:rPr>
          <w:rFonts w:ascii="Times New Roman" w:cs="Times New Roman" w:eastAsia="Times New Roman" w:hAnsi="Times New Roman"/>
          <w:sz w:val="18"/>
          <w:szCs w:val="18"/>
          <w:color w:val="auto"/>
        </w:rPr>
        <w:t>Chief Executive Officer, Chief Financial Officer, and Chief Legal Officer. The assumptions under the Monte Carlo model related to the profits interests units for fiscal 2024, presented on a weighted-average basis, are provided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
        </w:trPr>
        <w:tc>
          <w:tcPr>
            <w:tcW w:w="568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9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- 76.0 %</w:t>
            </w:r>
          </w:p>
        </w:tc>
      </w:tr>
      <w:tr>
        <w:trPr>
          <w:trHeight w:val="24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 - time vesting units</w:t>
            </w:r>
          </w:p>
        </w:tc>
        <w:tc>
          <w:tcPr>
            <w:tcW w:w="29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2.7 - 3.1</w:t>
            </w:r>
          </w:p>
        </w:tc>
        <w:tc>
          <w:tcPr>
            <w:tcW w:w="500" w:type="dxa"/>
            <w:vAlign w:val="bottom"/>
          </w:tcPr>
          <w:p>
            <w:pPr>
              <w:spacing w:after="0"/>
              <w:rPr>
                <w:sz w:val="20"/>
                <w:szCs w:val="20"/>
                <w:color w:val="auto"/>
              </w:rPr>
            </w:pPr>
          </w:p>
        </w:tc>
      </w:tr>
      <w:tr>
        <w:trPr>
          <w:trHeight w:val="25"/>
        </w:trPr>
        <w:tc>
          <w:tcPr>
            <w:tcW w:w="56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- 4.57 %</w:t>
            </w:r>
          </w:p>
        </w:tc>
      </w:tr>
      <w:tr>
        <w:trPr>
          <w:trHeight w:val="24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6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r>
      <w:tr>
        <w:trPr>
          <w:trHeight w:val="24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1.59 - 2.17</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- 7.27</w:t>
            </w:r>
          </w:p>
        </w:tc>
        <w:tc>
          <w:tcPr>
            <w:tcW w:w="500" w:type="dxa"/>
            <w:vAlign w:val="bottom"/>
          </w:tcPr>
          <w:p>
            <w:pPr>
              <w:spacing w:after="0"/>
              <w:rPr>
                <w:sz w:val="20"/>
                <w:szCs w:val="20"/>
                <w:color w:val="auto"/>
              </w:rPr>
            </w:pP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profits interests activity for the year ended June 30, 2024,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1,264,337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(703,395)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1,287,113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439"/>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2,118,558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5"/>
        </w:trPr>
        <w:tc>
          <w:tcPr>
            <w:tcW w:w="81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(1,853,737)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1,371,671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June 30, 2024 was $3.9 million, comprised (i) $1.8 million related to time-based unit awards expected to be recognized over a weighted-average period of 2.8 years and (ii) $2.1 million related to performance-based unit awards, which will be recorded when it is probable that the performance-based criteria will be met.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7"/>
          <w:szCs w:val="17"/>
          <w:color w:val="auto"/>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generally(i) vested on March 4, 2023, the second anniversary of the grant date, or (ii) vest over a three-year period with one-third vesting on each anniversary of the date of grant. Certain other vesting periods have also been used. The grant date fair value of restricted stock units with time-based vesting is based on the closing market price of our common stock on the date of grant. Certain other awards, including units and stock options under this plan vest upon achieving specific share price performance criteria and are determined to have performance-based vesting conditions. The Company has also issued time-based vesting stock options under this plan to its employees which generally vest in equal parts over a three-year period.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year ended June 30, 2024,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 - time based</w:t>
            </w:r>
          </w:p>
        </w:tc>
        <w:tc>
          <w:tcPr>
            <w:tcW w:w="14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1,873,794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9"/>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9"/>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1,854,786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6"/>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2,864,319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 related to time-based restricted stock units outstanding as of June 30, 2024, was $11.3 million and is expected to be recognized over a weighted-average period of 2.0 years.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performance-based vesting restricted stock units activity for the year ended June 30, 2024,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 - performance based</w:t>
            </w:r>
          </w:p>
        </w:tc>
        <w:tc>
          <w:tcPr>
            <w:tcW w:w="14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restricted stock units outstanding as of June 30, 2024, was $0.4 million and is expected to be recognized over a weighted-average period of 1.5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year ended June 30, 2024,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8"/>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 - time based</w:t>
            </w: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38"/>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4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balance, June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costs related to time-based vesting stock options outstanding as of June 30, 2024, was $0.09 million and is expected to be recognized over a weighted-average period of 1.4 years.</w:t>
      </w:r>
    </w:p>
    <w:p>
      <w:pPr>
        <w:sectPr>
          <w:pgSz w:w="11900" w:h="16838" w:orient="portrait"/>
          <w:cols w:equalWidth="0" w:num="1">
            <w:col w:w="11240"/>
          </w:cols>
          <w:pgMar w:left="320" w:top="1272"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95" w:name="page96"/>
    <w:bookmarkEnd w:id="95"/>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time-based stock options granted during the year ended June 30, 2023, was based upon the Black-Scholes option pricing model using the assumptions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8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39"/>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(years) - time vesting units</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9"/>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values</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9"/>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503"/>
        </w:trPr>
        <w:tc>
          <w:tcPr>
            <w:tcW w:w="8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A summary of performance-based vesting stock option activity for the year ended June 30, 2024, was as follows: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59"/>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7"/>
              <w:spacing w:after="0" w:line="159"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99"/>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 - performance based</w:t>
            </w: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776,299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0"/>
        </w:trPr>
        <w:tc>
          <w:tcPr>
            <w:tcW w:w="8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776,299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June 30, 2024, was $0.8 million and is expected to be recognized over a weighted-average period of 1.6 years.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 2023, the Company acquired all of the issued and outstanding membership interests of two California-based PACE programs, ConcertoCare PACE of Bakersfield, LLC and ConcertoHealth PACE of Los Angeles, LLC (collectively "Concerto"), from Perfect Health, Inc. d/b/a ConcertoCare, a tech-enabled, value-based provider of at-home, comprehensive care for seniors and other adults with unmet health and social needs, for $23.9 million. We believe the Concerto acquisition complements our California PACE centers. The acquisition was funded through cash on hand. Results of operations from the acquired centers are included in our consolidated statements of operations for the year ended June 30, 2024 beginning with the date of acquisition and were not significant to our results. We incurred costs related to the acquisition of approximately $0.1 million during the year ended June 30, 2024. Acquisition related costs were expensed as incurred and have been recorded in corporate, general and administrative expenses in our consolidated statements of operations.</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Concerto acquisition was accounted for using the purchase method of accounting. The purchase price has been preliminarily allocated to the assets acquired and liabilities assumed based on their estimated fair values at the date of acquisition. During the measurement period, which is up to one year from the acquisition date, we may adjust provisional amounts that were recognized at the acquisition date to reflect new information obtained about facts and circumstances that existed as of the acquisition date. The fair values of assets acquired and liabilities assumed may change as the valuation of intangible assets, working capital adjustments, and overall purchase price allocation are being finalized. Goodwill represents the excess of the purchase price over the fair value of net assets acquired. Goodwill recognized represents the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estimated future economic benefits arising from expected growth opportunities for the Company and is not deductible for income tax purposes.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preliminary allocation of the purchase price to the assets acquired and liabilities assumed as of the acquisition date:</w:t>
      </w:r>
    </w:p>
    <w:p>
      <w:pPr>
        <w:spacing w:after="0" w:line="26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Measurement period</w:t>
            </w:r>
          </w:p>
        </w:tc>
        <w:tc>
          <w:tcPr>
            <w:tcW w:w="400" w:type="dxa"/>
            <w:vAlign w:val="bottom"/>
          </w:tcPr>
          <w:p>
            <w:pPr>
              <w:spacing w:after="0"/>
              <w:rPr>
                <w:sz w:val="18"/>
                <w:szCs w:val="18"/>
                <w:color w:val="auto"/>
              </w:rPr>
            </w:pP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33"/>
        </w:trPr>
        <w:tc>
          <w:tcPr>
            <w:tcW w:w="4320" w:type="dxa"/>
            <w:vAlign w:val="bottom"/>
          </w:tcPr>
          <w:p>
            <w:pPr>
              <w:spacing w:after="0"/>
              <w:rPr>
                <w:sz w:val="20"/>
                <w:szCs w:val="20"/>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00" w:type="dxa"/>
            <w:vAlign w:val="bottom"/>
          </w:tcPr>
          <w:p>
            <w:pPr>
              <w:spacing w:after="0"/>
              <w:rPr>
                <w:sz w:val="20"/>
                <w:szCs w:val="20"/>
                <w:color w:val="auto"/>
              </w:rPr>
            </w:pPr>
          </w:p>
        </w:tc>
        <w:tc>
          <w:tcPr>
            <w:tcW w:w="1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5"/>
        </w:trPr>
        <w:tc>
          <w:tcPr>
            <w:tcW w:w="4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6"/>
                <w:szCs w:val="16"/>
                <w:i w:val="1"/>
                <w:iCs w:val="1"/>
                <w:color w:val="auto"/>
                <w:w w:val="98"/>
              </w:rPr>
              <w:t>in thousands</w:t>
            </w: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560" w:type="dxa"/>
            <w:vAlign w:val="bottom"/>
            <w:tcBorders>
              <w:bottom w:val="single" w:sz="8" w:color="CCEEFF"/>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5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1560" w:type="dxa"/>
            <w:vAlign w:val="bottom"/>
            <w:tcBorders>
              <w:top w:val="single" w:sz="8" w:color="auto"/>
              <w:bottom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2"/>
        </w:trPr>
        <w:tc>
          <w:tcPr>
            <w:tcW w:w="43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4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5"/>
        </w:trPr>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4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5"/>
        </w:trPr>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r>
      <w:tr>
        <w:trPr>
          <w:trHeight w:val="26"/>
        </w:trPr>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
        </w:trPr>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6"/>
        </w:trPr>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6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1560" w:type="dxa"/>
            <w:vAlign w:val="bottom"/>
            <w:tcBorders>
              <w:top w:val="single" w:sz="8" w:color="auto"/>
              <w:bottom w:val="single" w:sz="8" w:color="auto"/>
            </w:tcBorders>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4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2024, we recognized a measurement period adjustment for lease incentives related to tenant improvements. The adjustment resulted in an increase of $0.7 million to prepaid expenses and $0.9 million to operating lease assets, a decrease of $0.1 million to accounts receivable and $0.1 million to accounts payable and accrued expenses, and a corresponding decrease of $1.6 million to goodwill.</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effective income tax rate for the years ended June 30, 2024 and 2023 was (6.4)% and 14.3%, respectively, which differed from the amount computed by applying the applicable U.S. federal statutory corporate income tax rate of 21% in each period as a result of the following factors: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IRC Section 162(m) limitation (a)</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adjustments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true-up and other</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entities not subject to taxation</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5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5"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permanent addback for the Section 162(m) limitation, which limits the deduction of compensation for the five highest paid officers to $1.0 million per officer.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8"/>
          <w:szCs w:val="18"/>
          <w:color w:val="auto"/>
        </w:rPr>
        <w:t>Provision (benefit) for income taxes consisted of the following for the years ended June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5"/>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3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r>
      <w:tr>
        <w:trPr>
          <w:trHeight w:val="258"/>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were as follows for the years ended June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vacation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bonuses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r>
      <w:tr>
        <w:trPr>
          <w:trHeight w:val="23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35,196</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r>
      <w:tr>
        <w:trPr>
          <w:trHeight w:val="233"/>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investment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ROU asset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3"/>
        </w:trPr>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(33,085)</w:t>
            </w:r>
          </w:p>
        </w:tc>
      </w:tr>
      <w:tr>
        <w:trPr>
          <w:trHeight w:val="26"/>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Carryforwards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had state net operating loss carryforwards of $185.8 million and $117.9 million at June 30, 2024 and 2023, respectively, which will begin to expire in 2037 if not utilized. Included in this is a city net operating loss which will</w:t>
      </w:r>
    </w:p>
    <w:p>
      <w:pPr>
        <w:sectPr>
          <w:pgSz w:w="11900" w:h="16838" w:orient="portrait"/>
          <w:cols w:equalWidth="0" w:num="1">
            <w:col w:w="11240"/>
          </w:cols>
          <w:pgMar w:left="320" w:top="1274"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type w:val="continuous"/>
        </w:sectPr>
      </w:pPr>
    </w:p>
    <w:bookmarkStart w:id="98" w:name="page99"/>
    <w:bookmarkEnd w:id="98"/>
    <w:p>
      <w:pPr>
        <w:jc w:val="both"/>
        <w:spacing w:after="0" w:line="274" w:lineRule="auto"/>
        <w:rPr>
          <w:sz w:val="20"/>
          <w:szCs w:val="20"/>
          <w:color w:val="auto"/>
        </w:rPr>
      </w:pPr>
      <w:r>
        <w:rPr>
          <w:rFonts w:ascii="Times New Roman" w:cs="Times New Roman" w:eastAsia="Times New Roman" w:hAnsi="Times New Roman"/>
          <w:sz w:val="18"/>
          <w:szCs w:val="18"/>
          <w:color w:val="auto"/>
        </w:rPr>
        <w:t>begin to expire in 2025 if not utilized. Additionally, the Company has federal net operating loss carryforwards of $108.9 million and $81.7 million as of June 30, 2024 and 2023, respectively which do not expire.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provided $15.9 million and $8.3 million at June 30, 2024 and June 30, 2023, respectively,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uncertain tax positions at June 30, 2024 and 2023.</w:t>
      </w:r>
    </w:p>
    <w:p>
      <w:pPr>
        <w:spacing w:after="0" w:line="164" w:lineRule="exact"/>
        <w:rPr>
          <w:sz w:val="20"/>
          <w:szCs w:val="20"/>
          <w:color w:val="auto"/>
        </w:rPr>
      </w:pPr>
    </w:p>
    <w:p>
      <w:pPr>
        <w:ind w:right="20" w:firstLine="318"/>
        <w:spacing w:after="0" w:line="244" w:lineRule="auto"/>
        <w:rPr>
          <w:sz w:val="20"/>
          <w:szCs w:val="20"/>
          <w:color w:val="auto"/>
        </w:rPr>
      </w:pPr>
      <w:r>
        <w:rPr>
          <w:rFonts w:ascii="Times New Roman" w:cs="Times New Roman" w:eastAsia="Times New Roman" w:hAnsi="Times New Roman"/>
          <w:sz w:val="18"/>
          <w:szCs w:val="18"/>
          <w:color w:val="auto"/>
        </w:rPr>
        <w:t>The Company files income tax returns as a consolidated group, excluding SH1, InnovAge Sacramento, and InnovAge Orlando, in the U.S. federal jurisdiction and various states and is subject to examination by taxing authorities in all of those jurisdictions. From time to time, the Company’s tax returns are reviewed or audited by U.S. federal and various U.S. state-taxing authorities.</w:t>
      </w:r>
    </w:p>
    <w:p>
      <w:pPr>
        <w:spacing w:after="0" w:line="15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and state jurisdictions for the period ended June 30, 2021 and forward. The Company is subject to income tax examinations by California, Colorado and New Mexico state jurisdictions for the period ended June 30, 2020 and forward.</w:t>
      </w:r>
    </w:p>
    <w:p>
      <w:pPr>
        <w:spacing w:after="0" w:line="1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PWD VIE</w:t>
      </w:r>
      <w:r>
        <w:rPr>
          <w:rFonts w:ascii="Times New Roman" w:cs="Times New Roman" w:eastAsia="Times New Roman" w:hAnsi="Times New Roman"/>
          <w:sz w:val="18"/>
          <w:szCs w:val="18"/>
          <w:color w:val="auto"/>
        </w:rPr>
        <w:t>. Pursuant to the PWD Amended and Restated Agreement of Limited Partnership, CCH helped fund operating deficits and shortfalls of PWD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a loan (the “PWD Loan”). The PWD Loan did not accrue interest. Additionally, CCH was paid an administration fee of $35,000 per year. At June 30, 2023, $0.7 million was recorded in Deposits and other related to the PWD Loan. On March 13, 2024, PWD entered into a Purchase and Sale Agreement for the sale of all of PWD's property, including the Senior Housing unit.</w:t>
      </w:r>
    </w:p>
    <w:p>
      <w:pPr>
        <w:spacing w:after="0" w:line="139"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On May 2, 2024, PWD closed on the sale of its Senior Housing property for $9.5 million. Upon completion of the sale, PWD ceased providing senior housing services and was dissolved. Following the dissolution, the remaining proceeds from the sale were distributed in accordance with the partnership agreement and as otherwise agreed by the partners. The Company received net proceeds of $4.8 million in connection with the dissolution.</w:t>
      </w:r>
    </w:p>
    <w:p>
      <w:pPr>
        <w:spacing w:after="0" w:line="14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applies ASC Topic 280, “Segment Reporting,”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three operating segments, two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remaining operating segment primarily relates to Senior Housing, which is an immaterial operating segment, and shown below as “Other” along with certain corporate unallocated expenses.</w:t>
      </w:r>
    </w:p>
    <w:p>
      <w:pPr>
        <w:spacing w:after="0" w:line="15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2024, the Company served approximately 7,020 PACE participants, making it the largest PACE provider in the U.S. based upon participants served, and operated 20 PACE centers across California, Colorado, Florida, New Mexico, Pennsylvania and Virginia.</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in a community-based service model.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VA and private pay sources. Additionally, under the Medicare Prescription Drug Plan, CMS shares part of the risk for providing prescription medication to the Company’s participants.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99" w:name="page100"/>
    <w:bookmarkEnd w:id="99"/>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CODM uses Center-level Contribution Margin as the measure for assessing performance of its operating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segment for the years ended June 30, 2024 and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3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686,836</w:t>
            </w:r>
          </w:p>
        </w:tc>
        <w:tc>
          <w:tcPr>
            <w:tcW w:w="0" w:type="dxa"/>
            <w:vAlign w:val="bottom"/>
          </w:tcPr>
          <w:p>
            <w:pPr>
              <w:spacing w:after="0"/>
              <w:rPr>
                <w:sz w:val="1"/>
                <w:szCs w:val="1"/>
                <w:color w:val="auto"/>
              </w:rPr>
            </w:pPr>
          </w:p>
        </w:tc>
      </w:tr>
      <w:tr>
        <w:trPr>
          <w:trHeight w:val="239"/>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6"/>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763,855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688,087</w:t>
            </w:r>
          </w:p>
        </w:tc>
        <w:tc>
          <w:tcPr>
            <w:tcW w:w="0" w:type="dxa"/>
            <w:vAlign w:val="bottom"/>
          </w:tcPr>
          <w:p>
            <w:pPr>
              <w:spacing w:after="0"/>
              <w:rPr>
                <w:sz w:val="1"/>
                <w:szCs w:val="1"/>
                <w:color w:val="auto"/>
              </w:rPr>
            </w:pPr>
          </w:p>
        </w:tc>
      </w:tr>
      <w:tr>
        <w:trPr>
          <w:trHeight w:val="239"/>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374,528</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212,271</w:t>
            </w: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101,288</w:t>
            </w:r>
          </w:p>
        </w:tc>
        <w:tc>
          <w:tcPr>
            <w:tcW w:w="0" w:type="dxa"/>
            <w:vAlign w:val="bottom"/>
          </w:tcPr>
          <w:p>
            <w:pPr>
              <w:spacing w:after="0"/>
              <w:rPr>
                <w:sz w:val="1"/>
                <w:szCs w:val="1"/>
                <w:color w:val="auto"/>
              </w:rPr>
            </w:pPr>
          </w:p>
        </w:tc>
      </w:tr>
      <w:tr>
        <w:trPr>
          <w:trHeight w:val="26"/>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4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cost and equity method investments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left="320" w:hanging="314"/>
        <w:spacing w:after="0" w:line="274" w:lineRule="auto"/>
        <w:tabs>
          <w:tab w:leader="none" w:pos="3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spacing w:after="0" w:line="12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consists of the Sales and marketing and Corporate, general and administrative financial statement line items.</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As of June 30, 2024 and 2023, there were 1,035,066 performance-based awards excluded from the calculation of diluted EPS.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InnovAge Holding Corp.</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(40,673)</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135,902,214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135,593,824</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135,902,214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135,593,824</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 Program</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June 14, 2024, our Board authorized up to $5.0 million of share repurchases. As of June 30, 2024, the Company had repurchased approximately 45,023 shares of its common stock for $0.2 million, of which 36,559 were placed in Treasury.</w:t>
      </w:r>
    </w:p>
    <w:p>
      <w:pPr>
        <w:spacing w:after="0" w:line="1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Subsequent Event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September 10, 2024, the date on which the consolidated financial statements were issued.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01" w:name="page102"/>
    <w:bookmarkEnd w:id="10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for the Company. In order to evaluate the effectiveness of internal control over financial reporting, management has conducted an assessment, including testing, using the criteria set forth by the Committee of Sponsoring Organizations (COSO) of the Treadway Commission in </w:t>
      </w:r>
      <w:r>
        <w:rPr>
          <w:rFonts w:ascii="Times New Roman" w:cs="Times New Roman" w:eastAsia="Times New Roman" w:hAnsi="Times New Roman"/>
          <w:sz w:val="18"/>
          <w:szCs w:val="18"/>
          <w:i w:val="1"/>
          <w:iCs w:val="1"/>
          <w:color w:val="auto"/>
        </w:rPr>
        <w:t>Internal Control — Integrated Framework (2013 Framework)</w:t>
      </w:r>
      <w:r>
        <w:rPr>
          <w:rFonts w:ascii="Times New Roman" w:cs="Times New Roman" w:eastAsia="Times New Roman" w:hAnsi="Times New Roman"/>
          <w:sz w:val="18"/>
          <w:szCs w:val="18"/>
          <w:color w:val="auto"/>
        </w:rPr>
        <w:t>. The Company’s internal control over financial reporting, as defined in Rule 13a-15(f) and 15d-15(f) under the Exchange Act, is a process designed to provide reasonable assurance regarding the reliability of our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Based on our assessment under the criteria established in </w:t>
      </w:r>
      <w:r>
        <w:rPr>
          <w:rFonts w:ascii="Times New Roman" w:cs="Times New Roman" w:eastAsia="Times New Roman" w:hAnsi="Times New Roman"/>
          <w:sz w:val="18"/>
          <w:szCs w:val="18"/>
          <w:i w:val="1"/>
          <w:iCs w:val="1"/>
          <w:color w:val="auto"/>
        </w:rPr>
        <w:t>Internal Control — Integrated Framework (2013 Framework)</w:t>
      </w:r>
      <w:r>
        <w:rPr>
          <w:rFonts w:ascii="Times New Roman" w:cs="Times New Roman" w:eastAsia="Times New Roman" w:hAnsi="Times New Roman"/>
          <w:sz w:val="18"/>
          <w:szCs w:val="18"/>
          <w:color w:val="auto"/>
        </w:rPr>
        <w:t xml:space="preserve"> issued by the COSO, management has concluded that the Company maintained effective internal control over financial reporting as of June 30, 2024.</w:t>
      </w:r>
    </w:p>
    <w:p>
      <w:pPr>
        <w:spacing w:after="0" w:line="1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Form 10-K does not include an attestation report on internal controls over financial reporting of the Company's registered public accounting firm. Additionally, our auditors will not be required to formally opine on the effectiveness of our internal control over financial reporting pursuant to Section 404 until we are no longer an “emerging growth company” as defined in the JOBS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our Internal Control over Financial Reporting</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June 13, 2024, Nicole D’Amato, the Company’s Chief Legal Officer and Corporate Secretary, adopted a Rule 10b5-1 trading arrangement (as defined in Item 408(a) of Regulation S-K) intended to satisfy the affirmative defense of Rule 10b5-1(c) under the Exchange Act for the sale of up to 47,574 shares of the Company’s common stock through September 16, 2025, or upon the earlier completion of all authorized transactions under the plan.</w:t>
      </w:r>
    </w:p>
    <w:p>
      <w:pPr>
        <w:spacing w:after="0" w:line="13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102" w:name="page103"/>
    <w:bookmarkEnd w:id="102"/>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regarding the code of ethics and business conduct set forth below, will be set forth in the Proxy Statement relating to our upcoming Annual Meeting of Stockholders (the “Proxy Statement”), which is expected to be filed with the Securities and Exchange Commission (the “SEC”) within 120 days of the fiscal year ended June 30, 2024, and is incorporated in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have adopted a written Code of Ethics that applies to our directors, executive officers and employees, including our Chief Executive Officer, Chief Financial Officer and officers responsible for financial reporting. A current copy of the code is publicly available under “Governance” on the Investor Relations section of our website, https://investor.innovage.com. Any substantive amendments to or waivers from the Code of Ethics (to the extent applicable to our Chief Executive Officer, Chief Financial Officer or officers responsible for financial reporting) will be disclosed on this page of the Company’s website.</w:t>
      </w:r>
    </w:p>
    <w:p>
      <w:pPr>
        <w:spacing w:after="0" w:line="12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2024, and is incorporated herein by reference.</w:t>
      </w:r>
    </w:p>
    <w:p>
      <w:pPr>
        <w:spacing w:after="0" w:line="122" w:lineRule="exact"/>
        <w:rPr>
          <w:sz w:val="20"/>
          <w:szCs w:val="20"/>
          <w:color w:val="auto"/>
        </w:rPr>
      </w:pPr>
    </w:p>
    <w:p>
      <w:pPr>
        <w:ind w:left="720" w:right="740" w:hanging="714"/>
        <w:spacing w:after="0" w:line="27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2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2024, and is incorporated herein by reference.</w:t>
      </w:r>
    </w:p>
    <w:p>
      <w:pPr>
        <w:spacing w:after="0" w:line="1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2024, and is incorporated herein by reference.</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2024, and is incorporated herein by reference.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91"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7"/>
          <w:szCs w:val="17"/>
          <w:color w:val="auto"/>
        </w:rPr>
        <w:t>FINANCIAL STATEMENTS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financial statements required under this Item begin on page 69 of this Annual Report.</w:t>
      </w:r>
    </w:p>
    <w:p>
      <w:pPr>
        <w:spacing w:after="0" w:line="177"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9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All schedules are omitted because the required information is either inapplicable or presented within the consolidated financial statements or related notes.</w:t>
      </w:r>
    </w:p>
    <w:p>
      <w:pPr>
        <w:spacing w:after="0" w:line="124"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(3)</w:t>
      </w:r>
      <w:r>
        <w:rPr>
          <w:sz w:val="20"/>
          <w:szCs w:val="20"/>
          <w:color w:val="auto"/>
        </w:rPr>
        <w:tab/>
      </w:r>
      <w:r>
        <w:rPr>
          <w:rFonts w:ascii="Times New Roman" w:cs="Times New Roman" w:eastAsia="Times New Roman" w:hAnsi="Times New Roman"/>
          <w:sz w:val="17"/>
          <w:szCs w:val="17"/>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Exhibits not filed herewith are incorporated by reference to exhibits previously filed with the SEC, as reflected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5"/>
        </w:trPr>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2"/>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Second Amended and Restated Certificate of Incorporation of InnovAge Holding Corp., filed March 3, 2021 (incorporated by reference to</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3.1 to the Company’s Current Report on Form 8-K filed with the SEC on March 8,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Bylaws of InnovAge Holding Corp., effective March 3, 2021 (incorporated by reference to Exhibit 3.2 to the</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40" w:type="dxa"/>
            <w:vAlign w:val="bottom"/>
            <w:tcBorders>
              <w:bottom w:val="single" w:sz="8" w:color="0000FF"/>
            </w:tcBorders>
            <w:gridSpan w:val="3"/>
          </w:tcPr>
          <w:p>
            <w:pPr>
              <w:spacing w:after="0" w:line="192"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Company’s Current Report on Form 8-K filed with the SEC on March 8, 2021).</w:t>
              </w:r>
            </w:hyperlink>
          </w:p>
        </w:tc>
        <w:tc>
          <w:tcPr>
            <w:tcW w:w="4240" w:type="dxa"/>
            <w:vAlign w:val="bottom"/>
            <w:gridSpan w:val="9"/>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Description of Securities (incorporated by reference to Exhibit 4.1 to the Company’s Annual Report on Form 10-K filed with the SEC on</w:t>
              </w:r>
            </w:hyperlink>
          </w:p>
        </w:tc>
        <w:tc>
          <w:tcPr>
            <w:tcW w:w="2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September 22,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Registration Rights Agreement, dated as of March 8, 2021, by and among the Company and the other signatories party thereto</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4.1 to the Company’s Current Report on Form 8-K filed with the SEC on March 8,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Director Nomination Agreement, dated as of March 8, 2021, by and among the Company and the other signatories party thereto</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00" w:type="dxa"/>
            <w:vAlign w:val="bottom"/>
            <w:tcBorders>
              <w:bottom w:val="single" w:sz="8" w:color="0000FF"/>
            </w:tcBorders>
            <w:gridSpan w:val="8"/>
          </w:tcPr>
          <w:p>
            <w:pPr>
              <w:spacing w:after="0" w:line="192"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(incorporated by reference to Exhibit 10.1 to the Company’s Current Report on Form 8-K filed with the SEC on March 8, 2021).</w:t>
              </w:r>
            </w:hyperlink>
          </w:p>
        </w:tc>
        <w:tc>
          <w:tcPr>
            <w:tcW w:w="780" w:type="dxa"/>
            <w:vAlign w:val="bottom"/>
            <w:gridSpan w:val="4"/>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Credit Agreement, dated as of March 8, 2021, by and among Total Community Options, Inc., the Borrower, JPMorgan Chase Bank, N.A.,</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as administrative agent, and the other parties thereto (incorporated by reference to Exhibit 10.1 to the Company’s Current Report on Form</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gridSpan w:val="12"/>
          </w:tcPr>
          <w:p>
            <w:pPr>
              <w:spacing w:after="0" w:line="19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8-K filed with the SEC on March 12, 2021).</w:t>
              </w:r>
            </w:hyperlink>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Amendment No. 1 to the Credit Agreement, dated as of June 14, 2023, among TCO Intermediate Holdings, Inc., Total Community</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8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Options, Inc., each subsidiary loan party thereto, and JPMorgan Chase Bank, N.A., as administrative agent and as collateral agent</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60" w:type="dxa"/>
            <w:vAlign w:val="bottom"/>
            <w:tcBorders>
              <w:bottom w:val="single" w:sz="8" w:color="0000FF"/>
            </w:tcBorders>
            <w:gridSpan w:val="9"/>
          </w:tcPr>
          <w:p>
            <w:pPr>
              <w:spacing w:after="0" w:line="192" w:lineRule="exact"/>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(incorporated by reference to Exhibit 10.3 to the Company’s Annual Report on Form 10-K filed with the SEC on September 12, 2023).</w:t>
              </w:r>
            </w:hyperlink>
          </w:p>
        </w:tc>
        <w:tc>
          <w:tcPr>
            <w:tcW w:w="320" w:type="dxa"/>
            <w:vAlign w:val="bottom"/>
            <w:gridSpan w:val="3"/>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Director and Officer Indemnification Agreement between the Company and each of its directors and executive officers</w:t>
              </w:r>
            </w:hyperlink>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tcBorders>
              <w:bottom w:val="single" w:sz="8" w:color="0000FF"/>
            </w:tcBorders>
            <w:gridSpan w:val="10"/>
          </w:tcPr>
          <w:p>
            <w:pPr>
              <w:spacing w:after="0" w:line="192"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(incorporated by reference to Exhibit 10.2 to the Company’s Registration Statement on Form S-1 filed with the SEC on February 8, 2021).</w:t>
              </w:r>
            </w:hyperlink>
          </w:p>
        </w:tc>
        <w:tc>
          <w:tcPr>
            <w:tcW w:w="80" w:type="dxa"/>
            <w:vAlign w:val="bottom"/>
            <w:gridSpan w:val="2"/>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Employment Agreement, effective as of December 1, 2021, by and between InnovAge Holding Corp. and Patrick Blair (incorporated by</w:t>
              </w:r>
            </w:hyperlink>
          </w:p>
        </w:tc>
        <w:tc>
          <w:tcPr>
            <w:tcW w:w="2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tcBorders>
              <w:bottom w:val="single" w:sz="8" w:color="0000FF"/>
            </w:tcBorders>
            <w:gridSpan w:val="6"/>
          </w:tcPr>
          <w:p>
            <w:pPr>
              <w:spacing w:after="0" w:line="192"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reference to Exhibit 10.1 to the Company’s Current Report on Form 8-K filed with the SEC on November 12, 2021).</w:t>
              </w:r>
            </w:hyperlink>
          </w:p>
        </w:tc>
        <w:tc>
          <w:tcPr>
            <w:tcW w:w="1620" w:type="dxa"/>
            <w:vAlign w:val="bottom"/>
            <w:gridSpan w:val="6"/>
          </w:tcPr>
          <w:p>
            <w:pPr>
              <w:spacing w:after="0"/>
              <w:rPr>
                <w:sz w:val="16"/>
                <w:szCs w:val="16"/>
                <w:color w:val="auto"/>
              </w:rPr>
            </w:pPr>
          </w:p>
        </w:tc>
      </w:tr>
      <w:tr>
        <w:trPr>
          <w:trHeight w:val="29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Class B Unit Award Agreement, effective August 30, 2023, by and between TCO Group Holdings, L.P. and Patrick Blair (incorporated by</w:t>
              </w:r>
            </w:hyperlink>
          </w:p>
        </w:tc>
        <w:tc>
          <w:tcPr>
            <w:tcW w:w="2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tcBorders>
              <w:bottom w:val="single" w:sz="8" w:color="0000FF"/>
            </w:tcBorders>
            <w:gridSpan w:val="5"/>
          </w:tcPr>
          <w:p>
            <w:pPr>
              <w:spacing w:after="0" w:line="192"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reference to Exhibit 10.1 to the Company’s Current Report on Form 8-K filed with the SEC on September 1, 2023).</w:t>
              </w:r>
            </w:hyperlink>
          </w:p>
        </w:tc>
        <w:tc>
          <w:tcPr>
            <w:tcW w:w="1700" w:type="dxa"/>
            <w:vAlign w:val="bottom"/>
            <w:gridSpan w:val="7"/>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Transition and Separation Agreement, dated as of July 3, 2023, by and between Total Community Options Inc. and Barbara Gutierrez</w:t>
              </w:r>
            </w:hyperlink>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10.3 to the Company’s Current Report on Form 8-K filed with the SEC on July 5, 2023).</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Letter Agreement relating to Class B Units, dated as of July 3, 2023, by and between TCO Group Holdings, L.P. and Barbara Gutierrez</w:t>
              </w:r>
            </w:hyperlink>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10.4 to the Company’s Current Report on Form 8-K filed with the SEC on July 5, 2023).</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Employment Agreement, dated as of July 3, 2023, by and between Total Community Options, Inc. and Benjamin C. Adams (incorporated</w:t>
              </w:r>
            </w:hyperlink>
          </w:p>
        </w:tc>
        <w:tc>
          <w:tcPr>
            <w:tcW w:w="20" w:type="dxa"/>
            <w:vAlign w:val="bottom"/>
          </w:tcPr>
          <w:p>
            <w:pPr>
              <w:spacing w:after="0"/>
              <w:rPr>
                <w:sz w:val="24"/>
                <w:szCs w:val="24"/>
                <w:color w:val="auto"/>
              </w:rPr>
            </w:pPr>
          </w:p>
        </w:tc>
      </w:tr>
      <w:tr>
        <w:trPr>
          <w:trHeight w:val="192"/>
        </w:trPr>
        <w:tc>
          <w:tcPr>
            <w:tcW w:w="1360" w:type="dxa"/>
            <w:vAlign w:val="bottom"/>
          </w:tcPr>
          <w:p>
            <w:pPr>
              <w:spacing w:after="0"/>
              <w:rPr>
                <w:sz w:val="16"/>
                <w:szCs w:val="16"/>
                <w:color w:val="auto"/>
              </w:rPr>
            </w:pPr>
          </w:p>
        </w:tc>
        <w:tc>
          <w:tcPr>
            <w:tcW w:w="7940" w:type="dxa"/>
            <w:vAlign w:val="bottom"/>
            <w:tcBorders>
              <w:bottom w:val="single" w:sz="8" w:color="0000FF"/>
            </w:tcBorders>
            <w:gridSpan w:val="14"/>
          </w:tcPr>
          <w:p>
            <w:pPr>
              <w:spacing w:after="0" w:line="192"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by reference to Exhibit 10.1 to the Company’s Current Report on Form 8-K filed with the SEC on July 5, 2023).</w:t>
              </w:r>
            </w:hyperlink>
          </w:p>
        </w:tc>
        <w:tc>
          <w:tcPr>
            <w:tcW w:w="1940" w:type="dxa"/>
            <w:vAlign w:val="bottom"/>
            <w:gridSpan w:val="6"/>
          </w:tcPr>
          <w:p>
            <w:pPr>
              <w:spacing w:after="0"/>
              <w:rPr>
                <w:sz w:val="16"/>
                <w:szCs w:val="16"/>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Class B Unit Award Agreement, effective as of July 10, 2023, by and between TCO Group Holdings, L.P. and Benjamin C. Adams</w:t>
              </w:r>
            </w:hyperlink>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Exhibit 10.2 to the Company’s Current Report on Form 8-K filed with the SEC on July 5, 2023).</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Employment Agreement, dated as of November 30, 2021, by and between Nicole D’Amato and Total Community Options, Inc.</w:t>
              </w:r>
            </w:hyperlink>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Exhibit 10.6 to the Company’s Annual Report on Form 10-K filed with the SEC on September 13, 2022).</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Class B Unit Award Agreement, dated as of December 18, 2023, by and between TCO Group Holdings, L.P. and Nicole D’Amato</w:t>
              </w:r>
            </w:hyperlink>
          </w:p>
        </w:tc>
      </w:tr>
      <w:tr>
        <w:trPr>
          <w:trHeight w:val="192"/>
        </w:trPr>
        <w:tc>
          <w:tcPr>
            <w:tcW w:w="1360" w:type="dxa"/>
            <w:vAlign w:val="bottom"/>
          </w:tcPr>
          <w:p>
            <w:pPr>
              <w:spacing w:after="0"/>
              <w:rPr>
                <w:sz w:val="16"/>
                <w:szCs w:val="16"/>
                <w:color w:val="auto"/>
              </w:rPr>
            </w:pPr>
          </w:p>
        </w:tc>
        <w:tc>
          <w:tcPr>
            <w:tcW w:w="9460" w:type="dxa"/>
            <w:vAlign w:val="bottom"/>
            <w:tcBorders>
              <w:bottom w:val="single" w:sz="8" w:color="0000FF"/>
            </w:tcBorders>
            <w:gridSpan w:val="17"/>
          </w:tcPr>
          <w:p>
            <w:pPr>
              <w:spacing w:after="0" w:line="192"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(incorporated by reference to Exhibit 10.1 to the Company’s Current Report on Form 8-K filed with the SEC on December 19, 2023).</w:t>
              </w:r>
            </w:hyperlink>
          </w:p>
        </w:tc>
        <w:tc>
          <w:tcPr>
            <w:tcW w:w="420" w:type="dxa"/>
            <w:vAlign w:val="bottom"/>
            <w:gridSpan w:val="3"/>
          </w:tcPr>
          <w:p>
            <w:pPr>
              <w:spacing w:after="0"/>
              <w:rPr>
                <w:sz w:val="16"/>
                <w:szCs w:val="16"/>
                <w:color w:val="auto"/>
              </w:rPr>
            </w:pPr>
          </w:p>
        </w:tc>
      </w:tr>
      <w:tr>
        <w:trPr>
          <w:trHeight w:val="5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Employment Agreement, dated February 28, 2023, by and between InnovAge Holding Corp. and Christine Bent (incorporated by reference</w:t>
              </w:r>
            </w:hyperlink>
          </w:p>
        </w:tc>
        <w:tc>
          <w:tcPr>
            <w:tcW w:w="20" w:type="dxa"/>
            <w:vAlign w:val="bottom"/>
          </w:tcPr>
          <w:p>
            <w:pPr>
              <w:spacing w:after="0"/>
              <w:rPr>
                <w:sz w:val="24"/>
                <w:szCs w:val="24"/>
                <w:color w:val="auto"/>
              </w:rPr>
            </w:pPr>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to Exhibit 10.1 to the Company’s Current Report on Form 8-K filed with the SEC on February 28, 2023).</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Employment Agreement, dated as of August 15, 2022, by and between Richard Feifer and Total Community Options, Inc. (incorporated by</w:t>
              </w:r>
            </w:hyperlink>
          </w:p>
        </w:tc>
      </w:tr>
      <w:tr>
        <w:trPr>
          <w:trHeight w:val="192"/>
        </w:trPr>
        <w:tc>
          <w:tcPr>
            <w:tcW w:w="1360" w:type="dxa"/>
            <w:vAlign w:val="bottom"/>
          </w:tcPr>
          <w:p>
            <w:pPr>
              <w:spacing w:after="0"/>
              <w:rPr>
                <w:sz w:val="16"/>
                <w:szCs w:val="16"/>
                <w:color w:val="auto"/>
              </w:rPr>
            </w:pPr>
          </w:p>
        </w:tc>
        <w:tc>
          <w:tcPr>
            <w:tcW w:w="8340" w:type="dxa"/>
            <w:vAlign w:val="bottom"/>
            <w:tcBorders>
              <w:bottom w:val="single" w:sz="8" w:color="0000FF"/>
            </w:tcBorders>
            <w:gridSpan w:val="15"/>
          </w:tcPr>
          <w:p>
            <w:pPr>
              <w:spacing w:after="0" w:line="192"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reference to Exhibit 10.9 to the Company’s Annual Report on Form 10-K filed with the SEC on September 13, 2022).</w:t>
              </w:r>
            </w:hyperlink>
          </w:p>
        </w:tc>
        <w:tc>
          <w:tcPr>
            <w:tcW w:w="1540" w:type="dxa"/>
            <w:vAlign w:val="bottom"/>
            <w:gridSpan w:val="5"/>
          </w:tcPr>
          <w:p>
            <w:pPr>
              <w:spacing w:after="0"/>
              <w:rPr>
                <w:sz w:val="16"/>
                <w:szCs w:val="16"/>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InnovAge Holding Corp. 2021 Omnibus Incentive Plan (incorporated by reference to Exhibit 10.1 to the Company’s Registration</w:t>
              </w:r>
            </w:hyperlink>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Statement on Form S-8 filed with the SEC on March 5, 2021).</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TCO Group Holdings, Inc. 2016 Equity Incentive Plan (incorporated by reference to Exhibit 10.4 to the Company’s Registration Statement</w:t>
              </w:r>
            </w:hyperlink>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on Form S-1 filed with the SEC on February 8, 2021).</w:t>
              </w:r>
            </w:hyperlink>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TCO Group Holdings, L.P. 2020 Equity Incentive Plan (incorporated by reference to Exhibit 10.20 to the Company’s Annual Report on</w:t>
              </w:r>
            </w:hyperlink>
          </w:p>
        </w:tc>
        <w:tc>
          <w:tcPr>
            <w:tcW w:w="20" w:type="dxa"/>
            <w:vAlign w:val="bottom"/>
          </w:tcPr>
          <w:p>
            <w:pPr>
              <w:spacing w:after="0"/>
              <w:rPr>
                <w:sz w:val="24"/>
                <w:szCs w:val="24"/>
                <w:color w:val="auto"/>
              </w:rPr>
            </w:pPr>
          </w:p>
        </w:tc>
      </w:tr>
      <w:tr>
        <w:trPr>
          <w:trHeight w:val="192"/>
        </w:trPr>
        <w:tc>
          <w:tcPr>
            <w:tcW w:w="1360" w:type="dxa"/>
            <w:vAlign w:val="bottom"/>
          </w:tcPr>
          <w:p>
            <w:pPr>
              <w:spacing w:after="0"/>
              <w:rPr>
                <w:sz w:val="16"/>
                <w:szCs w:val="16"/>
                <w:color w:val="auto"/>
              </w:rPr>
            </w:pPr>
          </w:p>
        </w:tc>
        <w:tc>
          <w:tcPr>
            <w:tcW w:w="3940" w:type="dxa"/>
            <w:vAlign w:val="bottom"/>
            <w:tcBorders>
              <w:bottom w:val="single" w:sz="8" w:color="0000FF"/>
            </w:tcBorders>
            <w:gridSpan w:val="7"/>
          </w:tcPr>
          <w:p>
            <w:pPr>
              <w:spacing w:after="0" w:line="192"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Form 10-K filed with the SEC on September 12, 2023).</w:t>
              </w:r>
            </w:hyperlink>
          </w:p>
        </w:tc>
        <w:tc>
          <w:tcPr>
            <w:tcW w:w="5940" w:type="dxa"/>
            <w:vAlign w:val="bottom"/>
            <w:gridSpan w:val="13"/>
          </w:tcPr>
          <w:p>
            <w:pPr>
              <w:spacing w:after="0"/>
              <w:rPr>
                <w:sz w:val="16"/>
                <w:szCs w:val="16"/>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Form of Stock Option Grant Notice and Agreement (incorporated by reference to Exhibit 10.9 to the Company’s Registration Statement on</w:t>
              </w:r>
            </w:hyperlink>
          </w:p>
        </w:tc>
      </w:tr>
      <w:tr>
        <w:trPr>
          <w:trHeight w:val="192"/>
        </w:trPr>
        <w:tc>
          <w:tcPr>
            <w:tcW w:w="1360" w:type="dxa"/>
            <w:vAlign w:val="bottom"/>
          </w:tcPr>
          <w:p>
            <w:pPr>
              <w:spacing w:after="0"/>
              <w:rPr>
                <w:sz w:val="16"/>
                <w:szCs w:val="16"/>
                <w:color w:val="auto"/>
              </w:rPr>
            </w:pPr>
          </w:p>
        </w:tc>
        <w:tc>
          <w:tcPr>
            <w:tcW w:w="3880" w:type="dxa"/>
            <w:vAlign w:val="bottom"/>
            <w:tcBorders>
              <w:bottom w:val="single" w:sz="8" w:color="0000FF"/>
            </w:tcBorders>
            <w:gridSpan w:val="6"/>
          </w:tcPr>
          <w:p>
            <w:pPr>
              <w:spacing w:after="0" w:line="192"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Form S-1/A filed with the SEC on February 24, 2021).</w:t>
              </w:r>
            </w:hyperlink>
          </w:p>
        </w:tc>
        <w:tc>
          <w:tcPr>
            <w:tcW w:w="6000" w:type="dxa"/>
            <w:vAlign w:val="bottom"/>
            <w:gridSpan w:val="14"/>
          </w:tcPr>
          <w:p>
            <w:pPr>
              <w:spacing w:after="0"/>
              <w:rPr>
                <w:sz w:val="16"/>
                <w:szCs w:val="16"/>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Restricted Stock Unit Grant Notice and Agreement</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of Non-Employee Director Restricted Stock Unit Grant Notice and Agreement</w:t>
            </w:r>
          </w:p>
        </w:tc>
      </w:tr>
      <w:tr>
        <w:trPr>
          <w:trHeight w:val="245"/>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8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Subsidiaries of InnovAge Holding Corp.</w:t>
            </w:r>
          </w:p>
        </w:tc>
        <w:tc>
          <w:tcPr>
            <w:tcW w:w="3100" w:type="dxa"/>
            <w:vAlign w:val="bottom"/>
            <w:tcBorders>
              <w:top w:val="single" w:sz="8" w:color="0000FF"/>
            </w:tcBorders>
            <w:gridSpan w:val="6"/>
          </w:tcPr>
          <w:p>
            <w:pPr>
              <w:spacing w:after="0"/>
              <w:rPr>
                <w:sz w:val="21"/>
                <w:szCs w:val="21"/>
                <w:color w:val="auto"/>
              </w:rPr>
            </w:pPr>
          </w:p>
        </w:tc>
        <w:tc>
          <w:tcPr>
            <w:tcW w:w="3900" w:type="dxa"/>
            <w:vAlign w:val="bottom"/>
            <w:gridSpan w:val="10"/>
          </w:tcPr>
          <w:p>
            <w:pPr>
              <w:spacing w:after="0"/>
              <w:rPr>
                <w:sz w:val="21"/>
                <w:szCs w:val="2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w:t>
            </w:r>
          </w:p>
        </w:tc>
      </w:tr>
      <w:tr>
        <w:trPr>
          <w:trHeight w:val="27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820" w:type="dxa"/>
            <w:vAlign w:val="bottom"/>
            <w:gridSpan w:val="8"/>
          </w:tcPr>
          <w:p>
            <w:pPr>
              <w:spacing w:after="0"/>
              <w:rPr>
                <w:sz w:val="24"/>
                <w:szCs w:val="24"/>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18 U.S.C. Section 1350, as adopted pursuant to Section 906 of the Sarbanes-Oxley Act</w:t>
            </w:r>
          </w:p>
        </w:tc>
        <w:tc>
          <w:tcPr>
            <w:tcW w:w="20" w:type="dxa"/>
            <w:vAlign w:val="bottom"/>
          </w:tcPr>
          <w:p>
            <w:pPr>
              <w:spacing w:after="0"/>
              <w:rPr>
                <w:sz w:val="24"/>
                <w:szCs w:val="24"/>
                <w:color w:val="auto"/>
              </w:rPr>
            </w:pPr>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18 U.S.C. Section 1350, as adopted pursuant to Section 906 of the Sarbanes-Oxley Act</w:t>
            </w:r>
          </w:p>
        </w:tc>
      </w:tr>
      <w:tr>
        <w:trPr>
          <w:trHeight w:val="192"/>
        </w:trPr>
        <w:tc>
          <w:tcPr>
            <w:tcW w:w="1360" w:type="dxa"/>
            <w:vAlign w:val="bottom"/>
          </w:tcPr>
          <w:p>
            <w:pPr>
              <w:spacing w:after="0"/>
              <w:rPr>
                <w:sz w:val="16"/>
                <w:szCs w:val="16"/>
                <w:color w:val="auto"/>
              </w:rPr>
            </w:pPr>
          </w:p>
        </w:tc>
        <w:tc>
          <w:tcPr>
            <w:tcW w:w="988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r>
      <w:tr>
        <w:trPr>
          <w:trHeight w:val="2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Clawback Policy</w:t>
            </w:r>
          </w:p>
        </w:tc>
      </w:tr>
      <w:tr>
        <w:trPr>
          <w:trHeight w:val="20"/>
        </w:trPr>
        <w:tc>
          <w:tcPr>
            <w:tcW w:w="13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r>
      <w:tr>
        <w:trPr>
          <w:trHeight w:val="26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8"/>
              </w:rPr>
              <w:t>Inline XBRL Instance Document (the instance document does not appear in the Interactive Data File because its XBRL tags are embedded</w:t>
            </w:r>
          </w:p>
        </w:tc>
      </w:tr>
      <w:tr>
        <w:trPr>
          <w:trHeight w:val="231"/>
        </w:trPr>
        <w:tc>
          <w:tcPr>
            <w:tcW w:w="1360" w:type="dxa"/>
            <w:vAlign w:val="bottom"/>
          </w:tcPr>
          <w:p>
            <w:pPr>
              <w:spacing w:after="0"/>
              <w:rPr>
                <w:sz w:val="20"/>
                <w:szCs w:val="20"/>
                <w:color w:val="auto"/>
              </w:rPr>
            </w:pP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954"/>
        </w:trPr>
        <w:tc>
          <w:tcPr>
            <w:tcW w:w="1360" w:type="dxa"/>
            <w:vAlign w:val="bottom"/>
          </w:tcPr>
          <w:p>
            <w:pPr>
              <w:spacing w:after="0"/>
              <w:rPr>
                <w:sz w:val="24"/>
                <w:szCs w:val="24"/>
                <w:color w:val="auto"/>
              </w:rPr>
            </w:pPr>
          </w:p>
        </w:tc>
        <w:tc>
          <w:tcPr>
            <w:tcW w:w="4400" w:type="dxa"/>
            <w:vAlign w:val="bottom"/>
            <w:gridSpan w:val="9"/>
          </w:tcPr>
          <w:p>
            <w:pPr>
              <w:ind w:left="4140"/>
              <w:spacing w:after="0"/>
              <w:rPr>
                <w:sz w:val="20"/>
                <w:szCs w:val="20"/>
                <w:color w:val="auto"/>
              </w:rPr>
            </w:pPr>
            <w:r>
              <w:rPr>
                <w:rFonts w:ascii="Times New Roman" w:cs="Times New Roman" w:eastAsia="Times New Roman" w:hAnsi="Times New Roman"/>
                <w:sz w:val="18"/>
                <w:szCs w:val="18"/>
                <w:color w:val="auto"/>
                <w:w w:val="88"/>
              </w:rPr>
              <w:t>100</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211" w:lineRule="exact"/>
        <w:rPr>
          <w:sz w:val="20"/>
          <w:szCs w:val="20"/>
          <w:color w:val="auto"/>
        </w:rPr>
      </w:pPr>
    </w:p>
    <w:p>
      <w:pPr>
        <w:sectPr>
          <w:pgSz w:w="11900" w:h="16838" w:orient="portrait"/>
          <w:cols w:equalWidth="0" w:num="2">
            <w:col w:w="780" w:space="580"/>
            <w:col w:w="8779"/>
          </w:cols>
          <w:pgMar w:left="320" w:top="1327" w:right="1440"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79" w:lineRule="exact"/>
        <w:rPr>
          <w:sz w:val="20"/>
          <w:szCs w:val="20"/>
          <w:color w:val="auto"/>
        </w:rPr>
      </w:pPr>
    </w:p>
    <w:p>
      <w:pPr>
        <w:ind w:right="5639" w:firstLine="6"/>
        <w:spacing w:after="0" w:line="453" w:lineRule="auto"/>
        <w:tabs>
          <w:tab w:leader="none" w:pos="2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Furnished (and not filed) herewith pursuant to Item 601(b)(32)(ii) of the SEC’s Regulation S-K</w:t>
      </w:r>
    </w:p>
    <w:p>
      <w:pPr>
        <w:spacing w:after="0" w:line="1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327" w:right="1440"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76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265"/>
        </w:trPr>
        <w:tc>
          <w:tcPr>
            <w:tcW w:w="3520" w:type="dxa"/>
            <w:vAlign w:val="bottom"/>
          </w:tcPr>
          <w:p>
            <w:pPr>
              <w:spacing w:after="0"/>
              <w:rPr>
                <w:sz w:val="23"/>
                <w:szCs w:val="23"/>
                <w:color w:val="auto"/>
              </w:rPr>
            </w:pP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r>
      <w:tr>
        <w:trPr>
          <w:trHeight w:val="25"/>
        </w:trPr>
        <w:tc>
          <w:tcPr>
            <w:tcW w:w="3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3"/>
        </w:trPr>
        <w:tc>
          <w:tcPr>
            <w:tcW w:w="3520" w:type="dxa"/>
            <w:vAlign w:val="bottom"/>
          </w:tcPr>
          <w:p>
            <w:pPr>
              <w:spacing w:after="0"/>
              <w:rPr>
                <w:sz w:val="20"/>
                <w:szCs w:val="20"/>
                <w:color w:val="auto"/>
              </w:rPr>
            </w:pP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65"/>
        </w:trPr>
        <w:tc>
          <w:tcPr>
            <w:tcW w:w="3520" w:type="dxa"/>
            <w:vAlign w:val="bottom"/>
          </w:tcPr>
          <w:p>
            <w:pPr>
              <w:spacing w:after="0"/>
              <w:rPr>
                <w:sz w:val="23"/>
                <w:szCs w:val="23"/>
                <w:color w:val="auto"/>
              </w:rPr>
            </w:pP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Patrick Blair, Benjamin C. Adams and Nicole D’Amato,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any and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indicated as of September 10,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26"/>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37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Patrick Blair</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Blair</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Ellis Bush</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Ellis Bush</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Carlson</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 of the Board</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Carlson</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Cavanna</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Cavanna</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Patricia Fontneau</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Fontneau</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Kennedy, Jr.</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Kennedy, Jr.</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Scully</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Scully</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Teresa Sparks</w:t>
            </w:r>
          </w:p>
        </w:tc>
        <w:tc>
          <w:tcPr>
            <w:tcW w:w="8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6"/>
        </w:trPr>
        <w:tc>
          <w:tcPr>
            <w:tcW w:w="3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Sparks</w:t>
            </w:r>
          </w:p>
        </w:tc>
        <w:tc>
          <w:tcPr>
            <w:tcW w:w="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1278"/>
        </w:trPr>
        <w:tc>
          <w:tcPr>
            <w:tcW w:w="3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Marilyn Tavenner</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Marilyn Tavenner</w:t>
            </w:r>
          </w:p>
        </w:tc>
        <w:tc>
          <w:tcPr>
            <w:tcW w:w="700" w:type="dxa"/>
            <w:vAlign w:val="bottom"/>
          </w:tcPr>
          <w:p>
            <w:pPr>
              <w:spacing w:after="0"/>
              <w:rPr>
                <w:sz w:val="20"/>
                <w:szCs w:val="20"/>
                <w:color w:val="auto"/>
              </w:rPr>
            </w:pPr>
          </w:p>
        </w:tc>
      </w:tr>
      <w:tr>
        <w:trPr>
          <w:trHeight w:val="42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Zoretic</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5"/>
        </w:trPr>
        <w:tc>
          <w:tcPr>
            <w:tcW w:w="39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Zoretic</w:t>
            </w:r>
          </w:p>
        </w:tc>
        <w:tc>
          <w:tcPr>
            <w:tcW w:w="700" w:type="dxa"/>
            <w:vAlign w:val="bottom"/>
          </w:tcPr>
          <w:p>
            <w:pPr>
              <w:spacing w:after="0"/>
              <w:rPr>
                <w:sz w:val="20"/>
                <w:szCs w:val="20"/>
                <w:color w:val="auto"/>
              </w:rPr>
            </w:pPr>
          </w:p>
        </w:tc>
      </w:tr>
    </w:tbl>
    <w:p>
      <w:pPr>
        <w:sectPr>
          <w:pgSz w:w="11900" w:h="16838" w:orient="portrait"/>
          <w:cols w:equalWidth="0" w:num="1">
            <w:col w:w="10139"/>
          </w:cols>
          <w:pgMar w:left="320" w:top="1327" w:right="1440" w:bottom="1440" w:gutter="0" w:footer="0" w:header="0"/>
        </w:sectPr>
      </w:pPr>
    </w:p>
    <w:bookmarkStart w:id="108" w:name="page109"/>
    <w:bookmarkEnd w:id="108"/>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INNOVAGE HOLDING CORP.</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RESTRICTED STOCK UNIT NOTICE</w:t>
      </w:r>
    </w:p>
    <w:p>
      <w:pPr>
        <w:spacing w:after="0" w:line="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(2021 OMNIBUS INCENTIVE PLAN)</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InnovAge Holding Corp.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pursuant to its 2021 Omnibus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hereby grants to Participant an Award of Restricted Stock Units for the number of shares of Stock set forth below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The Award is subject to all of the terms and conditions as set forth in this Restricted Stock Unit Notice (this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and in the RSU Agreement (attached hereto as Attachment I) and the Plan, both of which are incorporated herein in their entirety. Capitalized terms not otherwise defined herein but defined in the Plan or the RSU Agreement will have the same meaning as in the Plan or the RSU Agreement. If there is any conflict between the terms in this Grant Notice and the Plan, the terms of the Plan will control.</w:t>
      </w: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-152400</wp:posOffset>
            </wp:positionV>
            <wp:extent cx="5796915" cy="7404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796915" cy="740410"/>
                    </a:xfrm>
                    <a:prstGeom prst="rect">
                      <a:avLst/>
                    </a:prstGeom>
                    <a:noFill/>
                  </pic:spPr>
                </pic:pic>
              </a:graphicData>
            </a:graphic>
          </wp:anchor>
        </w:drawing>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Date of Grant: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highlight w:val="lightGray"/>
        </w:rPr>
        <w:t>Vesting Commencement Date:</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Number of Shares of Stock Subject to the Award:</w:t>
      </w:r>
    </w:p>
    <w:p>
      <w:pPr>
        <w:spacing w:after="0" w:line="324" w:lineRule="exact"/>
        <w:rPr>
          <w:sz w:val="20"/>
          <w:szCs w:val="20"/>
          <w:color w:val="auto"/>
        </w:rPr>
      </w:pPr>
    </w:p>
    <w:p>
      <w:pPr>
        <w:ind w:left="60"/>
        <w:spacing w:after="0"/>
        <w:tabs>
          <w:tab w:leader="none" w:pos="1840" w:val="left"/>
        </w:tabs>
        <w:rPr>
          <w:sz w:val="20"/>
          <w:szCs w:val="20"/>
          <w:color w:val="auto"/>
        </w:rPr>
      </w:pPr>
      <w:r>
        <w:rPr>
          <w:rFonts w:ascii="Times New Roman" w:cs="Times New Roman" w:eastAsia="Times New Roman" w:hAnsi="Times New Roman"/>
          <w:sz w:val="21"/>
          <w:szCs w:val="21"/>
          <w:b w:val="1"/>
          <w:bCs w:val="1"/>
          <w:color w:val="auto"/>
        </w:rPr>
        <w:t>Vesting Schedule:</w:t>
      </w:r>
      <w:r>
        <w:rPr>
          <w:sz w:val="20"/>
          <w:szCs w:val="20"/>
          <w:color w:val="auto"/>
        </w:rPr>
        <w:tab/>
      </w:r>
      <w:r>
        <w:rPr>
          <w:rFonts w:ascii="Times New Roman" w:cs="Times New Roman" w:eastAsia="Times New Roman" w:hAnsi="Times New Roman"/>
          <w:sz w:val="21"/>
          <w:szCs w:val="21"/>
          <w:color w:val="auto"/>
        </w:rPr>
        <w:t>[Time or performance vesting criteria to be inserted].</w:t>
      </w:r>
    </w:p>
    <w:p>
      <w:pPr>
        <w:spacing w:after="0" w:line="236" w:lineRule="exact"/>
        <w:rPr>
          <w:sz w:val="20"/>
          <w:szCs w:val="20"/>
          <w:color w:val="auto"/>
        </w:rPr>
      </w:pPr>
    </w:p>
    <w:p>
      <w:pPr>
        <w:jc w:val="both"/>
        <w:ind w:left="1980" w:hanging="2487"/>
        <w:spacing w:after="0" w:line="277" w:lineRule="auto"/>
        <w:tabs>
          <w:tab w:leader="none" w:pos="1960" w:val="left"/>
        </w:tabs>
        <w:rPr>
          <w:sz w:val="20"/>
          <w:szCs w:val="20"/>
          <w:color w:val="auto"/>
        </w:rPr>
      </w:pPr>
      <w:r>
        <w:rPr>
          <w:rFonts w:ascii="Times New Roman" w:cs="Times New Roman" w:eastAsia="Times New Roman" w:hAnsi="Times New Roman"/>
          <w:sz w:val="21"/>
          <w:szCs w:val="21"/>
          <w:b w:val="1"/>
          <w:bCs w:val="1"/>
          <w:color w:val="auto"/>
        </w:rPr>
        <w:t>Issuance Schedule:</w:t>
      </w:r>
      <w:r>
        <w:rPr>
          <w:sz w:val="20"/>
          <w:szCs w:val="20"/>
          <w:color w:val="auto"/>
        </w:rPr>
        <w:tab/>
      </w:r>
      <w:r>
        <w:rPr>
          <w:rFonts w:ascii="Times New Roman" w:cs="Times New Roman" w:eastAsia="Times New Roman" w:hAnsi="Times New Roman"/>
          <w:sz w:val="21"/>
          <w:szCs w:val="21"/>
          <w:color w:val="auto"/>
        </w:rPr>
        <w:t>Subject to any adjustment as provided in Section 10(a) of the Plan, one share of Stock will be issued for each Restricted Stock Unit that vests, with the time of issuance set forth in Section 6 of the RSU Agreement.</w:t>
      </w: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Additional Terms/Acknowledgements: </w:t>
      </w:r>
      <w:r>
        <w:rPr>
          <w:rFonts w:ascii="Times New Roman" w:cs="Times New Roman" w:eastAsia="Times New Roman" w:hAnsi="Times New Roman"/>
          <w:sz w:val="21"/>
          <w:szCs w:val="21"/>
          <w:color w:val="auto"/>
        </w:rPr>
        <w:t>Participant acknowledges receipt of, and understands and agrees to, this Grant Notice,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RSU Agreement and the Plan. Participant acknowledges and agrees that this Grant Notice and the RSU Agreement may not be modified, amended or revised except as provided in the Plan. Participant further acknowledges that, as of the Date of Grant, this Grant Notice, the RSU Agreement and the Plan set forth the entire agreement and understanding between Participant and the Company regarding the acquisition of Stock pursuant to the Award specified above and supersede all prior oral and written agreements, promises and/or representations on that subject, with the exception of (i) Awards previously granted and delivered to the Participant, and (ii) any compensation recovery policy that is adopted by the Company or is otherwise required by applicable law. By accepting this Award, Participant consents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InnovAge Holding Corp.</w:t>
      </w:r>
    </w:p>
    <w:p>
      <w:pPr>
        <w:ind w:left="20"/>
        <w:spacing w:after="0" w:line="215" w:lineRule="auto"/>
        <w:rPr>
          <w:sz w:val="20"/>
          <w:szCs w:val="20"/>
          <w:color w:val="auto"/>
        </w:rPr>
      </w:pPr>
      <w:r>
        <w:rPr>
          <w:rFonts w:ascii="Times New Roman" w:cs="Times New Roman" w:eastAsia="Times New Roman" w:hAnsi="Times New Roman"/>
          <w:sz w:val="18"/>
          <w:szCs w:val="18"/>
          <w:color w:val="auto"/>
        </w:rPr>
        <w:t>By:</w:t>
      </w:r>
    </w:p>
    <w:p>
      <w:pPr>
        <w:ind w:left="20"/>
        <w:spacing w:after="0" w:line="199" w:lineRule="auto"/>
        <w:rPr>
          <w:sz w:val="20"/>
          <w:szCs w:val="20"/>
          <w:color w:val="auto"/>
        </w:rPr>
      </w:pPr>
      <w:r>
        <w:rPr>
          <w:rFonts w:ascii="Times New Roman" w:cs="Times New Roman" w:eastAsia="Times New Roman" w:hAnsi="Times New Roman"/>
          <w:sz w:val="18"/>
          <w:szCs w:val="18"/>
          <w:color w:val="auto"/>
        </w:rPr>
        <w:t>Signature</w:t>
      </w:r>
    </w:p>
    <w:p>
      <w:pPr>
        <w:ind w:left="20"/>
        <w:spacing w:after="0" w:line="200" w:lineRule="auto"/>
        <w:rPr>
          <w:sz w:val="20"/>
          <w:szCs w:val="20"/>
          <w:color w:val="auto"/>
        </w:rPr>
      </w:pPr>
      <w:r>
        <w:rPr>
          <w:rFonts w:ascii="Times New Roman" w:cs="Times New Roman" w:eastAsia="Times New Roman" w:hAnsi="Times New Roman"/>
          <w:sz w:val="18"/>
          <w:szCs w:val="18"/>
          <w:color w:val="auto"/>
        </w:rPr>
        <w:t>Title:</w:t>
      </w:r>
    </w:p>
    <w:p>
      <w:pPr>
        <w:ind w:left="20"/>
        <w:spacing w:after="0" w:line="215" w:lineRule="auto"/>
        <w:rPr>
          <w:sz w:val="20"/>
          <w:szCs w:val="20"/>
          <w:color w:val="auto"/>
        </w:rPr>
      </w:pPr>
      <w:r>
        <w:rPr>
          <w:rFonts w:ascii="Times New Roman" w:cs="Times New Roman" w:eastAsia="Times New Roman" w:hAnsi="Times New Roman"/>
          <w:sz w:val="18"/>
          <w:szCs w:val="18"/>
          <w:color w:val="auto"/>
        </w:rPr>
        <w:t>Date: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ATTACHMENTS</w:t>
      </w:r>
      <w:r>
        <w:rPr>
          <w:rFonts w:ascii="Times New Roman" w:cs="Times New Roman" w:eastAsia="Times New Roman" w:hAnsi="Times New Roman"/>
          <w:sz w:val="21"/>
          <w:szCs w:val="21"/>
          <w:color w:val="auto"/>
        </w:rPr>
        <w:t>: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1440" w:right="1440" w:bottom="1440" w:gutter="0" w:footer="0" w:header="0"/>
        </w:sectPr>
      </w:pPr>
    </w:p>
    <w:bookmarkStart w:id="110" w:name="page111"/>
    <w:bookmarkEnd w:id="110"/>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ATTACHMENT I</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INNOVAGE HOLDING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OMNIBUS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RSU AGREEMENT</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Pursuant to the Restricted Stock Unit Grant Notice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and this RSU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InnovAge Holding Corp.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an Award of Restricted Stock Units under its 2021 Omnibus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with respect to the number of shares of Stock indicated in the Grant Notice. Capitalized terms not explicitly defined in this Agreement or in the Grant Notice but defined in the Plan will have the same meaning as in the Plan.</w:t>
      </w:r>
    </w:p>
    <w:p>
      <w:pPr>
        <w:spacing w:after="0" w:line="17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If there is any conflict between the terms in this Agreement and the Plan, the terms of the Plan will control. The details of your Award of Restricted Stock Units (this or your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in addition to those set forth in the Grant Notice and the Plan, are as follows:</w:t>
      </w:r>
    </w:p>
    <w:p>
      <w:pPr>
        <w:spacing w:after="0" w:line="157" w:lineRule="exact"/>
        <w:rPr>
          <w:sz w:val="20"/>
          <w:szCs w:val="20"/>
          <w:color w:val="auto"/>
        </w:rPr>
      </w:pPr>
    </w:p>
    <w:p>
      <w:pPr>
        <w:jc w:val="both"/>
        <w:ind w:firstLine="642"/>
        <w:spacing w:after="0" w:line="263" w:lineRule="auto"/>
        <w:tabs>
          <w:tab w:leader="none" w:pos="127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Grant of the Award. </w:t>
      </w:r>
      <w:r>
        <w:rPr>
          <w:rFonts w:ascii="Times New Roman" w:cs="Times New Roman" w:eastAsia="Times New Roman" w:hAnsi="Times New Roman"/>
          <w:sz w:val="21"/>
          <w:szCs w:val="21"/>
          <w:color w:val="auto"/>
        </w:rPr>
        <w:t>This Award represents the right to be issued on a future date one (1) share of Stock for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Stock Unit that vests on the applicable vesting date(s) (subject to any adjustment under Section 3 below) as indicated in the Grant Notice. As of the Date of Grant, the Company will credit to a bookkeeping account maintained by or on behalf of the Company for your benefit (the “</w:t>
      </w:r>
      <w:r>
        <w:rPr>
          <w:rFonts w:ascii="Times New Roman" w:cs="Times New Roman" w:eastAsia="Times New Roman" w:hAnsi="Times New Roman"/>
          <w:sz w:val="21"/>
          <w:szCs w:val="21"/>
          <w:b w:val="1"/>
          <w:bCs w:val="1"/>
          <w:i w:val="1"/>
          <w:iCs w:val="1"/>
          <w:color w:val="auto"/>
        </w:rPr>
        <w:t>Account</w:t>
      </w:r>
      <w:r>
        <w:rPr>
          <w:rFonts w:ascii="Times New Roman" w:cs="Times New Roman" w:eastAsia="Times New Roman" w:hAnsi="Times New Roman"/>
          <w:sz w:val="21"/>
          <w:szCs w:val="21"/>
          <w:color w:val="auto"/>
        </w:rPr>
        <w:t>”) the number of shares of Stock subject to the Award. This Award was granted in consideration of your services to the Company.</w:t>
      </w:r>
    </w:p>
    <w:p>
      <w:pPr>
        <w:spacing w:after="0" w:line="160" w:lineRule="exact"/>
        <w:rPr>
          <w:rFonts w:ascii="Times New Roman" w:cs="Times New Roman" w:eastAsia="Times New Roman" w:hAnsi="Times New Roman"/>
          <w:sz w:val="18"/>
          <w:szCs w:val="18"/>
          <w:b w:val="1"/>
          <w:bCs w:val="1"/>
          <w:color w:val="auto"/>
        </w:rPr>
      </w:pPr>
    </w:p>
    <w:p>
      <w:pPr>
        <w:jc w:val="both"/>
        <w:ind w:firstLine="642"/>
        <w:spacing w:after="0" w:line="267" w:lineRule="auto"/>
        <w:tabs>
          <w:tab w:leader="none" w:pos="127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Subject to the limitations contained herein, your Award will vest as provided in your Grant Notice.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cease upon your Termination. Upon your Termination, the Restricted Stock Units credited to the Account that were not vested on the date of such Termination will be forfeited at no cost to the Company, and you will have no further right, title or interest in or to such underlying shares of Stock.</w:t>
      </w:r>
    </w:p>
    <w:p>
      <w:pPr>
        <w:spacing w:after="0" w:line="157" w:lineRule="exact"/>
        <w:rPr>
          <w:rFonts w:ascii="Times New Roman" w:cs="Times New Roman" w:eastAsia="Times New Roman" w:hAnsi="Times New Roman"/>
          <w:sz w:val="18"/>
          <w:szCs w:val="18"/>
          <w:b w:val="1"/>
          <w:bCs w:val="1"/>
          <w:color w:val="auto"/>
        </w:rPr>
      </w:pPr>
    </w:p>
    <w:p>
      <w:pPr>
        <w:jc w:val="both"/>
        <w:ind w:firstLine="642"/>
        <w:spacing w:after="0" w:line="260" w:lineRule="auto"/>
        <w:tabs>
          <w:tab w:leader="none" w:pos="127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Number of Shares. </w:t>
      </w:r>
      <w:r>
        <w:rPr>
          <w:rFonts w:ascii="Times New Roman" w:cs="Times New Roman" w:eastAsia="Times New Roman" w:hAnsi="Times New Roman"/>
          <w:sz w:val="21"/>
          <w:szCs w:val="21"/>
          <w:color w:val="auto"/>
        </w:rPr>
        <w:t>The number of shares of Stock subject to your Award may be adjusted from time to time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capitalization adjustments, as provided in the Plan. Any additional Restricted Stock Units, shares, cash or other property that becomes subject to the Award pursuant to this Section 3, if any, shall be subject, in a manner determined by the Committee, to the same forfeiture restrictions, restrictions on transferability and time and manner of delivery as applicable to the other Restricted Stock Units covered by your Award. Notwithstanding the provisions of this Section 3, no fractional shares or rights for fractional shares of Stock shall be created pursuant to this Section 3. Any fraction of a share will be rounded down to the nearest whole share.</w:t>
      </w:r>
    </w:p>
    <w:p>
      <w:pPr>
        <w:spacing w:after="0" w:line="166" w:lineRule="exact"/>
        <w:rPr>
          <w:rFonts w:ascii="Times New Roman" w:cs="Times New Roman" w:eastAsia="Times New Roman" w:hAnsi="Times New Roman"/>
          <w:sz w:val="18"/>
          <w:szCs w:val="18"/>
          <w:b w:val="1"/>
          <w:bCs w:val="1"/>
          <w:color w:val="auto"/>
        </w:rPr>
      </w:pPr>
    </w:p>
    <w:p>
      <w:pPr>
        <w:jc w:val="both"/>
        <w:ind w:firstLine="642"/>
        <w:spacing w:after="0" w:line="263" w:lineRule="auto"/>
        <w:tabs>
          <w:tab w:leader="none" w:pos="127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You may not be issued any shares of Stock under your Award unless the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underlying the Restricted Stock Units are then registered under the Securities Act or, if not registered, the Company has determined that such issuance of the shares would be exempt from the registration requirements of the Securities Act. The issuance of shares of Stock must also comply with all other applicable laws and regulations</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governing the Award and the Company’s policies, and you shall not receive such Stock if the Company determines that such receipt would not be in material compliance with such laws, regulations or Company policies, if applicable.</w:t>
      </w:r>
    </w:p>
    <w:p>
      <w:pPr>
        <w:spacing w:after="0" w:line="138" w:lineRule="exact"/>
        <w:rPr>
          <w:sz w:val="20"/>
          <w:szCs w:val="20"/>
          <w:color w:val="auto"/>
        </w:rPr>
      </w:pPr>
    </w:p>
    <w:p>
      <w:pPr>
        <w:jc w:val="both"/>
        <w:ind w:firstLine="642"/>
        <w:spacing w:after="0" w:line="259" w:lineRule="auto"/>
        <w:tabs>
          <w:tab w:leader="none" w:pos="1272"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Transfer Restrictions. </w:t>
      </w:r>
      <w:r>
        <w:rPr>
          <w:rFonts w:ascii="Times New Roman" w:cs="Times New Roman" w:eastAsia="Times New Roman" w:hAnsi="Times New Roman"/>
          <w:sz w:val="21"/>
          <w:szCs w:val="21"/>
          <w:color w:val="auto"/>
        </w:rPr>
        <w:t>Prior to the time that shares of Stock have been delivered to you, you may not transfer,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pledge, sell or otherwise dispose of this Award or the shares issuable in respect of your Award, except that, upon receiving written permission from the Committee or its duly authorized designee, you may, by delivering written notice to the Company, in a form approved by the Company, designate a third party who, on your death, will thereafter be entitled to receive the shares issuable in respect of your Award, and in the absence of such a designation, your executor or administrator of your estate will be entitled to receive any Stock or other consideration that vested but was not issued before your death.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67"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Date of Issuance.</w:t>
      </w:r>
    </w:p>
    <w:p>
      <w:pPr>
        <w:spacing w:after="0" w:line="226" w:lineRule="exact"/>
        <w:rPr>
          <w:rFonts w:ascii="Times New Roman" w:cs="Times New Roman" w:eastAsia="Times New Roman" w:hAnsi="Times New Roman"/>
          <w:sz w:val="18"/>
          <w:szCs w:val="18"/>
          <w:b w:val="1"/>
          <w:bCs w:val="1"/>
          <w:color w:val="auto"/>
        </w:rPr>
      </w:pPr>
    </w:p>
    <w:p>
      <w:pPr>
        <w:jc w:val="both"/>
        <w:ind w:firstLine="1278"/>
        <w:spacing w:after="0" w:line="262" w:lineRule="auto"/>
        <w:tabs>
          <w:tab w:leader="none" w:pos="1908"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The issuance of shares in respect of the Restricted Stock Units is intended to comply with Treasury Regulation Section 1.409A-1(b)(4) and will be construed and administered in such a manner. The Company shall issue to you one</w:t>
      </w:r>
    </w:p>
    <w:p>
      <w:pPr>
        <w:ind w:right="20" w:firstLine="6"/>
        <w:spacing w:after="0" w:line="274" w:lineRule="auto"/>
        <w:tabs>
          <w:tab w:leader="none" w:pos="3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of Stock for each Restricted Stock Unit that vests, if any, as soon as practicable following the applicable vesting date(s) (subject to any adjustment under Section 3 above) and in any event within thirty (30) days following the vesting date.</w:t>
      </w:r>
    </w:p>
    <w:p>
      <w:pPr>
        <w:spacing w:after="0" w:line="151"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2"/>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The form of delivery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stock certificate or electronic entry evidencing such shares) shall be determined</w:t>
      </w:r>
    </w:p>
    <w:p>
      <w:pPr>
        <w:spacing w:after="0" w:line="3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by the Company.</w:t>
      </w:r>
    </w:p>
    <w:p>
      <w:pPr>
        <w:spacing w:after="0" w:line="194" w:lineRule="exact"/>
        <w:rPr>
          <w:rFonts w:ascii="Times New Roman" w:cs="Times New Roman" w:eastAsia="Times New Roman" w:hAnsi="Times New Roman"/>
          <w:sz w:val="18"/>
          <w:szCs w:val="18"/>
          <w:b w:val="1"/>
          <w:bCs w:val="1"/>
          <w:color w:val="auto"/>
        </w:rPr>
      </w:pPr>
    </w:p>
    <w:p>
      <w:pPr>
        <w:ind w:firstLine="642"/>
        <w:spacing w:after="0" w:line="289" w:lineRule="auto"/>
        <w:tabs>
          <w:tab w:leader="none" w:pos="127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Dividends. </w:t>
      </w:r>
      <w:r>
        <w:rPr>
          <w:rFonts w:ascii="Times New Roman" w:cs="Times New Roman" w:eastAsia="Times New Roman" w:hAnsi="Times New Roman"/>
          <w:sz w:val="21"/>
          <w:szCs w:val="21"/>
          <w:color w:val="auto"/>
        </w:rPr>
        <w:t>You shall receive no benefit or adjustment to your Award with respect to any cash dividend,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or other distribution that does not result from the adjustment provided in Section 10(a) of the Plan.</w:t>
      </w:r>
    </w:p>
    <w:p>
      <w:pPr>
        <w:spacing w:after="0" w:line="147" w:lineRule="exact"/>
        <w:rPr>
          <w:rFonts w:ascii="Times New Roman" w:cs="Times New Roman" w:eastAsia="Times New Roman" w:hAnsi="Times New Roman"/>
          <w:sz w:val="18"/>
          <w:szCs w:val="18"/>
          <w:b w:val="1"/>
          <w:bCs w:val="1"/>
          <w:color w:val="auto"/>
        </w:rPr>
      </w:pPr>
    </w:p>
    <w:p>
      <w:pPr>
        <w:ind w:firstLine="642"/>
        <w:spacing w:after="0" w:line="289" w:lineRule="auto"/>
        <w:tabs>
          <w:tab w:leader="none" w:pos="127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Restrictive Legends. </w:t>
      </w:r>
      <w:r>
        <w:rPr>
          <w:rFonts w:ascii="Times New Roman" w:cs="Times New Roman" w:eastAsia="Times New Roman" w:hAnsi="Times New Roman"/>
          <w:sz w:val="21"/>
          <w:szCs w:val="21"/>
          <w:color w:val="auto"/>
        </w:rPr>
        <w:t>The shares of Stock issued under your Award shall be endorsed with appropriate legends,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as determined by the Company.</w:t>
      </w:r>
    </w:p>
    <w:p>
      <w:pPr>
        <w:spacing w:after="0" w:line="133" w:lineRule="exact"/>
        <w:rPr>
          <w:rFonts w:ascii="Times New Roman" w:cs="Times New Roman" w:eastAsia="Times New Roman" w:hAnsi="Times New Roman"/>
          <w:sz w:val="18"/>
          <w:szCs w:val="18"/>
          <w:b w:val="1"/>
          <w:bCs w:val="1"/>
          <w:color w:val="auto"/>
        </w:rPr>
      </w:pPr>
    </w:p>
    <w:p>
      <w:pPr>
        <w:jc w:val="both"/>
        <w:ind w:firstLine="642"/>
        <w:spacing w:after="0" w:line="269" w:lineRule="auto"/>
        <w:tabs>
          <w:tab w:leader="none" w:pos="127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Award Not a Service Contract. </w:t>
      </w:r>
      <w:r>
        <w:rPr>
          <w:rFonts w:ascii="Times New Roman" w:cs="Times New Roman" w:eastAsia="Times New Roman" w:hAnsi="Times New Roman"/>
          <w:sz w:val="21"/>
          <w:szCs w:val="21"/>
          <w:color w:val="auto"/>
        </w:rPr>
        <w:t>This Agreement is not an employment or service contract, and nothing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deemed to create in any way whatsoever any obligation on your part to continue in the employ or service of the Company or an Affiliate, or of the Company or an Affiliate to continue your employment or service.</w:t>
      </w:r>
    </w:p>
    <w:p>
      <w:pPr>
        <w:spacing w:after="0" w:line="168"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Withholding Obligations.</w:t>
      </w:r>
    </w:p>
    <w:p>
      <w:pPr>
        <w:spacing w:after="0" w:line="226" w:lineRule="exact"/>
        <w:rPr>
          <w:rFonts w:ascii="Times New Roman" w:cs="Times New Roman" w:eastAsia="Times New Roman" w:hAnsi="Times New Roman"/>
          <w:sz w:val="18"/>
          <w:szCs w:val="18"/>
          <w:b w:val="1"/>
          <w:bCs w:val="1"/>
          <w:color w:val="auto"/>
        </w:rPr>
      </w:pPr>
    </w:p>
    <w:p>
      <w:pPr>
        <w:jc w:val="both"/>
        <w:ind w:firstLine="1278"/>
        <w:spacing w:after="0" w:line="267" w:lineRule="auto"/>
        <w:tabs>
          <w:tab w:leader="none" w:pos="1908" w:val="left"/>
        </w:tabs>
        <w:numPr>
          <w:ilvl w:val="2"/>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On or before the time you receive a distribution of the shares of Stock underlying your Award, and at any other time as reasonably requested by the Company in accordance with applicable tax laws, you hereby authorize any required withholding from the shares of Stock issuable to you and/or otherwise agree to make adequate provision in cash for</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whereby Withholding Taxes may be satisfied with a portion of the shares of Stock to be delivered in connection with your Restricted Stock Units by delivery of an irrevocable direction to a securities broker (on a form prescribed by the Committee) to sell a portion of the shares of Stock and to deliver all or part of the sale proceeds to the Company and/or its Affiliates in payment of the amount necessary to satisfy the Withholding Taxes obligation; (iv) withholding shares of Stock from the shares of Stock issued or otherwise issuable to you in connection with the Award with an aggregate Fair Market Value (measured as of the date shares of Stock are issued to pursuant to Section 6) equal to the amount of such Withholding Taxes; provided, that to the extent necessary to qualify for an exemption from application of Section 16(b) of the Exchange Act, if applicable, such share withholding procedure will be subject to the express prior approval of the Committee; or (v) such other arrangements as are satisfactory to the Committee.</w:t>
      </w:r>
    </w:p>
    <w:p>
      <w:pPr>
        <w:spacing w:after="0" w:line="176" w:lineRule="exact"/>
        <w:rPr>
          <w:sz w:val="20"/>
          <w:szCs w:val="20"/>
          <w:color w:val="auto"/>
        </w:rPr>
      </w:pPr>
    </w:p>
    <w:p>
      <w:pPr>
        <w:ind w:firstLine="1278"/>
        <w:spacing w:after="0" w:line="298" w:lineRule="auto"/>
        <w:tabs>
          <w:tab w:leader="none" w:pos="1904"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Unless the tax withholding obligations of the Company and/or any Affiliate are satisfied, the Company shall have no obligation to deliver to you any shares of Stock.</w:t>
      </w:r>
    </w:p>
    <w:p>
      <w:pPr>
        <w:spacing w:after="0" w:line="129" w:lineRule="exact"/>
        <w:rPr>
          <w:rFonts w:ascii="Times New Roman" w:cs="Times New Roman" w:eastAsia="Times New Roman" w:hAnsi="Times New Roman"/>
          <w:sz w:val="18"/>
          <w:szCs w:val="18"/>
          <w:b w:val="1"/>
          <w:bCs w:val="1"/>
          <w:color w:val="auto"/>
        </w:rPr>
      </w:pPr>
    </w:p>
    <w:p>
      <w:pPr>
        <w:jc w:val="both"/>
        <w:ind w:firstLine="1278"/>
        <w:spacing w:after="0" w:line="261" w:lineRule="auto"/>
        <w:tabs>
          <w:tab w:leader="none" w:pos="1898"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In the event the Company’s obligation to withhold arises prior to the delivery to you of shares of Stock or it is determined after the delivery of shares of Stock to you that the amount of the Company’s withholding obligations was greater than the amount withheld by the Company, you agree to indemnify and hold the Company harmless from any failure by the Company to withhold the proper amount.</w:t>
      </w:r>
    </w:p>
    <w:p>
      <w:pPr>
        <w:spacing w:after="0" w:line="177" w:lineRule="exact"/>
        <w:rPr>
          <w:rFonts w:ascii="Times New Roman" w:cs="Times New Roman" w:eastAsia="Times New Roman" w:hAnsi="Times New Roman"/>
          <w:sz w:val="18"/>
          <w:szCs w:val="18"/>
          <w:b w:val="1"/>
          <w:bCs w:val="1"/>
          <w:color w:val="auto"/>
        </w:rPr>
      </w:pPr>
    </w:p>
    <w:p>
      <w:pPr>
        <w:jc w:val="both"/>
        <w:ind w:firstLine="642"/>
        <w:spacing w:after="0" w:line="269" w:lineRule="auto"/>
        <w:tabs>
          <w:tab w:leader="none" w:pos="125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Tax Consequences. </w:t>
      </w:r>
      <w:r>
        <w:rPr>
          <w:rFonts w:ascii="Times New Roman" w:cs="Times New Roman" w:eastAsia="Times New Roman" w:hAnsi="Times New Roman"/>
          <w:sz w:val="21"/>
          <w:szCs w:val="21"/>
          <w:color w:val="auto"/>
        </w:rPr>
        <w:t>You hereby agree that the Company does not have a duty to design or administer the Plan 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compensation programs in a manner that minimizes your tax liabilities. You will not make any claim against the Company, or any of its officers, directors, employees or Affiliates, related to tax liabilities arising from your Award or your other compensation.</w:t>
      </w:r>
    </w:p>
    <w:p>
      <w:pPr>
        <w:spacing w:after="0" w:line="155" w:lineRule="exact"/>
        <w:rPr>
          <w:rFonts w:ascii="Times New Roman" w:cs="Times New Roman" w:eastAsia="Times New Roman" w:hAnsi="Times New Roman"/>
          <w:sz w:val="18"/>
          <w:szCs w:val="18"/>
          <w:b w:val="1"/>
          <w:bCs w:val="1"/>
          <w:color w:val="auto"/>
        </w:rPr>
      </w:pPr>
    </w:p>
    <w:p>
      <w:pPr>
        <w:jc w:val="both"/>
        <w:ind w:firstLine="642"/>
        <w:spacing w:after="0" w:line="258" w:lineRule="auto"/>
        <w:tabs>
          <w:tab w:leader="none" w:pos="126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Notices. </w:t>
      </w:r>
      <w:r>
        <w:rPr>
          <w:rFonts w:ascii="Times New Roman" w:cs="Times New Roman" w:eastAsia="Times New Roman" w:hAnsi="Times New Roman"/>
          <w:sz w:val="21"/>
          <w:szCs w:val="21"/>
          <w:color w:val="auto"/>
        </w:rPr>
        <w:t>Any notices provided for in your Award or the Plan will be given in writing (including electronically)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66" w:lineRule="exact"/>
        <w:rPr>
          <w:sz w:val="20"/>
          <w:szCs w:val="20"/>
          <w:color w:val="auto"/>
        </w:rPr>
      </w:pPr>
    </w:p>
    <w:p>
      <w:pPr>
        <w:jc w:val="both"/>
        <w:ind w:left="-642" w:firstLine="642"/>
        <w:spacing w:after="0" w:line="269"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Unsecured Obligation. </w:t>
      </w:r>
      <w:r>
        <w:rPr>
          <w:rFonts w:ascii="Times New Roman" w:cs="Times New Roman" w:eastAsia="Times New Roman" w:hAnsi="Times New Roman"/>
          <w:sz w:val="21"/>
          <w:szCs w:val="21"/>
          <w:color w:val="auto"/>
        </w:rPr>
        <w:t>Your Award is unfunded, and as a holder of a vested Award, you shall be considered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unsecured creditor of the Company with respect to the Company’s obligation, if any, to issue shares or other property pursuant to this Agreement.</w:t>
      </w:r>
    </w:p>
    <w:p>
      <w:pPr>
        <w:spacing w:after="0" w:line="168" w:lineRule="exact"/>
        <w:rPr>
          <w:rFonts w:ascii="Times New Roman" w:cs="Times New Roman" w:eastAsia="Times New Roman" w:hAnsi="Times New Roman"/>
          <w:sz w:val="18"/>
          <w:szCs w:val="18"/>
          <w:b w:val="1"/>
          <w:bCs w:val="1"/>
          <w:color w:val="auto"/>
        </w:rPr>
      </w:pPr>
    </w:p>
    <w:p>
      <w:pPr>
        <w:jc w:val="both"/>
        <w:ind w:left="-642" w:firstLine="642"/>
        <w:spacing w:after="0" w:line="257"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Governing Plan Document. </w:t>
      </w:r>
      <w:r>
        <w:rPr>
          <w:rFonts w:ascii="Times New Roman" w:cs="Times New Roman" w:eastAsia="Times New Roman" w:hAnsi="Times New Roman"/>
          <w:sz w:val="21"/>
          <w:szCs w:val="21"/>
          <w:color w:val="auto"/>
        </w:rPr>
        <w:t>Your Award is subject to all the provisions of the Plan, the provisions of which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made a 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 THIS AGREEMENT SHALL BE GOVERNED BY AND CONSTRUED IN ACCORDANCE WITH THE LAWS OF THE STATE OF DELAWARE. ANY DISPUTE, CONTROVERSY OR CLAIM BETWEEN YOU AND THE COMPANY ARISING OUT OF OR RELATED TO THIS AGREEMENT SHALL BE RESOLVED BY ARBITRATION IN ACCORDANCE WITH THE PROVISIONS RELATING TO ARBITRATION SET FORTH IN THE PLAN.</w:t>
      </w:r>
    </w:p>
    <w:p>
      <w:pPr>
        <w:spacing w:after="0" w:line="170" w:lineRule="exact"/>
        <w:rPr>
          <w:rFonts w:ascii="Times New Roman" w:cs="Times New Roman" w:eastAsia="Times New Roman" w:hAnsi="Times New Roman"/>
          <w:sz w:val="18"/>
          <w:szCs w:val="18"/>
          <w:b w:val="1"/>
          <w:bCs w:val="1"/>
          <w:color w:val="auto"/>
        </w:rPr>
      </w:pPr>
    </w:p>
    <w:p>
      <w:pPr>
        <w:jc w:val="both"/>
        <w:ind w:left="-642" w:firstLine="642"/>
        <w:spacing w:after="0" w:line="263"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Clawback/Recoupment Policy. </w:t>
      </w:r>
      <w:r>
        <w:rPr>
          <w:rFonts w:ascii="Times New Roman" w:cs="Times New Roman" w:eastAsia="Times New Roman" w:hAnsi="Times New Roman"/>
          <w:sz w:val="21"/>
          <w:szCs w:val="21"/>
          <w:color w:val="auto"/>
        </w:rPr>
        <w:t>You hereby acknowledge and agree that your Award (and any compensation paid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issued under your Award) and any other compensation received in respect of your services to the Company or any of its Affiliates on or after the date hereof is subject to recoupment in accordance with any clawback policy adopted by the Company pursuant to Rule 10D-1 of the Exchange Act, Nasdaq Listing Rule 5608, or other applicable law, and any other compensation recovery policy adopted by the Company.</w:t>
      </w:r>
    </w:p>
    <w:p>
      <w:pPr>
        <w:spacing w:after="0" w:line="160" w:lineRule="exact"/>
        <w:rPr>
          <w:rFonts w:ascii="Times New Roman" w:cs="Times New Roman" w:eastAsia="Times New Roman" w:hAnsi="Times New Roman"/>
          <w:sz w:val="18"/>
          <w:szCs w:val="18"/>
          <w:b w:val="1"/>
          <w:bCs w:val="1"/>
          <w:color w:val="auto"/>
        </w:rPr>
      </w:pPr>
    </w:p>
    <w:p>
      <w:pPr>
        <w:ind w:left="-642" w:firstLine="642"/>
        <w:spacing w:after="0" w:line="289"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Other Documents. </w:t>
      </w:r>
      <w:r>
        <w:rPr>
          <w:rFonts w:ascii="Times New Roman" w:cs="Times New Roman" w:eastAsia="Times New Roman" w:hAnsi="Times New Roman"/>
          <w:sz w:val="21"/>
          <w:szCs w:val="21"/>
          <w:color w:val="auto"/>
        </w:rPr>
        <w:t>You hereby acknowledge receipt of and the right to receive a document providing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required by Rule 428(b)(1) promulgated under the Securities Act, which includes the Plan prospectus.</w:t>
      </w:r>
    </w:p>
    <w:p>
      <w:pPr>
        <w:spacing w:after="0" w:line="133" w:lineRule="exact"/>
        <w:rPr>
          <w:rFonts w:ascii="Times New Roman" w:cs="Times New Roman" w:eastAsia="Times New Roman" w:hAnsi="Times New Roman"/>
          <w:sz w:val="18"/>
          <w:szCs w:val="18"/>
          <w:b w:val="1"/>
          <w:bCs w:val="1"/>
          <w:color w:val="auto"/>
        </w:rPr>
      </w:pPr>
    </w:p>
    <w:p>
      <w:pPr>
        <w:jc w:val="both"/>
        <w:ind w:left="-642" w:firstLine="642"/>
        <w:spacing w:after="0" w:line="267"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Effect on Other Employee Benefit Plans. </w:t>
      </w:r>
      <w:r>
        <w:rPr>
          <w:rFonts w:ascii="Times New Roman" w:cs="Times New Roman" w:eastAsia="Times New Roman" w:hAnsi="Times New Roman"/>
          <w:sz w:val="21"/>
          <w:szCs w:val="21"/>
          <w:color w:val="auto"/>
        </w:rPr>
        <w:t>The value of this Award will not be included as compensation, earnings,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57" w:lineRule="exact"/>
        <w:rPr>
          <w:rFonts w:ascii="Times New Roman" w:cs="Times New Roman" w:eastAsia="Times New Roman" w:hAnsi="Times New Roman"/>
          <w:sz w:val="18"/>
          <w:szCs w:val="18"/>
          <w:b w:val="1"/>
          <w:bCs w:val="1"/>
          <w:color w:val="auto"/>
        </w:rPr>
      </w:pPr>
    </w:p>
    <w:p>
      <w:pPr>
        <w:jc w:val="both"/>
        <w:ind w:left="-642" w:firstLine="642"/>
        <w:spacing w:after="0" w:line="263"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Voting Rights. </w:t>
      </w:r>
      <w:r>
        <w:rPr>
          <w:rFonts w:ascii="Times New Roman" w:cs="Times New Roman" w:eastAsia="Times New Roman" w:hAnsi="Times New Roman"/>
          <w:sz w:val="21"/>
          <w:szCs w:val="21"/>
          <w:color w:val="auto"/>
        </w:rPr>
        <w:t>You will not have voting or any other rights as a stockholder of the Company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Stock to be issued pursuant to this Award until such shares are issued to you. Upon such issuance, you will obtain full voting and other rights as a stockholder of the Company. Nothing contained in this Award, and no action taken pursuant to its provisions, will create or be construed to create a trust of any kind or a fiduciary relationship between you and the Company or any other person.</w:t>
      </w:r>
    </w:p>
    <w:p>
      <w:pPr>
        <w:spacing w:after="0" w:line="160" w:lineRule="exact"/>
        <w:rPr>
          <w:rFonts w:ascii="Times New Roman" w:cs="Times New Roman" w:eastAsia="Times New Roman" w:hAnsi="Times New Roman"/>
          <w:sz w:val="18"/>
          <w:szCs w:val="18"/>
          <w:b w:val="1"/>
          <w:bCs w:val="1"/>
          <w:color w:val="auto"/>
        </w:rPr>
      </w:pPr>
    </w:p>
    <w:p>
      <w:pPr>
        <w:jc w:val="both"/>
        <w:ind w:left="-642" w:firstLine="642"/>
        <w:spacing w:after="0" w:line="263" w:lineRule="auto"/>
        <w:tabs>
          <w:tab w:leader="none" w:pos="62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 xml:space="preserve">Severability. </w:t>
      </w:r>
      <w:r>
        <w:rPr>
          <w:rFonts w:ascii="Times New Roman" w:cs="Times New Roman" w:eastAsia="Times New Roman" w:hAnsi="Times New Roman"/>
          <w:sz w:val="21"/>
          <w:szCs w:val="21"/>
          <w:color w:val="auto"/>
        </w:rPr>
        <w:t>If all or any part of this Agreement or the Plan is declared by any court or governmental authority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unlawful or 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ectPr>
          <w:pgSz w:w="11900" w:h="16838" w:orient="portrait"/>
          <w:cols w:equalWidth="0" w:num="1">
            <w:col w:w="10598"/>
          </w:cols>
          <w:pgMar w:left="962" w:top="1440" w:right="339" w:bottom="1440" w:gutter="0" w:footer="0" w:header="0"/>
        </w:sectPr>
      </w:pPr>
    </w:p>
    <w:bookmarkStart w:id="114" w:name="page115"/>
    <w:bookmarkEnd w:id="114"/>
    <w:p>
      <w:pPr>
        <w:spacing w:after="0" w:line="166" w:lineRule="exact"/>
        <w:rPr>
          <w:sz w:val="20"/>
          <w:szCs w:val="20"/>
          <w:color w:val="auto"/>
        </w:rPr>
      </w:pPr>
    </w:p>
    <w:p>
      <w:pPr>
        <w:jc w:val="both"/>
        <w:ind w:firstLine="642"/>
        <w:spacing w:after="0" w:line="260" w:lineRule="auto"/>
        <w:tabs>
          <w:tab w:leader="none" w:pos="126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Data Privacy</w:t>
      </w:r>
      <w:r>
        <w:rPr>
          <w:rFonts w:ascii="Times New Roman" w:cs="Times New Roman" w:eastAsia="Times New Roman" w:hAnsi="Times New Roman"/>
          <w:sz w:val="21"/>
          <w:szCs w:val="21"/>
          <w:color w:val="auto"/>
        </w:rPr>
        <w:t>. You explicitly and unambiguously consent to the collection, use and transfer, in electronic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 of personal data as described in Section 20(g) of the Plan (such Section 20(g) of the Plan is incorporated herein by reference and made a part hereof) by and among, as applicable, the Company, its Affiliates, third-party administrator(s) and other possible recipients for the exclusive purpose of implementing, administering and managing the Plan and Awards and your participation in the Plan. You acknowledge, understand and agree that Data may be transferred to third parties, which will assist the Company with the implementation, administration and management of the Plan.</w:t>
      </w:r>
    </w:p>
    <w:p>
      <w:pPr>
        <w:spacing w:after="0" w:line="166"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Miscellaneous.</w:t>
      </w:r>
    </w:p>
    <w:p>
      <w:pPr>
        <w:spacing w:after="0" w:line="226" w:lineRule="exact"/>
        <w:rPr>
          <w:rFonts w:ascii="Times New Roman" w:cs="Times New Roman" w:eastAsia="Times New Roman" w:hAnsi="Times New Roman"/>
          <w:sz w:val="18"/>
          <w:szCs w:val="18"/>
          <w:b w:val="1"/>
          <w:bCs w:val="1"/>
          <w:color w:val="auto"/>
        </w:rPr>
      </w:pPr>
    </w:p>
    <w:p>
      <w:pPr>
        <w:jc w:val="both"/>
        <w:ind w:firstLine="1278"/>
        <w:spacing w:after="0" w:line="274" w:lineRule="auto"/>
        <w:tabs>
          <w:tab w:leader="none" w:pos="190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The rights and obligations of the Company under your Award will be transferable to any one or more persons or entities, and all covenants and agreements hereunder will inure to the benefit of, and be enforceable by, the Company’s successors and assigns.</w:t>
      </w:r>
    </w:p>
    <w:p>
      <w:pPr>
        <w:spacing w:after="0" w:line="153" w:lineRule="exact"/>
        <w:rPr>
          <w:rFonts w:ascii="Times New Roman" w:cs="Times New Roman" w:eastAsia="Times New Roman" w:hAnsi="Times New Roman"/>
          <w:sz w:val="18"/>
          <w:szCs w:val="18"/>
          <w:b w:val="1"/>
          <w:bCs w:val="1"/>
          <w:color w:val="auto"/>
        </w:rPr>
      </w:pPr>
    </w:p>
    <w:p>
      <w:pPr>
        <w:ind w:firstLine="1278"/>
        <w:spacing w:after="0" w:line="285" w:lineRule="auto"/>
        <w:tabs>
          <w:tab w:leader="none" w:pos="190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You agree upon request to execute any further documents or instruments necessary or desirable in the sole determination of the Company to carry out the purposes or intent of your Award.</w:t>
      </w:r>
    </w:p>
    <w:p>
      <w:pPr>
        <w:spacing w:after="0" w:line="141" w:lineRule="exact"/>
        <w:rPr>
          <w:rFonts w:ascii="Times New Roman" w:cs="Times New Roman" w:eastAsia="Times New Roman" w:hAnsi="Times New Roman"/>
          <w:sz w:val="18"/>
          <w:szCs w:val="18"/>
          <w:b w:val="1"/>
          <w:bCs w:val="1"/>
          <w:color w:val="auto"/>
        </w:rPr>
      </w:pPr>
    </w:p>
    <w:p>
      <w:pPr>
        <w:ind w:firstLine="1278"/>
        <w:spacing w:after="0" w:line="285" w:lineRule="auto"/>
        <w:tabs>
          <w:tab w:leader="none" w:pos="189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55" w:lineRule="exact"/>
        <w:rPr>
          <w:rFonts w:ascii="Times New Roman" w:cs="Times New Roman" w:eastAsia="Times New Roman" w:hAnsi="Times New Roman"/>
          <w:sz w:val="18"/>
          <w:szCs w:val="18"/>
          <w:b w:val="1"/>
          <w:bCs w:val="1"/>
          <w:color w:val="auto"/>
        </w:rPr>
      </w:pPr>
    </w:p>
    <w:p>
      <w:pPr>
        <w:ind w:firstLine="1278"/>
        <w:spacing w:after="0" w:line="285" w:lineRule="auto"/>
        <w:tabs>
          <w:tab w:leader="none" w:pos="190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This Agreement will be subject to all applicable laws, rules and regulations, and to such approvals by any governmental agencies or national securities exchanges as may be required.</w:t>
      </w:r>
    </w:p>
    <w:p>
      <w:pPr>
        <w:spacing w:after="0" w:line="141" w:lineRule="exact"/>
        <w:rPr>
          <w:rFonts w:ascii="Times New Roman" w:cs="Times New Roman" w:eastAsia="Times New Roman" w:hAnsi="Times New Roman"/>
          <w:sz w:val="18"/>
          <w:szCs w:val="18"/>
          <w:b w:val="1"/>
          <w:bCs w:val="1"/>
          <w:color w:val="auto"/>
        </w:rPr>
      </w:pPr>
    </w:p>
    <w:p>
      <w:pPr>
        <w:jc w:val="both"/>
        <w:ind w:firstLine="1278"/>
        <w:spacing w:after="0" w:line="267" w:lineRule="auto"/>
        <w:tabs>
          <w:tab w:leader="none" w:pos="189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color w:val="auto"/>
        </w:rPr>
        <w:t>All obligations of the Company under the Plan and this Agreement will be binding on any successor to the Company, whether the existence of such successor is the result of a direct or indirect purchase, merger, consolidation or other acquisition of all or substantially all of the business and/or assets of the Company.</w:t>
      </w:r>
    </w:p>
    <w:p>
      <w:pPr>
        <w:spacing w:after="0" w:line="175" w:lineRule="exact"/>
        <w:rPr>
          <w:sz w:val="20"/>
          <w:szCs w:val="20"/>
          <w:color w:val="auto"/>
        </w:rPr>
      </w:pPr>
    </w:p>
    <w:p>
      <w:pPr>
        <w:ind w:left="5040"/>
        <w:spacing w:after="0"/>
        <w:tabs>
          <w:tab w:leader="none" w:pos="5560" w:val="left"/>
          <w:tab w:leader="none" w:pos="608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22"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This RSU Agreement will be deemed to be signed by you upon the signing by you of the Restricted Stock Unit Grant Notice to which it is attached.</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9"/>
          <w:szCs w:val="19"/>
          <w:b w:val="1"/>
          <w:bCs w:val="1"/>
          <w:color w:val="auto"/>
        </w:rPr>
        <w:t>NON-EMPLOYEE DIRECTOR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RESTRICTED STOCK UNIT NOTICE</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(2021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5687695" cy="7150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5687695" cy="715010"/>
                    </a:xfrm>
                    <a:prstGeom prst="rect">
                      <a:avLst/>
                    </a:prstGeom>
                    <a:noFill/>
                  </pic:spPr>
                </pic:pic>
              </a:graphicData>
            </a:graphic>
          </wp:anchor>
        </w:drawing>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Name of Participant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 of Stock Subject to the Award</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InnovAge Holding Corp,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pursuant to its 2021 Omnibus Incentive Plan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hereby grants to Participant an Award of Restricted Stock Units for the number of shares of Stock set forth below (the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The Award is subject to all of the terms and conditions as set forth in this Restricted Stock Unit Notice (this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and in the RSU Agreement (attached hereto as Attachment I) and the Plan, both of which are incorporated herein in their entirety. Capitalized terms not otherwise defined herein but defined in the Plan or the RSU Agreement will have the same meaning as in the Plan or the RSU Agreement. If there is any conflict between the terms in this Grant Notice and the Plan, the terms of the Plan will control.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or performance vesting criteria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866775" cy="142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86677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60" w:hanging="3"/>
        <w:spacing w:after="0" w:line="333" w:lineRule="auto"/>
        <w:rPr>
          <w:sz w:val="20"/>
          <w:szCs w:val="20"/>
          <w:color w:val="auto"/>
        </w:rPr>
      </w:pPr>
      <w:r>
        <w:rPr>
          <w:sz w:val="1"/>
          <w:szCs w:val="1"/>
          <w:color w:val="auto"/>
        </w:rPr>
        <w:drawing>
          <wp:inline distT="0" distB="0" distL="0" distR="0">
            <wp:extent cx="925195" cy="13462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925195" cy="134620"/>
                    </a:xfrm>
                    <a:prstGeom prst="rect">
                      <a:avLst/>
                    </a:prstGeom>
                    <a:noFill/>
                    <a:ln>
                      <a:noFill/>
                    </a:ln>
                  </pic:spPr>
                </pic:pic>
              </a:graphicData>
            </a:graphic>
          </wp:inline>
        </w:drawing>
      </w:r>
      <w:r>
        <w:rPr>
          <w:rFonts w:ascii="Times New Roman" w:cs="Times New Roman" w:eastAsia="Times New Roman" w:hAnsi="Times New Roman"/>
          <w:sz w:val="18"/>
          <w:szCs w:val="18"/>
          <w:color w:val="auto"/>
        </w:rPr>
        <w:t>Subject to any adjustment as provided in Section 10(a) of the Plan, one share of Stock will be issued for each Restricted Stock Unit that vests, with the time of issuance set forth in Section 6 of the RSU Agreement.</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Additional Terms/Acknowledgements: </w:t>
      </w:r>
      <w:r>
        <w:rPr>
          <w:rFonts w:ascii="Times New Roman" w:cs="Times New Roman" w:eastAsia="Times New Roman" w:hAnsi="Times New Roman"/>
          <w:sz w:val="17"/>
          <w:szCs w:val="17"/>
          <w:color w:val="auto"/>
        </w:rPr>
        <w:t>Participant acknowledges receipt of, and understands and agrees to, this Grant Notice, the RSU Agreement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Participant acknowledges and agrees that this Grant Notice and the RSU Agreement may not be modified, amended or revised except as provided in the Plan. Participant further acknowledges that, as of the Date of Grant, this Grant Notice, the RSU Agreement and the Plan set forth the entire agreement and understanding between Participant and the Company regarding the acquisition of Stock pursuant to the Award specified above and supersede all prior oral and written agreements, promises and/or representations on that subject, with the exception of (i) Awards previously granted and delivered to the Participant, and</w:t>
      </w:r>
    </w:p>
    <w:p>
      <w:pPr>
        <w:spacing w:after="0" w:line="2" w:lineRule="exact"/>
        <w:rPr>
          <w:sz w:val="20"/>
          <w:szCs w:val="20"/>
          <w:color w:val="auto"/>
        </w:rPr>
      </w:pPr>
    </w:p>
    <w:p>
      <w:pPr>
        <w:jc w:val="both"/>
        <w:ind w:firstLine="6"/>
        <w:spacing w:after="0" w:line="248" w:lineRule="auto"/>
        <w:tabs>
          <w:tab w:leader="none" w:pos="2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recovery policy that is adopted by the Company or is otherwise required by applicable law. By accepting this Award, Participant consents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590" w:right="339" w:bottom="1440" w:gutter="0" w:footer="0" w:header="0"/>
        </w:sectPr>
      </w:pPr>
    </w:p>
    <w:bookmarkStart w:id="116" w:name="page117"/>
    <w:bookmarkEnd w:id="116"/>
    <w:p>
      <w:pPr>
        <w:spacing w:after="0"/>
        <w:rPr>
          <w:sz w:val="20"/>
          <w:szCs w:val="20"/>
          <w:color w:val="auto"/>
        </w:rPr>
      </w:pPr>
      <w:r>
        <w:rPr>
          <w:sz w:val="1"/>
          <w:szCs w:val="1"/>
          <w:color w:val="auto"/>
        </w:rPr>
        <w:drawing>
          <wp:inline distT="0" distB="0" distL="0" distR="0">
            <wp:extent cx="639445" cy="13462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639445" cy="1346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Innovage Holding Corp.</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___________________</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 _________________</w:t>
            </w:r>
          </w:p>
        </w:tc>
      </w:tr>
      <w:tr>
        <w:trPr>
          <w:trHeight w:val="4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_________________</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______________________</w:t>
            </w:r>
          </w:p>
        </w:tc>
      </w:tr>
      <w:tr>
        <w:trPr>
          <w:trHeight w:val="4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__________________</w:t>
            </w:r>
          </w:p>
        </w:tc>
        <w:tc>
          <w:tcPr>
            <w:tcW w:w="2400" w:type="dxa"/>
            <w:vAlign w:val="bottom"/>
          </w:tcPr>
          <w:p>
            <w:pPr>
              <w:spacing w:after="0"/>
              <w:rPr>
                <w:sz w:val="24"/>
                <w:szCs w:val="24"/>
                <w:color w:val="auto"/>
              </w:rPr>
            </w:pPr>
          </w:p>
        </w:tc>
      </w:tr>
      <w:tr>
        <w:trPr>
          <w:trHeight w:val="87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 xml:space="preserve">ATTACHMENTS: </w:t>
            </w:r>
            <w:r>
              <w:rPr>
                <w:rFonts w:ascii="Times New Roman" w:cs="Times New Roman" w:eastAsia="Times New Roman" w:hAnsi="Times New Roman"/>
                <w:sz w:val="18"/>
                <w:szCs w:val="18"/>
                <w:color w:val="auto"/>
                <w:w w:val="97"/>
              </w:rPr>
              <w:t>RSU Agreement</w:t>
            </w:r>
          </w:p>
        </w:tc>
        <w:tc>
          <w:tcPr>
            <w:tcW w:w="2400" w:type="dxa"/>
            <w:vAlign w:val="bottom"/>
          </w:tcPr>
          <w:p>
            <w:pPr>
              <w:spacing w:after="0"/>
              <w:rPr>
                <w:sz w:val="24"/>
                <w:szCs w:val="24"/>
                <w:color w:val="auto"/>
              </w:rPr>
            </w:pPr>
          </w:p>
        </w:tc>
      </w:tr>
    </w:tbl>
    <w:p>
      <w:pPr>
        <w:sectPr>
          <w:pgSz w:w="11900" w:h="16838" w:orient="portrait"/>
          <w:cols w:equalWidth="0" w:num="1">
            <w:col w:w="10139"/>
          </w:cols>
          <w:pgMar w:left="320" w:top="1411"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9"/>
          <w:szCs w:val="19"/>
          <w:b w:val="1"/>
          <w:bCs w:val="1"/>
          <w:color w:val="auto"/>
        </w:rPr>
        <w:t>Attachment I</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INNOVAGE HOLDING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2021 OMNIBUS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RSU AGREEMENT</w:t>
      </w:r>
    </w:p>
    <w:p>
      <w:pPr>
        <w:spacing w:after="0" w:line="219"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and this RSU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InnovAge Holding Corp.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you an Award of Restricted Stock Units under its 2021 Omnibus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with respect to the number of shares of Stock indicated in the Grant Notice. Capitalized terms not explicitly defined in this Agreement or in the Grant Notice but defined in the Plan will have the same meaning as in the Plan.</w:t>
      </w:r>
    </w:p>
    <w:p>
      <w:pPr>
        <w:spacing w:after="0" w:line="170"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If there is any conflict between the terms in this Agreement and the Plan, the terms of the Plan will control. The details of your Award of Restricted Stock Units (this or your “</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in addition to those set forth in the Grant Notice and the Plan, are as follows:</w:t>
      </w:r>
    </w:p>
    <w:p>
      <w:pPr>
        <w:spacing w:after="0" w:line="153" w:lineRule="exact"/>
        <w:rPr>
          <w:sz w:val="20"/>
          <w:szCs w:val="20"/>
          <w:color w:val="auto"/>
        </w:rPr>
      </w:pPr>
    </w:p>
    <w:p>
      <w:pPr>
        <w:jc w:val="both"/>
        <w:ind w:firstLine="642"/>
        <w:spacing w:after="0" w:line="271" w:lineRule="auto"/>
        <w:tabs>
          <w:tab w:leader="none" w:pos="1272"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Grant of the Award. </w:t>
      </w:r>
      <w:r>
        <w:rPr>
          <w:rFonts w:ascii="Times New Roman" w:cs="Times New Roman" w:eastAsia="Times New Roman" w:hAnsi="Times New Roman"/>
          <w:sz w:val="19"/>
          <w:szCs w:val="19"/>
          <w:color w:val="auto"/>
        </w:rPr>
        <w:t>This Award represents the right to be issued on a future date one (1) share of Stock for each Restricted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Stock Unit that vests on the applicable vesting date(s) (subject to any adjustment under Section 3 below) as indicated in the Grant Notice. As of the Date of Grant, the Company will credit to a bookkeeping account maintained by or on behalf of the Company for your benefit (the </w:t>
      </w:r>
      <w:r>
        <w:rPr>
          <w:rFonts w:ascii="Times New Roman" w:cs="Times New Roman" w:eastAsia="Times New Roman" w:hAnsi="Times New Roman"/>
          <w:sz w:val="19"/>
          <w:szCs w:val="19"/>
          <w:b w:val="1"/>
          <w:bCs w:val="1"/>
          <w:i w:val="1"/>
          <w:iCs w:val="1"/>
          <w:color w:val="auto"/>
        </w:rPr>
        <w:t>“Account”</w:t>
      </w:r>
      <w:r>
        <w:rPr>
          <w:rFonts w:ascii="Times New Roman" w:cs="Times New Roman" w:eastAsia="Times New Roman" w:hAnsi="Times New Roman"/>
          <w:sz w:val="19"/>
          <w:szCs w:val="19"/>
          <w:color w:val="auto"/>
        </w:rPr>
        <w:t>) the number of shares of Stock subject to the Award. This Award was granted in consideration of your services to the Company.</w:t>
      </w:r>
    </w:p>
    <w:p>
      <w:pPr>
        <w:spacing w:after="0" w:line="152" w:lineRule="exact"/>
        <w:rPr>
          <w:rFonts w:ascii="Times New Roman" w:cs="Times New Roman" w:eastAsia="Times New Roman" w:hAnsi="Times New Roman"/>
          <w:sz w:val="19"/>
          <w:szCs w:val="19"/>
          <w:b w:val="1"/>
          <w:bCs w:val="1"/>
          <w:color w:val="auto"/>
        </w:rPr>
      </w:pPr>
    </w:p>
    <w:p>
      <w:pPr>
        <w:jc w:val="both"/>
        <w:ind w:firstLine="642"/>
        <w:spacing w:after="0" w:line="275" w:lineRule="auto"/>
        <w:tabs>
          <w:tab w:leader="none" w:pos="1272"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Vesting. </w:t>
      </w:r>
      <w:r>
        <w:rPr>
          <w:rFonts w:ascii="Times New Roman" w:cs="Times New Roman" w:eastAsia="Times New Roman" w:hAnsi="Times New Roman"/>
          <w:sz w:val="19"/>
          <w:szCs w:val="19"/>
          <w:color w:val="auto"/>
        </w:rPr>
        <w:t>Subject to the limitations contained herein, your Award will vest as provided in your Grant Notice. Vesting will cease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your Termination. Upon your Termination, the Restricted Stock Units credited to the Account that were not vested on the date of such Termination will be forfeited at no cost to the Company, and you will have no further right, title or interest in or to such underlying shares of Stock.</w:t>
      </w:r>
    </w:p>
    <w:p>
      <w:pPr>
        <w:spacing w:after="0" w:line="200" w:lineRule="exact"/>
        <w:rPr>
          <w:rFonts w:ascii="Times New Roman" w:cs="Times New Roman" w:eastAsia="Times New Roman" w:hAnsi="Times New Roman"/>
          <w:sz w:val="19"/>
          <w:szCs w:val="19"/>
          <w:b w:val="1"/>
          <w:bCs w:val="1"/>
          <w:color w:val="auto"/>
        </w:rPr>
      </w:pPr>
    </w:p>
    <w:p>
      <w:pPr>
        <w:spacing w:after="0" w:line="201" w:lineRule="exact"/>
        <w:rPr>
          <w:rFonts w:ascii="Times New Roman" w:cs="Times New Roman" w:eastAsia="Times New Roman" w:hAnsi="Times New Roman"/>
          <w:sz w:val="19"/>
          <w:szCs w:val="19"/>
          <w:b w:val="1"/>
          <w:bCs w:val="1"/>
          <w:color w:val="auto"/>
        </w:rPr>
      </w:pPr>
    </w:p>
    <w:p>
      <w:pPr>
        <w:jc w:val="both"/>
        <w:ind w:firstLine="642"/>
        <w:spacing w:after="0" w:line="264" w:lineRule="auto"/>
        <w:tabs>
          <w:tab w:leader="none" w:pos="1272"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Number of Shares. </w:t>
      </w:r>
      <w:r>
        <w:rPr>
          <w:rFonts w:ascii="Times New Roman" w:cs="Times New Roman" w:eastAsia="Times New Roman" w:hAnsi="Times New Roman"/>
          <w:sz w:val="19"/>
          <w:szCs w:val="19"/>
          <w:color w:val="auto"/>
        </w:rPr>
        <w:t>The number of shares of Stock subject to your Award may be adjusted from time to time for capitalization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adjustments, as provided in the Plan. Any additional Restricted Stock Units, shares, cash or other property that becomes subject to the Award pursuant to this Section 3, if any, shall be subject, in a manner determined by the Committee, to the same forfeiture restrictions, restrictions on transferability and time and manner of delivery as applicable to the other Restricted Stock Units covered by your Award. Notwithstanding the provisions of this Section 3, no fractional shares or rights for fractional shares of Stock shall be created pursuant to this Section 3. Any fraction of a share will be rounded down to the nearest whole share.</w:t>
      </w:r>
    </w:p>
    <w:p>
      <w:pPr>
        <w:spacing w:after="0" w:line="161" w:lineRule="exact"/>
        <w:rPr>
          <w:rFonts w:ascii="Times New Roman" w:cs="Times New Roman" w:eastAsia="Times New Roman" w:hAnsi="Times New Roman"/>
          <w:sz w:val="19"/>
          <w:szCs w:val="19"/>
          <w:b w:val="1"/>
          <w:bCs w:val="1"/>
          <w:color w:val="auto"/>
        </w:rPr>
      </w:pPr>
    </w:p>
    <w:p>
      <w:pPr>
        <w:jc w:val="both"/>
        <w:ind w:firstLine="642"/>
        <w:spacing w:after="0" w:line="268" w:lineRule="auto"/>
        <w:tabs>
          <w:tab w:leader="none" w:pos="1272"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Securities Law Compliance. </w:t>
      </w:r>
      <w:r>
        <w:rPr>
          <w:rFonts w:ascii="Times New Roman" w:cs="Times New Roman" w:eastAsia="Times New Roman" w:hAnsi="Times New Roman"/>
          <w:sz w:val="19"/>
          <w:szCs w:val="19"/>
          <w:color w:val="auto"/>
        </w:rPr>
        <w:t>You may not be issued any shares of Stock under your Award unless the shares of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underlying the Restricted Stock Units are then registered under the Securities Act or, if not registered, the Company has determined that such issuance of the shares would be exempt from the registration requirements of the Securities Act. The issuance of shares of Stock must also comply with all other applicable laws and regulations governing the Award and the Company’s policies, and you shall not receive such Stock if the Company determines that such receipt would not be in material compliance with such laws, regulations or Company policies, if applicable.</w:t>
      </w:r>
    </w:p>
    <w:p>
      <w:pPr>
        <w:spacing w:after="0" w:line="158" w:lineRule="exact"/>
        <w:rPr>
          <w:rFonts w:ascii="Times New Roman" w:cs="Times New Roman" w:eastAsia="Times New Roman" w:hAnsi="Times New Roman"/>
          <w:sz w:val="19"/>
          <w:szCs w:val="19"/>
          <w:b w:val="1"/>
          <w:bCs w:val="1"/>
          <w:color w:val="auto"/>
        </w:rPr>
      </w:pPr>
    </w:p>
    <w:p>
      <w:pPr>
        <w:jc w:val="both"/>
        <w:ind w:firstLine="642"/>
        <w:spacing w:after="0" w:line="275" w:lineRule="auto"/>
        <w:tabs>
          <w:tab w:leader="none" w:pos="1272"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Transfer Restrictions. </w:t>
      </w:r>
      <w:r>
        <w:rPr>
          <w:rFonts w:ascii="Times New Roman" w:cs="Times New Roman" w:eastAsia="Times New Roman" w:hAnsi="Times New Roman"/>
          <w:sz w:val="19"/>
          <w:szCs w:val="19"/>
          <w:color w:val="auto"/>
        </w:rPr>
        <w:t>Prior to the time that shares of Stock have been delivered to you, you may not transfer, pledge, sell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dispose of this Award or the shares issuable in respect of your Award, except that, upon receiving written permission from the Committee or its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5" w:right="339" w:bottom="1440" w:gutter="0" w:footer="0" w:header="0"/>
        </w:sectPr>
      </w:pPr>
    </w:p>
    <w:bookmarkStart w:id="118" w:name="page119"/>
    <w:bookmarkEnd w:id="118"/>
    <w:p>
      <w:pPr>
        <w:jc w:val="both"/>
        <w:spacing w:after="0" w:line="264" w:lineRule="auto"/>
        <w:rPr>
          <w:sz w:val="20"/>
          <w:szCs w:val="20"/>
          <w:color w:val="auto"/>
        </w:rPr>
      </w:pPr>
      <w:r>
        <w:rPr>
          <w:rFonts w:ascii="Times New Roman" w:cs="Times New Roman" w:eastAsia="Times New Roman" w:hAnsi="Times New Roman"/>
          <w:sz w:val="19"/>
          <w:szCs w:val="19"/>
          <w:color w:val="auto"/>
        </w:rPr>
        <w:t>designee, you may, by delivering written notice to the Company, in a form approved by the Company, designate a third party who, on your death, will thereafter be entitled to receive the shares issuable in respect of your Award, and in the absence of such a designation, your executor or administrator of your estate will be entitled to receive any Stock or other consideration that vested but was not issued before your death.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72" w:lineRule="exact"/>
        <w:rPr>
          <w:sz w:val="20"/>
          <w:szCs w:val="20"/>
          <w:color w:val="auto"/>
        </w:rPr>
      </w:pPr>
    </w:p>
    <w:p>
      <w:pPr>
        <w:ind w:left="1280" w:hanging="638"/>
        <w:spacing w:after="0"/>
        <w:tabs>
          <w:tab w:leader="none" w:pos="1280"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Date of Issuance</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b w:val="1"/>
          <w:bCs w:val="1"/>
          <w:color w:val="auto"/>
        </w:rPr>
      </w:pPr>
    </w:p>
    <w:p>
      <w:pPr>
        <w:jc w:val="both"/>
        <w:ind w:firstLine="1278"/>
        <w:spacing w:after="0" w:line="264" w:lineRule="auto"/>
        <w:tabs>
          <w:tab w:leader="none" w:pos="1908" w:val="left"/>
        </w:tabs>
        <w:numPr>
          <w:ilvl w:val="1"/>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issuance of shares in respect of the Restricted Stock Units is intended to comply with Treasury Regulation Section 1.409A-1(b)(4) and will be construed and administered in such a manner. The Company shall issue to you one (1) share of Stock for each Restricted Stock Unit that vests, if any, as soon as practicable following the applicable vesting date(s) (subject to any adjustment under Section 3 above) and in any event within thirty (30) days following the vesting date.</w:t>
      </w:r>
    </w:p>
    <w:p>
      <w:pPr>
        <w:spacing w:after="0" w:line="176" w:lineRule="exact"/>
        <w:rPr>
          <w:rFonts w:ascii="Times New Roman" w:cs="Times New Roman" w:eastAsia="Times New Roman" w:hAnsi="Times New Roman"/>
          <w:sz w:val="19"/>
          <w:szCs w:val="19"/>
          <w:b w:val="1"/>
          <w:bCs w:val="1"/>
          <w:color w:val="auto"/>
        </w:rPr>
      </w:pPr>
    </w:p>
    <w:p>
      <w:pPr>
        <w:ind w:left="1920" w:hanging="642"/>
        <w:spacing w:after="0"/>
        <w:tabs>
          <w:tab w:leader="none" w:pos="1920" w:val="left"/>
        </w:tabs>
        <w:numPr>
          <w:ilvl w:val="1"/>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form of delivery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stock certificate or electronic entry evidencing such shares) shall be determined by the</w:t>
      </w:r>
    </w:p>
    <w:p>
      <w:pPr>
        <w:spacing w:after="0" w:line="36"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Company.</w:t>
      </w:r>
    </w:p>
    <w:p>
      <w:pPr>
        <w:spacing w:after="0" w:line="200" w:lineRule="exact"/>
        <w:rPr>
          <w:rFonts w:ascii="Times New Roman" w:cs="Times New Roman" w:eastAsia="Times New Roman" w:hAnsi="Times New Roman"/>
          <w:sz w:val="19"/>
          <w:szCs w:val="19"/>
          <w:b w:val="1"/>
          <w:bCs w:val="1"/>
          <w:color w:val="auto"/>
        </w:rPr>
      </w:pPr>
    </w:p>
    <w:p>
      <w:pPr>
        <w:ind w:firstLine="642"/>
        <w:spacing w:after="0" w:line="304" w:lineRule="auto"/>
        <w:tabs>
          <w:tab w:leader="none" w:pos="127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Dividends. </w:t>
      </w:r>
      <w:r>
        <w:rPr>
          <w:rFonts w:ascii="Times New Roman" w:cs="Times New Roman" w:eastAsia="Times New Roman" w:hAnsi="Times New Roman"/>
          <w:sz w:val="19"/>
          <w:szCs w:val="19"/>
          <w:color w:val="auto"/>
        </w:rPr>
        <w:t>You shall receive no benefit or adjustment to your Award with respect to any cash dividend, stock dividend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distribution that does not result from the adjustment provided in Section 10(a) of the Plan.</w:t>
      </w:r>
    </w:p>
    <w:p>
      <w:pPr>
        <w:spacing w:after="0" w:line="122" w:lineRule="exact"/>
        <w:rPr>
          <w:rFonts w:ascii="Times New Roman" w:cs="Times New Roman" w:eastAsia="Times New Roman" w:hAnsi="Times New Roman"/>
          <w:sz w:val="19"/>
          <w:szCs w:val="19"/>
          <w:b w:val="1"/>
          <w:bCs w:val="1"/>
          <w:color w:val="auto"/>
        </w:rPr>
      </w:pPr>
    </w:p>
    <w:p>
      <w:pPr>
        <w:ind w:firstLine="642"/>
        <w:spacing w:after="0" w:line="304" w:lineRule="auto"/>
        <w:tabs>
          <w:tab w:leader="none" w:pos="127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Restrictive Legends. </w:t>
      </w:r>
      <w:r>
        <w:rPr>
          <w:rFonts w:ascii="Times New Roman" w:cs="Times New Roman" w:eastAsia="Times New Roman" w:hAnsi="Times New Roman"/>
          <w:sz w:val="19"/>
          <w:szCs w:val="19"/>
          <w:color w:val="auto"/>
        </w:rPr>
        <w:t>The shares of Stock issued under your Award shall be endorsed with appropriate legends, if applicable,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determined by the Company.</w:t>
      </w:r>
    </w:p>
    <w:p>
      <w:pPr>
        <w:spacing w:after="0" w:line="135" w:lineRule="exact"/>
        <w:rPr>
          <w:rFonts w:ascii="Times New Roman" w:cs="Times New Roman" w:eastAsia="Times New Roman" w:hAnsi="Times New Roman"/>
          <w:sz w:val="19"/>
          <w:szCs w:val="19"/>
          <w:b w:val="1"/>
          <w:bCs w:val="1"/>
          <w:color w:val="auto"/>
        </w:rPr>
      </w:pPr>
    </w:p>
    <w:p>
      <w:pPr>
        <w:jc w:val="both"/>
        <w:ind w:firstLine="642"/>
        <w:spacing w:after="0" w:line="275" w:lineRule="auto"/>
        <w:tabs>
          <w:tab w:leader="none" w:pos="127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Award Not a Service Contract. </w:t>
      </w:r>
      <w:r>
        <w:rPr>
          <w:rFonts w:ascii="Times New Roman" w:cs="Times New Roman" w:eastAsia="Times New Roman" w:hAnsi="Times New Roman"/>
          <w:sz w:val="19"/>
          <w:szCs w:val="19"/>
          <w:color w:val="auto"/>
        </w:rPr>
        <w:t>This Agreement is not a service contract, and nothing in this Agreement will be deemed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create in any way whatsoever any obligation on your part to continue in the service of the Company or an Affiliate, or of the Company or an Affiliate to continue your service.</w:t>
      </w:r>
    </w:p>
    <w:p>
      <w:pPr>
        <w:spacing w:after="0" w:line="149" w:lineRule="exact"/>
        <w:rPr>
          <w:rFonts w:ascii="Times New Roman" w:cs="Times New Roman" w:eastAsia="Times New Roman" w:hAnsi="Times New Roman"/>
          <w:sz w:val="19"/>
          <w:szCs w:val="19"/>
          <w:b w:val="1"/>
          <w:bCs w:val="1"/>
          <w:color w:val="auto"/>
        </w:rPr>
      </w:pPr>
    </w:p>
    <w:p>
      <w:pPr>
        <w:jc w:val="both"/>
        <w:ind w:firstLine="642"/>
        <w:spacing w:after="0" w:line="271" w:lineRule="auto"/>
        <w:tabs>
          <w:tab w:leader="none" w:pos="1263"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Withholding Obligations</w:t>
      </w:r>
      <w:r>
        <w:rPr>
          <w:rFonts w:ascii="Times New Roman" w:cs="Times New Roman" w:eastAsia="Times New Roman" w:hAnsi="Times New Roman"/>
          <w:sz w:val="19"/>
          <w:szCs w:val="19"/>
          <w:color w:val="auto"/>
        </w:rPr>
        <w:t>. You hereby acknowledge and agree that you are and shall be solely responsible for the payment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applicable U.S. federal, state, local or non-U.S. tax withholding and other similar charges or fees that may arise in connection with the grant, vesting or settlement of the Restricted Stock Units. Unless such tax withholding obligations are satisfied, the Company shall have no obligation to deliver to you any shares of Stock.</w:t>
      </w:r>
    </w:p>
    <w:p>
      <w:pPr>
        <w:spacing w:after="0" w:line="200" w:lineRule="exact"/>
        <w:rPr>
          <w:rFonts w:ascii="Times New Roman" w:cs="Times New Roman" w:eastAsia="Times New Roman" w:hAnsi="Times New Roman"/>
          <w:sz w:val="19"/>
          <w:szCs w:val="19"/>
          <w:b w:val="1"/>
          <w:bCs w:val="1"/>
          <w:color w:val="auto"/>
        </w:rPr>
      </w:pPr>
    </w:p>
    <w:p>
      <w:pPr>
        <w:spacing w:after="0" w:line="204" w:lineRule="exact"/>
        <w:rPr>
          <w:rFonts w:ascii="Times New Roman" w:cs="Times New Roman" w:eastAsia="Times New Roman" w:hAnsi="Times New Roman"/>
          <w:sz w:val="19"/>
          <w:szCs w:val="19"/>
          <w:b w:val="1"/>
          <w:bCs w:val="1"/>
          <w:color w:val="auto"/>
        </w:rPr>
      </w:pPr>
    </w:p>
    <w:p>
      <w:pPr>
        <w:jc w:val="both"/>
        <w:ind w:firstLine="642"/>
        <w:spacing w:after="0" w:line="275" w:lineRule="auto"/>
        <w:tabs>
          <w:tab w:leader="none" w:pos="125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Tax Consequences. </w:t>
      </w:r>
      <w:r>
        <w:rPr>
          <w:rFonts w:ascii="Times New Roman" w:cs="Times New Roman" w:eastAsia="Times New Roman" w:hAnsi="Times New Roman"/>
          <w:sz w:val="19"/>
          <w:szCs w:val="19"/>
          <w:color w:val="auto"/>
        </w:rPr>
        <w:t>You hereby agree that the Company does not have a duty to design or administer the Plan or its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compensation programs in a manner that minimizes your tax liabilities. You will not make any claim against the Company, or any of its officers, directors, employees or Affiliates, related to tax liabilities arising from your Award or your other compensation.</w:t>
      </w:r>
    </w:p>
    <w:p>
      <w:pPr>
        <w:spacing w:after="0" w:line="149" w:lineRule="exact"/>
        <w:rPr>
          <w:rFonts w:ascii="Times New Roman" w:cs="Times New Roman" w:eastAsia="Times New Roman" w:hAnsi="Times New Roman"/>
          <w:sz w:val="19"/>
          <w:szCs w:val="19"/>
          <w:b w:val="1"/>
          <w:bCs w:val="1"/>
          <w:color w:val="auto"/>
        </w:rPr>
      </w:pPr>
    </w:p>
    <w:p>
      <w:pPr>
        <w:jc w:val="both"/>
        <w:ind w:firstLine="642"/>
        <w:spacing w:after="0" w:line="264" w:lineRule="auto"/>
        <w:tabs>
          <w:tab w:leader="none" w:pos="1263"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Notices. </w:t>
      </w:r>
      <w:r>
        <w:rPr>
          <w:rFonts w:ascii="Times New Roman" w:cs="Times New Roman" w:eastAsia="Times New Roman" w:hAnsi="Times New Roman"/>
          <w:sz w:val="19"/>
          <w:szCs w:val="19"/>
          <w:color w:val="auto"/>
        </w:rPr>
        <w:t>Any notices provided for in your Award or the Plan will be given in writing (including electronically) and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9" w:right="339" w:bottom="1440" w:gutter="0" w:footer="0" w:header="0"/>
        </w:sectPr>
      </w:pPr>
    </w:p>
    <w:bookmarkStart w:id="119" w:name="page120"/>
    <w:bookmarkEnd w:id="119"/>
    <w:p>
      <w:pPr>
        <w:jc w:val="both"/>
        <w:ind w:firstLine="642"/>
        <w:spacing w:after="0" w:line="287"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Unsecured Obligation. </w:t>
      </w:r>
      <w:r>
        <w:rPr>
          <w:rFonts w:ascii="Times New Roman" w:cs="Times New Roman" w:eastAsia="Times New Roman" w:hAnsi="Times New Roman"/>
          <w:sz w:val="19"/>
          <w:szCs w:val="19"/>
          <w:color w:val="auto"/>
        </w:rPr>
        <w:t>Your Award is unfunded, and as a holder of a vested Award, you shall be considered a general,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unsecured creditor of the Company with respect to the Company’s obligation, if any, to issue shares or other property pursuant to this Agreement.</w:t>
      </w:r>
    </w:p>
    <w:p>
      <w:pPr>
        <w:spacing w:after="0" w:line="391"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Governing Plan Document. </w:t>
      </w:r>
      <w:r>
        <w:rPr>
          <w:rFonts w:ascii="Times New Roman" w:cs="Times New Roman" w:eastAsia="Times New Roman" w:hAnsi="Times New Roman"/>
          <w:sz w:val="19"/>
          <w:szCs w:val="19"/>
          <w:color w:val="auto"/>
        </w:rPr>
        <w:t>Your Award is subject to all the provisions of the Plan, the provisions of which are hereby made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 THIS AGREEMENT SHALL BE GOVERNED BY AND CONSTRUED IN ACCORDANCE WITH THE LAWS OF THE STATE OF DELAWARE. ANY DISPUTE, CONTROVERSY OR CLAIM BETWEEN YOU AND THE COMPANY ARISING OUT OF OR RELATED TO THIS AGREEMENT SHALL BE RESOLVED BY ARBITRATION IN ACCORDANCE WITH THE PROVISIONS RELATING TO ARBITRATION SET FORTH IN THE PLAN.</w:t>
      </w:r>
    </w:p>
    <w:p>
      <w:pPr>
        <w:spacing w:after="0" w:line="178" w:lineRule="exact"/>
        <w:rPr>
          <w:rFonts w:ascii="Times New Roman" w:cs="Times New Roman" w:eastAsia="Times New Roman" w:hAnsi="Times New Roman"/>
          <w:sz w:val="19"/>
          <w:szCs w:val="19"/>
          <w:b w:val="1"/>
          <w:bCs w:val="1"/>
          <w:color w:val="auto"/>
        </w:rPr>
      </w:pPr>
    </w:p>
    <w:p>
      <w:pPr>
        <w:jc w:val="both"/>
        <w:ind w:firstLine="642"/>
        <w:spacing w:after="0" w:line="271"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Clawback/Recoupment Policy. </w:t>
      </w:r>
      <w:r>
        <w:rPr>
          <w:rFonts w:ascii="Times New Roman" w:cs="Times New Roman" w:eastAsia="Times New Roman" w:hAnsi="Times New Roman"/>
          <w:sz w:val="19"/>
          <w:szCs w:val="19"/>
          <w:color w:val="auto"/>
        </w:rPr>
        <w:t>You hereby acknowledge and agree that your Award (and any compensation paid or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issued under your Award) and any other compensation received in respect of your services to the Company or any of its Affiliates on or after the date hereof is subject to recoupment in accordance with any clawback policy adopted by the Company pursuant to Rule 10D-1 of the Exchange Act, Nasdaq Listing Rule 5608, or other applicable law, and any other compensation recovery policy adopted by the Company.</w:t>
      </w:r>
    </w:p>
    <w:p>
      <w:pPr>
        <w:spacing w:after="0" w:line="152" w:lineRule="exact"/>
        <w:rPr>
          <w:rFonts w:ascii="Times New Roman" w:cs="Times New Roman" w:eastAsia="Times New Roman" w:hAnsi="Times New Roman"/>
          <w:sz w:val="19"/>
          <w:szCs w:val="19"/>
          <w:b w:val="1"/>
          <w:bCs w:val="1"/>
          <w:color w:val="auto"/>
        </w:rPr>
      </w:pPr>
    </w:p>
    <w:p>
      <w:pPr>
        <w:ind w:firstLine="642"/>
        <w:spacing w:after="0" w:line="304"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Other Documents. </w:t>
      </w:r>
      <w:r>
        <w:rPr>
          <w:rFonts w:ascii="Times New Roman" w:cs="Times New Roman" w:eastAsia="Times New Roman" w:hAnsi="Times New Roman"/>
          <w:sz w:val="19"/>
          <w:szCs w:val="19"/>
          <w:color w:val="auto"/>
        </w:rPr>
        <w:t>You hereby acknowledge receipt of and the right to receive a document providing the information required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Rule 428(b)(1) promulgated under the Securities Act, which includes the Plan prospectus.</w:t>
      </w:r>
    </w:p>
    <w:p>
      <w:pPr>
        <w:spacing w:after="0" w:line="135" w:lineRule="exact"/>
        <w:rPr>
          <w:rFonts w:ascii="Times New Roman" w:cs="Times New Roman" w:eastAsia="Times New Roman" w:hAnsi="Times New Roman"/>
          <w:sz w:val="19"/>
          <w:szCs w:val="19"/>
          <w:b w:val="1"/>
          <w:bCs w:val="1"/>
          <w:color w:val="auto"/>
        </w:rPr>
      </w:pPr>
    </w:p>
    <w:p>
      <w:pPr>
        <w:jc w:val="both"/>
        <w:ind w:firstLine="642"/>
        <w:spacing w:after="0" w:line="266"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Voting Rights. </w:t>
      </w:r>
      <w:r>
        <w:rPr>
          <w:rFonts w:ascii="Times New Roman" w:cs="Times New Roman" w:eastAsia="Times New Roman" w:hAnsi="Times New Roman"/>
          <w:sz w:val="19"/>
          <w:szCs w:val="19"/>
          <w:color w:val="auto"/>
        </w:rPr>
        <w:t>You will not have voting or any other rights as a stockholder of the Company with respect to the shares of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issued pursuant to this Award until such shares are issued to you. Upon such issuance, you will obtain full voting and other rights as a stockholder of the Company. Nothing contained in this Award, and no action taken pursuant to its provisions, will create or be construed to create a trust of any kind or a fiduciary relationship between you and the Company or any other person.</w:t>
      </w:r>
    </w:p>
    <w:p>
      <w:pPr>
        <w:spacing w:after="0" w:line="170" w:lineRule="exact"/>
        <w:rPr>
          <w:rFonts w:ascii="Times New Roman" w:cs="Times New Roman" w:eastAsia="Times New Roman" w:hAnsi="Times New Roman"/>
          <w:sz w:val="19"/>
          <w:szCs w:val="19"/>
          <w:b w:val="1"/>
          <w:bCs w:val="1"/>
          <w:color w:val="auto"/>
        </w:rPr>
      </w:pPr>
    </w:p>
    <w:p>
      <w:pPr>
        <w:jc w:val="both"/>
        <w:ind w:firstLine="642"/>
        <w:spacing w:after="0" w:line="271"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Severability. </w:t>
      </w:r>
      <w:r>
        <w:rPr>
          <w:rFonts w:ascii="Times New Roman" w:cs="Times New Roman" w:eastAsia="Times New Roman" w:hAnsi="Times New Roman"/>
          <w:sz w:val="19"/>
          <w:szCs w:val="19"/>
          <w:color w:val="auto"/>
        </w:rPr>
        <w:t>If all or any part of this Agreement or the Plan is declared by any court or governmental authority to be unlawful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52" w:lineRule="exact"/>
        <w:rPr>
          <w:rFonts w:ascii="Times New Roman" w:cs="Times New Roman" w:eastAsia="Times New Roman" w:hAnsi="Times New Roman"/>
          <w:sz w:val="19"/>
          <w:szCs w:val="19"/>
          <w:b w:val="1"/>
          <w:bCs w:val="1"/>
          <w:color w:val="auto"/>
        </w:rPr>
      </w:pPr>
    </w:p>
    <w:p>
      <w:pPr>
        <w:jc w:val="both"/>
        <w:ind w:firstLine="642"/>
        <w:spacing w:after="0" w:line="265" w:lineRule="auto"/>
        <w:tabs>
          <w:tab w:leader="none" w:pos="1263"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Data Privacy. </w:t>
      </w:r>
      <w:r>
        <w:rPr>
          <w:rFonts w:ascii="Times New Roman" w:cs="Times New Roman" w:eastAsia="Times New Roman" w:hAnsi="Times New Roman"/>
          <w:sz w:val="19"/>
          <w:szCs w:val="19"/>
          <w:color w:val="auto"/>
        </w:rPr>
        <w:t>You explicitly and unambiguously consent to the collection, use and transfer, in electronic or other form,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personal data as described in Section 20(g) of the Plan (such Section 20(g) of the Plan is incorporated herein by reference and made a part hereof) by and among, as applicable, the Company, its Affiliates, third-party administrator(s) and other possible recipients for the exclusive purpose of implementing, administering and managing the Plan and Awards and your participation in the Plan. You acknowledge, understand and agree that Data may be transferred to third parties, which will assist the Company with the implementation, administration and management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5" w:right="339" w:bottom="1440" w:gutter="0" w:footer="0" w:header="0"/>
        </w:sectPr>
      </w:pPr>
    </w:p>
    <w:bookmarkStart w:id="120" w:name="page121"/>
    <w:bookmarkEnd w:id="120"/>
    <w:p>
      <w:pPr>
        <w:ind w:left="1260" w:hanging="618"/>
        <w:spacing w:after="0"/>
        <w:tabs>
          <w:tab w:leader="none" w:pos="1260"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p>
    <w:p>
      <w:pPr>
        <w:spacing w:after="0" w:line="200" w:lineRule="exact"/>
        <w:rPr>
          <w:rFonts w:ascii="Times New Roman" w:cs="Times New Roman" w:eastAsia="Times New Roman" w:hAnsi="Times New Roman"/>
          <w:sz w:val="19"/>
          <w:szCs w:val="19"/>
          <w:b w:val="1"/>
          <w:bCs w:val="1"/>
          <w:color w:val="auto"/>
        </w:rPr>
      </w:pPr>
    </w:p>
    <w:p>
      <w:pPr>
        <w:spacing w:after="0" w:line="274" w:lineRule="exact"/>
        <w:rPr>
          <w:rFonts w:ascii="Times New Roman" w:cs="Times New Roman" w:eastAsia="Times New Roman" w:hAnsi="Times New Roman"/>
          <w:sz w:val="19"/>
          <w:szCs w:val="19"/>
          <w:b w:val="1"/>
          <w:bCs w:val="1"/>
          <w:color w:val="auto"/>
        </w:rPr>
      </w:pPr>
    </w:p>
    <w:p>
      <w:pPr>
        <w:ind w:firstLine="1278"/>
        <w:spacing w:after="0" w:line="285" w:lineRule="auto"/>
        <w:tabs>
          <w:tab w:leader="none" w:pos="1908" w:val="left"/>
        </w:tabs>
        <w:numPr>
          <w:ilvl w:val="1"/>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rights and obligations of the Company under your Award will be transferable to any one or more persons or entities, and all covenants and agreements hereunder will inure to the benefit of, and be enforceable by, the Company’s successors and assigns.</w:t>
      </w:r>
    </w:p>
    <w:p>
      <w:pPr>
        <w:spacing w:after="0" w:line="156" w:lineRule="exact"/>
        <w:rPr>
          <w:rFonts w:ascii="Times New Roman" w:cs="Times New Roman" w:eastAsia="Times New Roman" w:hAnsi="Times New Roman"/>
          <w:sz w:val="19"/>
          <w:szCs w:val="19"/>
          <w:b w:val="1"/>
          <w:bCs w:val="1"/>
          <w:color w:val="auto"/>
        </w:rPr>
      </w:pPr>
    </w:p>
    <w:p>
      <w:pPr>
        <w:ind w:firstLine="1278"/>
        <w:spacing w:after="0" w:line="285" w:lineRule="auto"/>
        <w:tabs>
          <w:tab w:leader="none" w:pos="1906" w:val="left"/>
        </w:tabs>
        <w:numPr>
          <w:ilvl w:val="1"/>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agree upon request to execute any further documents or instruments necessary or desirable in the sole determination of the Company to carry out the purposes or intent of your Award.</w:t>
      </w:r>
    </w:p>
    <w:p>
      <w:pPr>
        <w:spacing w:after="0" w:line="156" w:lineRule="exact"/>
        <w:rPr>
          <w:rFonts w:ascii="Times New Roman" w:cs="Times New Roman" w:eastAsia="Times New Roman" w:hAnsi="Times New Roman"/>
          <w:sz w:val="19"/>
          <w:szCs w:val="19"/>
          <w:b w:val="1"/>
          <w:bCs w:val="1"/>
          <w:color w:val="auto"/>
        </w:rPr>
      </w:pPr>
    </w:p>
    <w:p>
      <w:pPr>
        <w:ind w:firstLine="1278"/>
        <w:spacing w:after="0" w:line="300" w:lineRule="auto"/>
        <w:tabs>
          <w:tab w:leader="none" w:pos="1897" w:val="left"/>
        </w:tabs>
        <w:numPr>
          <w:ilvl w:val="1"/>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29" w:lineRule="exact"/>
        <w:rPr>
          <w:rFonts w:ascii="Times New Roman" w:cs="Times New Roman" w:eastAsia="Times New Roman" w:hAnsi="Times New Roman"/>
          <w:sz w:val="19"/>
          <w:szCs w:val="19"/>
          <w:b w:val="1"/>
          <w:bCs w:val="1"/>
          <w:color w:val="auto"/>
        </w:rPr>
      </w:pPr>
    </w:p>
    <w:p>
      <w:pPr>
        <w:ind w:firstLine="1278"/>
        <w:spacing w:after="0" w:line="300" w:lineRule="auto"/>
        <w:tabs>
          <w:tab w:leader="none" w:pos="1906" w:val="left"/>
        </w:tabs>
        <w:numPr>
          <w:ilvl w:val="1"/>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Agreement will be subject to all applicable laws, rules and regulations, and to such approvals by any governmental agencies or national securities exchanges as may be required.</w:t>
      </w:r>
    </w:p>
    <w:p>
      <w:pPr>
        <w:spacing w:after="0" w:line="129" w:lineRule="exact"/>
        <w:rPr>
          <w:rFonts w:ascii="Times New Roman" w:cs="Times New Roman" w:eastAsia="Times New Roman" w:hAnsi="Times New Roman"/>
          <w:sz w:val="19"/>
          <w:szCs w:val="19"/>
          <w:b w:val="1"/>
          <w:bCs w:val="1"/>
          <w:color w:val="auto"/>
        </w:rPr>
      </w:pPr>
    </w:p>
    <w:p>
      <w:pPr>
        <w:jc w:val="both"/>
        <w:ind w:firstLine="1278"/>
        <w:spacing w:after="0" w:line="280" w:lineRule="auto"/>
        <w:tabs>
          <w:tab w:leader="none" w:pos="1897" w:val="left"/>
        </w:tabs>
        <w:numPr>
          <w:ilvl w:val="1"/>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All obligations of the Company under the Plan and this Agreement will be binding on any successor to the Company, whether the existence of such successor is the result of a direct or indirect purchase, merger, consolidation or other acquisition of all or substantially all of the business and/or assets of the Company.</w:t>
      </w:r>
    </w:p>
    <w:p>
      <w:pPr>
        <w:spacing w:after="0" w:line="149" w:lineRule="exact"/>
        <w:rPr>
          <w:rFonts w:ascii="Times New Roman" w:cs="Times New Roman" w:eastAsia="Times New Roman" w:hAnsi="Times New Roman"/>
          <w:sz w:val="19"/>
          <w:szCs w:val="19"/>
          <w:b w:val="1"/>
          <w:bCs w:val="1"/>
          <w:color w:val="auto"/>
        </w:rPr>
      </w:pPr>
    </w:p>
    <w:p>
      <w:pPr>
        <w:ind w:left="54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 *</w:t>
      </w:r>
    </w:p>
    <w:p>
      <w:pPr>
        <w:spacing w:after="0" w:line="232"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19"/>
          <w:szCs w:val="19"/>
          <w:color w:val="auto"/>
        </w:rPr>
        <w:t>This RSU Agreement will be deemed to be signed by you upon the signing by you of the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5" w:right="33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38"/>
        </w:trPr>
        <w:tc>
          <w:tcPr>
            <w:tcW w:w="80" w:type="dxa"/>
            <w:vAlign w:val="bottom"/>
            <w:tcBorders>
              <w:top w:val="single" w:sz="8" w:color="auto"/>
              <w:left w:val="single" w:sz="8" w:color="auto"/>
            </w:tcBorders>
          </w:tcPr>
          <w:p>
            <w:pPr>
              <w:spacing w:after="0"/>
              <w:rPr>
                <w:sz w:val="20"/>
                <w:szCs w:val="20"/>
                <w:color w:val="auto"/>
              </w:rPr>
            </w:pPr>
          </w:p>
        </w:tc>
        <w:tc>
          <w:tcPr>
            <w:tcW w:w="51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Entity Name</w:t>
            </w:r>
          </w:p>
        </w:tc>
        <w:tc>
          <w:tcPr>
            <w:tcW w:w="60" w:type="dxa"/>
            <w:vAlign w:val="bottom"/>
            <w:tcBorders>
              <w:top w:val="single" w:sz="8" w:color="auto"/>
            </w:tcBorders>
          </w:tcPr>
          <w:p>
            <w:pPr>
              <w:spacing w:after="0"/>
              <w:rPr>
                <w:sz w:val="20"/>
                <w:szCs w:val="20"/>
                <w:color w:val="auto"/>
              </w:rPr>
            </w:pPr>
          </w:p>
        </w:tc>
        <w:tc>
          <w:tcPr>
            <w:tcW w:w="3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DBA</w:t>
            </w:r>
          </w:p>
        </w:tc>
        <w:tc>
          <w:tcPr>
            <w:tcW w:w="232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9"/>
                <w:szCs w:val="19"/>
                <w:b w:val="1"/>
                <w:bCs w:val="1"/>
                <w:color w:val="auto"/>
              </w:rPr>
              <w:t>State of Incorporation</w:t>
            </w:r>
          </w:p>
        </w:tc>
      </w:tr>
      <w:tr>
        <w:trPr>
          <w:trHeight w:val="46"/>
        </w:trPr>
        <w:tc>
          <w:tcPr>
            <w:tcW w:w="80" w:type="dxa"/>
            <w:vAlign w:val="bottom"/>
            <w:tcBorders>
              <w:left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40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2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278"/>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ConcertoCare PACE of Bakersfield,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Bakersfield</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ConcertoHealth PACE of Los Angeles,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Crenshaw</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Inland Empire,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Los Angeles,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California PACE - Sacramento,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II,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 Orlando</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Florida PACE - Tampa</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70"/>
        </w:trPr>
        <w:tc>
          <w:tcPr>
            <w:tcW w:w="80" w:type="dxa"/>
            <w:vAlign w:val="bottom"/>
            <w:tcBorders>
              <w:left w:val="single" w:sz="8" w:color="auto"/>
            </w:tcBorders>
          </w:tcPr>
          <w:p>
            <w:pPr>
              <w:spacing w:after="0"/>
              <w:rPr>
                <w:sz w:val="23"/>
                <w:szCs w:val="23"/>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Greater Colorado PACE - Loveland, LLC</w:t>
            </w:r>
          </w:p>
        </w:tc>
        <w:tc>
          <w:tcPr>
            <w:tcW w:w="60" w:type="dxa"/>
            <w:vAlign w:val="bottom"/>
          </w:tcPr>
          <w:p>
            <w:pPr>
              <w:spacing w:after="0"/>
              <w:rPr>
                <w:sz w:val="23"/>
                <w:szCs w:val="23"/>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Greater Colorado PACE -</w:t>
            </w: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67"/>
        </w:trPr>
        <w:tc>
          <w:tcPr>
            <w:tcW w:w="80" w:type="dxa"/>
            <w:vAlign w:val="bottom"/>
            <w:tcBorders>
              <w:left w:val="single" w:sz="8" w:color="auto"/>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02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Loveland</w:t>
            </w:r>
          </w:p>
        </w:tc>
        <w:tc>
          <w:tcPr>
            <w:tcW w:w="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Holding Corp.</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Investment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70"/>
        </w:trPr>
        <w:tc>
          <w:tcPr>
            <w:tcW w:w="80" w:type="dxa"/>
            <w:vAlign w:val="bottom"/>
            <w:tcBorders>
              <w:left w:val="single" w:sz="8" w:color="auto"/>
            </w:tcBorders>
          </w:tcPr>
          <w:p>
            <w:pPr>
              <w:spacing w:after="0"/>
              <w:rPr>
                <w:sz w:val="23"/>
                <w:szCs w:val="23"/>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LLC</w:t>
            </w:r>
          </w:p>
        </w:tc>
        <w:tc>
          <w:tcPr>
            <w:tcW w:w="60" w:type="dxa"/>
            <w:vAlign w:val="bottom"/>
          </w:tcPr>
          <w:p>
            <w:pPr>
              <w:spacing w:after="0"/>
              <w:rPr>
                <w:sz w:val="23"/>
                <w:szCs w:val="23"/>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w:t>
            </w: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Pennsylvania</w:t>
            </w:r>
          </w:p>
        </w:tc>
      </w:tr>
      <w:tr>
        <w:trPr>
          <w:trHeight w:val="238"/>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Allegheny</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39"/>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52"/>
        </w:trPr>
        <w:tc>
          <w:tcPr>
            <w:tcW w:w="80" w:type="dxa"/>
            <w:vAlign w:val="bottom"/>
            <w:tcBorders>
              <w:lef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Pennypack</w:t>
            </w:r>
          </w:p>
        </w:tc>
        <w:tc>
          <w:tcPr>
            <w:tcW w:w="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38"/>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 Henry</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39"/>
        </w:trPr>
        <w:tc>
          <w:tcPr>
            <w:tcW w:w="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Ave.</w:t>
            </w: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67"/>
        </w:trPr>
        <w:tc>
          <w:tcPr>
            <w:tcW w:w="80" w:type="dxa"/>
            <w:vAlign w:val="bottom"/>
            <w:tcBorders>
              <w:left w:val="single" w:sz="8" w:color="auto"/>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02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Pennsylvania LIFE - St Bart's</w:t>
            </w:r>
          </w:p>
        </w:tc>
        <w:tc>
          <w:tcPr>
            <w:tcW w:w="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r>
      <w:tr>
        <w:trPr>
          <w:trHeight w:val="270"/>
        </w:trPr>
        <w:tc>
          <w:tcPr>
            <w:tcW w:w="80" w:type="dxa"/>
            <w:vAlign w:val="bottom"/>
            <w:tcBorders>
              <w:left w:val="single" w:sz="8" w:color="auto"/>
            </w:tcBorders>
          </w:tcPr>
          <w:p>
            <w:pPr>
              <w:spacing w:after="0"/>
              <w:rPr>
                <w:sz w:val="23"/>
                <w:szCs w:val="23"/>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Senior Housing - Thornton (Managing Member),</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67"/>
        </w:trPr>
        <w:tc>
          <w:tcPr>
            <w:tcW w:w="80" w:type="dxa"/>
            <w:vAlign w:val="bottom"/>
            <w:tcBorders>
              <w:left w:val="single" w:sz="8" w:color="auto"/>
              <w:bottom w:val="single" w:sz="8" w:color="auto"/>
            </w:tcBorders>
          </w:tcPr>
          <w:p>
            <w:pPr>
              <w:spacing w:after="0"/>
              <w:rPr>
                <w:sz w:val="23"/>
                <w:szCs w:val="23"/>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LLC</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Senior Housing Thornton II,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Senior Housing, Thornton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Charlottesville,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Blue Ridge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Virginia</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Roanoke Valley,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Roanoke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Virginia</w:t>
            </w:r>
          </w:p>
        </w:tc>
      </w:tr>
      <w:tr>
        <w:trPr>
          <w:trHeight w:val="270"/>
        </w:trPr>
        <w:tc>
          <w:tcPr>
            <w:tcW w:w="80" w:type="dxa"/>
            <w:vAlign w:val="bottom"/>
            <w:tcBorders>
              <w:left w:val="single" w:sz="8" w:color="auto"/>
            </w:tcBorders>
          </w:tcPr>
          <w:p>
            <w:pPr>
              <w:spacing w:after="0"/>
              <w:rPr>
                <w:sz w:val="23"/>
                <w:szCs w:val="23"/>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II, LLC</w:t>
            </w:r>
          </w:p>
        </w:tc>
        <w:tc>
          <w:tcPr>
            <w:tcW w:w="60" w:type="dxa"/>
            <w:vAlign w:val="bottom"/>
          </w:tcPr>
          <w:p>
            <w:pPr>
              <w:spacing w:after="0"/>
              <w:rPr>
                <w:sz w:val="23"/>
                <w:szCs w:val="23"/>
                <w:color w:val="auto"/>
              </w:rPr>
            </w:pP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Richmond</w:t>
            </w:r>
          </w:p>
        </w:tc>
        <w:tc>
          <w:tcPr>
            <w:tcW w:w="2320" w:type="dxa"/>
            <w:vAlign w:val="bottom"/>
            <w:tcBorders>
              <w:right w:val="single" w:sz="8" w:color="auto"/>
            </w:tcBorders>
            <w:gridSpan w:val="3"/>
          </w:tcPr>
          <w:p>
            <w:pPr>
              <w:ind w:left="60"/>
              <w:spacing w:after="0"/>
              <w:rPr>
                <w:sz w:val="20"/>
                <w:szCs w:val="20"/>
                <w:color w:val="auto"/>
              </w:rPr>
            </w:pPr>
            <w:r>
              <w:rPr>
                <w:rFonts w:ascii="Arial" w:cs="Arial" w:eastAsia="Arial" w:hAnsi="Arial"/>
                <w:sz w:val="19"/>
                <w:szCs w:val="19"/>
                <w:color w:val="auto"/>
              </w:rPr>
              <w:t>Virginia</w:t>
            </w:r>
          </w:p>
        </w:tc>
      </w:tr>
      <w:tr>
        <w:trPr>
          <w:trHeight w:val="267"/>
        </w:trPr>
        <w:tc>
          <w:tcPr>
            <w:tcW w:w="80" w:type="dxa"/>
            <w:vAlign w:val="bottom"/>
            <w:tcBorders>
              <w:left w:val="single" w:sz="8" w:color="auto"/>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02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Virginia PACE - Peninsula</w:t>
            </w:r>
          </w:p>
        </w:tc>
        <w:tc>
          <w:tcPr>
            <w:tcW w:w="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Innovative Care Management, Inc.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Care Management</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Senior Life at Home II,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Senior Life at Home,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Seniors! Inc.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Eastern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Intermediate Holdings, Inc.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Midwestern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TCO Western Holdings,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TLC Inland, LLC</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Delaware</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Total Community Care, LLC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 New Mexico PACE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r>
        <w:trPr>
          <w:trHeight w:val="285"/>
        </w:trPr>
        <w:tc>
          <w:tcPr>
            <w:tcW w:w="80" w:type="dxa"/>
            <w:vAlign w:val="bottom"/>
            <w:tcBorders>
              <w:left w:val="single" w:sz="8" w:color="auto"/>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Total Community Options, Inc.</w:t>
            </w:r>
          </w:p>
        </w:tc>
        <w:tc>
          <w:tcPr>
            <w:tcW w:w="6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InnovAge</w:t>
            </w:r>
          </w:p>
        </w:tc>
        <w:tc>
          <w:tcPr>
            <w:tcW w:w="23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Colorado</w:t>
            </w:r>
          </w:p>
        </w:tc>
      </w:tr>
    </w:tbl>
    <w:p>
      <w:pPr>
        <w:sectPr>
          <w:pgSz w:w="11900" w:h="16838" w:orient="portrait"/>
          <w:cols w:equalWidth="0" w:num="1">
            <w:col w:w="11100"/>
          </w:cols>
          <w:pgMar w:left="320" w:top="1299" w:right="479" w:bottom="1440" w:gutter="0" w:footer="0" w:header="0"/>
        </w:sectPr>
      </w:pPr>
    </w:p>
    <w:bookmarkStart w:id="122" w:name="page123"/>
    <w:bookmarkEnd w:id="1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52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Total Longterm Care Solutions, LLC</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InnovAge - Lowry</w:t>
            </w:r>
          </w:p>
        </w:tc>
        <w:tc>
          <w:tcPr>
            <w:tcW w:w="23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Colorado</w:t>
            </w:r>
          </w:p>
        </w:tc>
      </w:tr>
      <w:tr>
        <w:trPr>
          <w:trHeight w:val="257"/>
        </w:trPr>
        <w:tc>
          <w:tcPr>
            <w:tcW w:w="5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Total Longterm Care, Inc.</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Denver</w:t>
            </w:r>
          </w:p>
        </w:tc>
        <w:tc>
          <w:tcPr>
            <w:tcW w:w="23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Colorado</w:t>
            </w: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Lakewood</w:t>
            </w:r>
          </w:p>
        </w:tc>
        <w:tc>
          <w:tcPr>
            <w:tcW w:w="2320" w:type="dxa"/>
            <w:vAlign w:val="bottom"/>
            <w:tcBorders>
              <w:right w:val="single" w:sz="8" w:color="auto"/>
            </w:tcBorders>
          </w:tcPr>
          <w:p>
            <w:pPr>
              <w:spacing w:after="0"/>
              <w:rPr>
                <w:sz w:val="20"/>
                <w:szCs w:val="20"/>
                <w:color w:val="auto"/>
              </w:rPr>
            </w:pPr>
          </w:p>
        </w:tc>
      </w:tr>
      <w:tr>
        <w:trPr>
          <w:trHeight w:val="252"/>
        </w:trPr>
        <w:tc>
          <w:tcPr>
            <w:tcW w:w="5220" w:type="dxa"/>
            <w:vAlign w:val="bottom"/>
            <w:tcBorders>
              <w:left w:val="single" w:sz="8" w:color="auto"/>
              <w:right w:val="single" w:sz="8" w:color="auto"/>
            </w:tcBorders>
          </w:tcPr>
          <w:p>
            <w:pPr>
              <w:spacing w:after="0"/>
              <w:rPr>
                <w:sz w:val="21"/>
                <w:szCs w:val="21"/>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Thornton</w:t>
            </w:r>
          </w:p>
        </w:tc>
        <w:tc>
          <w:tcPr>
            <w:tcW w:w="2320" w:type="dxa"/>
            <w:vAlign w:val="bottom"/>
            <w:tcBorders>
              <w:right w:val="single" w:sz="8" w:color="auto"/>
            </w:tcBorders>
          </w:tcPr>
          <w:p>
            <w:pPr>
              <w:spacing w:after="0"/>
              <w:rPr>
                <w:sz w:val="21"/>
                <w:szCs w:val="21"/>
                <w:color w:val="auto"/>
              </w:rPr>
            </w:pP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Aurora</w:t>
            </w:r>
          </w:p>
        </w:tc>
        <w:tc>
          <w:tcPr>
            <w:tcW w:w="2320" w:type="dxa"/>
            <w:vAlign w:val="bottom"/>
            <w:tcBorders>
              <w:right w:val="single" w:sz="8" w:color="auto"/>
            </w:tcBorders>
          </w:tcPr>
          <w:p>
            <w:pPr>
              <w:spacing w:after="0"/>
              <w:rPr>
                <w:sz w:val="20"/>
                <w:szCs w:val="20"/>
                <w:color w:val="auto"/>
              </w:rPr>
            </w:pP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Loveland</w:t>
            </w:r>
          </w:p>
        </w:tc>
        <w:tc>
          <w:tcPr>
            <w:tcW w:w="2320" w:type="dxa"/>
            <w:vAlign w:val="bottom"/>
            <w:tcBorders>
              <w:right w:val="single" w:sz="8" w:color="auto"/>
            </w:tcBorders>
          </w:tcPr>
          <w:p>
            <w:pPr>
              <w:spacing w:after="0"/>
              <w:rPr>
                <w:sz w:val="20"/>
                <w:szCs w:val="20"/>
                <w:color w:val="auto"/>
              </w:rPr>
            </w:pPr>
          </w:p>
        </w:tc>
      </w:tr>
      <w:tr>
        <w:trPr>
          <w:trHeight w:val="252"/>
        </w:trPr>
        <w:tc>
          <w:tcPr>
            <w:tcW w:w="5220" w:type="dxa"/>
            <w:vAlign w:val="bottom"/>
            <w:tcBorders>
              <w:left w:val="single" w:sz="8" w:color="auto"/>
              <w:right w:val="single" w:sz="8" w:color="auto"/>
            </w:tcBorders>
          </w:tcPr>
          <w:p>
            <w:pPr>
              <w:spacing w:after="0"/>
              <w:rPr>
                <w:sz w:val="21"/>
                <w:szCs w:val="21"/>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Colorado PACE - Pueblo</w:t>
            </w:r>
          </w:p>
        </w:tc>
        <w:tc>
          <w:tcPr>
            <w:tcW w:w="2320" w:type="dxa"/>
            <w:vAlign w:val="bottom"/>
            <w:tcBorders>
              <w:right w:val="single" w:sz="8" w:color="auto"/>
            </w:tcBorders>
          </w:tcPr>
          <w:p>
            <w:pPr>
              <w:spacing w:after="0"/>
              <w:rPr>
                <w:sz w:val="21"/>
                <w:szCs w:val="21"/>
                <w:color w:val="auto"/>
              </w:rPr>
            </w:pPr>
          </w:p>
        </w:tc>
      </w:tr>
      <w:tr>
        <w:trPr>
          <w:trHeight w:val="238"/>
        </w:trPr>
        <w:tc>
          <w:tcPr>
            <w:tcW w:w="52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InnovAge California PACE - Inland</w:t>
            </w:r>
          </w:p>
        </w:tc>
        <w:tc>
          <w:tcPr>
            <w:tcW w:w="2320" w:type="dxa"/>
            <w:vAlign w:val="bottom"/>
            <w:tcBorders>
              <w:right w:val="single" w:sz="8" w:color="auto"/>
            </w:tcBorders>
          </w:tcPr>
          <w:p>
            <w:pPr>
              <w:spacing w:after="0"/>
              <w:rPr>
                <w:sz w:val="20"/>
                <w:szCs w:val="20"/>
                <w:color w:val="auto"/>
              </w:rPr>
            </w:pPr>
          </w:p>
        </w:tc>
      </w:tr>
      <w:tr>
        <w:trPr>
          <w:trHeight w:val="256"/>
        </w:trPr>
        <w:tc>
          <w:tcPr>
            <w:tcW w:w="5220" w:type="dxa"/>
            <w:vAlign w:val="bottom"/>
            <w:tcBorders>
              <w:left w:val="single" w:sz="8" w:color="auto"/>
              <w:right w:val="single" w:sz="8" w:color="auto"/>
            </w:tcBorders>
          </w:tcPr>
          <w:p>
            <w:pPr>
              <w:spacing w:after="0"/>
              <w:rPr>
                <w:sz w:val="22"/>
                <w:szCs w:val="22"/>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Empire</w:t>
            </w:r>
          </w:p>
        </w:tc>
        <w:tc>
          <w:tcPr>
            <w:tcW w:w="2320" w:type="dxa"/>
            <w:vAlign w:val="bottom"/>
            <w:tcBorders>
              <w:right w:val="single" w:sz="8" w:color="auto"/>
            </w:tcBorders>
          </w:tcPr>
          <w:p>
            <w:pPr>
              <w:spacing w:after="0"/>
              <w:rPr>
                <w:sz w:val="22"/>
                <w:szCs w:val="22"/>
                <w:color w:val="auto"/>
              </w:rPr>
            </w:pPr>
          </w:p>
        </w:tc>
      </w:tr>
      <w:tr>
        <w:trPr>
          <w:trHeight w:val="31"/>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00"/>
          </w:cols>
          <w:pgMar w:left="320" w:top="928" w:right="479" w:bottom="1440" w:gutter="0" w:footer="0" w:header="0"/>
        </w:sectPr>
      </w:pPr>
    </w:p>
    <w:bookmarkStart w:id="123" w:name="page124"/>
    <w:bookmarkEnd w:id="123"/>
    <w:p>
      <w:pPr>
        <w:spacing w:after="0" w:line="104"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231F20"/>
        </w:rPr>
        <w:t>CONSENT OF INDEPENDENT REGISTERED PUBLIC ACCOUNTING FIRM</w:t>
      </w:r>
    </w:p>
    <w:p>
      <w:pPr>
        <w:spacing w:after="0" w:line="283"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231F20"/>
        </w:rPr>
        <w:t>We consent to the incorporation by reference in Registration Statement No. 333-253902 on Form S-8 of our report dated September 10, 2024, relating to the financial statements of InnovAge Holding Corp. appearing in this Annual Report on Form 10-K for the year ended June 30, 2024.</w:t>
      </w:r>
    </w:p>
    <w:p>
      <w:pPr>
        <w:spacing w:after="0" w:line="127"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231F20"/>
        </w:rPr>
        <w:t>Denver, CO</w:t>
      </w:r>
    </w:p>
    <w:p>
      <w:pPr>
        <w:spacing w:after="0" w:line="44" w:lineRule="exact"/>
        <w:rPr>
          <w:sz w:val="20"/>
          <w:szCs w:val="20"/>
          <w:color w:val="auto"/>
        </w:rPr>
      </w:pPr>
    </w:p>
    <w:p>
      <w:pPr>
        <w:spacing w:after="0"/>
        <w:rPr>
          <w:sz w:val="20"/>
          <w:szCs w:val="20"/>
          <w:color w:val="auto"/>
        </w:rPr>
      </w:pPr>
      <w:r>
        <w:rPr>
          <w:rFonts w:ascii="Verdana" w:cs="Verdana" w:eastAsia="Verdana" w:hAnsi="Verdana"/>
          <w:sz w:val="16"/>
          <w:szCs w:val="16"/>
          <w:color w:val="231F20"/>
        </w:rPr>
        <w:t>September 10, 2024</w:t>
      </w:r>
    </w:p>
    <w:p>
      <w:pPr>
        <w:sectPr>
          <w:pgSz w:w="11900" w:h="16838" w:orient="portrait"/>
          <w:cols w:equalWidth="0" w:num="1">
            <w:col w:w="11200"/>
          </w:cols>
          <w:pgMar w:left="320" w:top="1440" w:right="37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77" w:lineRule="exact"/>
        <w:rPr>
          <w:sz w:val="20"/>
          <w:szCs w:val="20"/>
          <w:color w:val="auto"/>
        </w:rPr>
      </w:pPr>
    </w:p>
    <w:p>
      <w:pPr>
        <w:ind w:left="320" w:hanging="314"/>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InnovAge Holding Corp.;</w:t>
      </w:r>
    </w:p>
    <w:p>
      <w:pPr>
        <w:spacing w:after="0" w:line="190"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Patrick Blair</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08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C. Adams, certify that:</w:t>
      </w:r>
    </w:p>
    <w:p>
      <w:pPr>
        <w:spacing w:after="0" w:line="177" w:lineRule="exact"/>
        <w:rPr>
          <w:sz w:val="20"/>
          <w:szCs w:val="20"/>
          <w:color w:val="auto"/>
        </w:rPr>
      </w:pPr>
    </w:p>
    <w:p>
      <w:pPr>
        <w:ind w:left="320" w:hanging="314"/>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InnovAge Holding Corp.;</w:t>
      </w:r>
    </w:p>
    <w:p>
      <w:pPr>
        <w:spacing w:after="0" w:line="190"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C. Adams</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8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InnovAge Holding Corp. (the “Company”) for the year ended June 30, 2024,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151" w:lineRule="exact"/>
        <w:rPr>
          <w:sz w:val="20"/>
          <w:szCs w:val="20"/>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8"/>
          <w:szCs w:val="18"/>
          <w:color w:val="auto"/>
        </w:rPr>
      </w:pPr>
    </w:p>
    <w:p>
      <w:pPr>
        <w:ind w:left="20" w:right="360" w:firstLine="304"/>
        <w:spacing w:after="0" w:line="535" w:lineRule="auto"/>
        <w:tabs>
          <w:tab w:leader="none" w:pos="6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10, 2024</w:t>
      </w:r>
    </w:p>
    <w:p>
      <w:pPr>
        <w:spacing w:after="0" w:line="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Patrick Blair</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08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InnovAge Holding Corp. (the “Company”) for the year ended June 30, 2024,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151" w:lineRule="exact"/>
        <w:rPr>
          <w:sz w:val="20"/>
          <w:szCs w:val="20"/>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8"/>
          <w:szCs w:val="18"/>
          <w:color w:val="auto"/>
        </w:rPr>
      </w:pPr>
    </w:p>
    <w:p>
      <w:pPr>
        <w:ind w:left="20" w:right="360" w:firstLine="304"/>
        <w:spacing w:after="0" w:line="335" w:lineRule="auto"/>
        <w:tabs>
          <w:tab w:leader="none" w:pos="6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10, 2024</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74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C. Adams</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86" w:right="339" w:bottom="1440" w:gutter="0" w:footer="0" w:header="0"/>
        </w:sectPr>
      </w:pPr>
    </w:p>
    <w:bookmarkStart w:id="128" w:name="page129"/>
    <w:bookmarkEnd w:id="128"/>
    <w:p>
      <w:pPr>
        <w:ind w:left="6"/>
        <w:spacing w:after="0"/>
        <w:rPr>
          <w:sz w:val="20"/>
          <w:szCs w:val="20"/>
          <w:color w:val="auto"/>
        </w:rPr>
      </w:pPr>
      <w:r>
        <w:rPr>
          <w:rFonts w:ascii="Calibri" w:cs="Calibri" w:eastAsia="Calibri" w:hAnsi="Calibri"/>
          <w:sz w:val="21"/>
          <w:szCs w:val="21"/>
          <w:b w:val="1"/>
          <w:bCs w:val="1"/>
          <w:color w:val="auto"/>
        </w:rPr>
        <w:t>Purpose:</w:t>
      </w:r>
    </w:p>
    <w:p>
      <w:pPr>
        <w:spacing w:after="0" w:line="3" w:lineRule="exact"/>
        <w:rPr>
          <w:sz w:val="20"/>
          <w:szCs w:val="20"/>
          <w:color w:val="auto"/>
        </w:rPr>
      </w:pPr>
    </w:p>
    <w:p>
      <w:pPr>
        <w:jc w:val="both"/>
        <w:ind w:left="6"/>
        <w:spacing w:after="0" w:line="242" w:lineRule="auto"/>
        <w:rPr>
          <w:sz w:val="20"/>
          <w:szCs w:val="20"/>
          <w:color w:val="auto"/>
        </w:rPr>
      </w:pPr>
      <w:r>
        <w:rPr>
          <w:rFonts w:ascii="Calibri" w:cs="Calibri" w:eastAsia="Calibri" w:hAnsi="Calibri"/>
          <w:sz w:val="19"/>
          <w:szCs w:val="19"/>
          <w:color w:val="auto"/>
        </w:rPr>
        <w:t>InnovAge Holding Corp.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believes that it is in the best interests of the Company and its shareholders to create and maintain a culture that emphasizes integrity and accountability and that reinforces the Company’s pay-for-performance compensaton philosophy. The Company’s Board of Directors (the “</w:t>
      </w:r>
      <w:r>
        <w:rPr>
          <w:rFonts w:ascii="Calibri" w:cs="Calibri" w:eastAsia="Calibri" w:hAnsi="Calibri"/>
          <w:sz w:val="19"/>
          <w:szCs w:val="19"/>
          <w:u w:val="single" w:color="auto"/>
          <w:color w:val="auto"/>
        </w:rPr>
        <w:t>Board</w:t>
      </w:r>
      <w:r>
        <w:rPr>
          <w:rFonts w:ascii="Calibri" w:cs="Calibri" w:eastAsia="Calibri" w:hAnsi="Calibri"/>
          <w:sz w:val="19"/>
          <w:szCs w:val="19"/>
          <w:color w:val="auto"/>
        </w:rPr>
        <w:t>”) has therefore adopted this policy, which provides for the recoupment of certain executve compensaton in the event that the Company is required to prepare an accountng restatement of its fnancial statements due to material noncompliance with any fnancial reportng requirement under the federal securites laws (this “</w:t>
      </w:r>
      <w:r>
        <w:rPr>
          <w:rFonts w:ascii="Calibri" w:cs="Calibri" w:eastAsia="Calibri" w:hAnsi="Calibri"/>
          <w:sz w:val="19"/>
          <w:szCs w:val="19"/>
          <w:u w:val="single" w:color="auto"/>
          <w:color w:val="auto"/>
        </w:rPr>
        <w:t>Policy</w:t>
      </w:r>
      <w:r>
        <w:rPr>
          <w:rFonts w:ascii="Calibri" w:cs="Calibri" w:eastAsia="Calibri" w:hAnsi="Calibri"/>
          <w:sz w:val="19"/>
          <w:szCs w:val="19"/>
          <w:color w:val="auto"/>
        </w:rPr>
        <w:t>”). This Policy is designed to comply with Secton 10D of the Securites Exchange Act of 1934, as amended (the “</w:t>
      </w:r>
      <w:r>
        <w:rPr>
          <w:rFonts w:ascii="Calibri" w:cs="Calibri" w:eastAsia="Calibri" w:hAnsi="Calibri"/>
          <w:sz w:val="19"/>
          <w:szCs w:val="19"/>
          <w:u w:val="single" w:color="auto"/>
          <w:color w:val="auto"/>
        </w:rPr>
        <w:t>Exchange Act</w:t>
      </w:r>
      <w:r>
        <w:rPr>
          <w:rFonts w:ascii="Calibri" w:cs="Calibri" w:eastAsia="Calibri" w:hAnsi="Calibri"/>
          <w:sz w:val="19"/>
          <w:szCs w:val="19"/>
          <w:color w:val="auto"/>
        </w:rPr>
        <w:t>”), the rules promulgated thereunder, and the listng standards of the natonal securites exchange on which the Company’s securites are listed.</w:t>
      </w:r>
    </w:p>
    <w:p>
      <w:pPr>
        <w:spacing w:after="0" w:line="237" w:lineRule="exact"/>
        <w:rPr>
          <w:sz w:val="20"/>
          <w:szCs w:val="20"/>
          <w:color w:val="auto"/>
        </w:rPr>
      </w:pPr>
    </w:p>
    <w:p>
      <w:pPr>
        <w:ind w:left="6"/>
        <w:spacing w:after="0"/>
        <w:rPr>
          <w:sz w:val="20"/>
          <w:szCs w:val="20"/>
          <w:color w:val="auto"/>
        </w:rPr>
      </w:pPr>
      <w:r>
        <w:rPr>
          <w:rFonts w:ascii="Calibri" w:cs="Calibri" w:eastAsia="Calibri" w:hAnsi="Calibri"/>
          <w:sz w:val="21"/>
          <w:szCs w:val="21"/>
          <w:b w:val="1"/>
          <w:bCs w:val="1"/>
          <w:color w:val="auto"/>
        </w:rPr>
        <w:t>Policy:</w:t>
      </w:r>
    </w:p>
    <w:p>
      <w:pPr>
        <w:spacing w:after="0" w:line="3"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ADMINISTRATION</w:t>
      </w:r>
    </w:p>
    <w:p>
      <w:pPr>
        <w:spacing w:after="0" w:line="7" w:lineRule="exact"/>
        <w:rPr>
          <w:sz w:val="20"/>
          <w:szCs w:val="20"/>
          <w:color w:val="auto"/>
        </w:rPr>
      </w:pPr>
    </w:p>
    <w:p>
      <w:pPr>
        <w:jc w:val="both"/>
        <w:ind w:left="6"/>
        <w:spacing w:after="0" w:line="236" w:lineRule="auto"/>
        <w:rPr>
          <w:sz w:val="20"/>
          <w:szCs w:val="20"/>
          <w:color w:val="auto"/>
        </w:rPr>
      </w:pPr>
      <w:r>
        <w:rPr>
          <w:rFonts w:ascii="Calibri" w:cs="Calibri" w:eastAsia="Calibri" w:hAnsi="Calibri"/>
          <w:sz w:val="19"/>
          <w:szCs w:val="19"/>
          <w:color w:val="auto"/>
        </w:rPr>
        <w:t>This Policy shall be administered by the Compensaton Commitee of the Board (the “</w:t>
      </w:r>
      <w:r>
        <w:rPr>
          <w:rFonts w:ascii="Calibri" w:cs="Calibri" w:eastAsia="Calibri" w:hAnsi="Calibri"/>
          <w:sz w:val="19"/>
          <w:szCs w:val="19"/>
          <w:u w:val="single" w:color="auto"/>
          <w:color w:val="auto"/>
        </w:rPr>
        <w:t>Compensaton Commitee</w:t>
      </w:r>
      <w:r>
        <w:rPr>
          <w:rFonts w:ascii="Calibri" w:cs="Calibri" w:eastAsia="Calibri" w:hAnsi="Calibri"/>
          <w:sz w:val="19"/>
          <w:szCs w:val="19"/>
          <w:color w:val="auto"/>
        </w:rPr>
        <w:t>”). Any determinatons made by the Compensaton Commitee shall be fnal and binding on all afected individuals.</w:t>
      </w:r>
    </w:p>
    <w:p>
      <w:pPr>
        <w:spacing w:after="0" w:line="246"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COVERED EXECUTIVES</w:t>
      </w:r>
    </w:p>
    <w:p>
      <w:pPr>
        <w:spacing w:after="0" w:line="7" w:lineRule="exact"/>
        <w:rPr>
          <w:sz w:val="20"/>
          <w:szCs w:val="20"/>
          <w:color w:val="auto"/>
        </w:rPr>
      </w:pPr>
    </w:p>
    <w:p>
      <w:pPr>
        <w:jc w:val="both"/>
        <w:ind w:left="6"/>
        <w:spacing w:after="0"/>
        <w:rPr>
          <w:sz w:val="20"/>
          <w:szCs w:val="20"/>
          <w:color w:val="auto"/>
        </w:rPr>
      </w:pPr>
      <w:r>
        <w:rPr>
          <w:rFonts w:ascii="Calibri" w:cs="Calibri" w:eastAsia="Calibri" w:hAnsi="Calibri"/>
          <w:sz w:val="19"/>
          <w:szCs w:val="19"/>
          <w:color w:val="auto"/>
        </w:rPr>
        <w:t>This Policy applies to the Company’s current and former executve ofcers (as determined by the Compensaton Commitee in accordance with Secton 10D of the Exchange Act, the rules promulgated thereunder, and the listng standards of the natonal securites exchange on which the Company’s securites are listed) and such other senior executves or employees who may from tme to tme be deemed subject to this Policy by the Compensaton Commitee (collectvely, the “</w:t>
      </w:r>
      <w:r>
        <w:rPr>
          <w:rFonts w:ascii="Calibri" w:cs="Calibri" w:eastAsia="Calibri" w:hAnsi="Calibri"/>
          <w:sz w:val="19"/>
          <w:szCs w:val="19"/>
          <w:u w:val="single" w:color="auto"/>
          <w:color w:val="auto"/>
        </w:rPr>
        <w:t>Covered Executves</w:t>
      </w:r>
      <w:r>
        <w:rPr>
          <w:rFonts w:ascii="Calibri" w:cs="Calibri" w:eastAsia="Calibri" w:hAnsi="Calibri"/>
          <w:sz w:val="19"/>
          <w:szCs w:val="19"/>
          <w:color w:val="auto"/>
        </w:rPr>
        <w:t>”). This Policy shall be binding and enforceable against all Covered Executves.</w:t>
      </w:r>
    </w:p>
    <w:p>
      <w:pPr>
        <w:spacing w:after="0" w:line="200" w:lineRule="exact"/>
        <w:rPr>
          <w:sz w:val="20"/>
          <w:szCs w:val="20"/>
          <w:color w:val="auto"/>
        </w:rPr>
      </w:pPr>
    </w:p>
    <w:p>
      <w:pPr>
        <w:spacing w:after="0" w:line="276"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RECOUPMENT; ACCOUNTING RESTATEMENT</w:t>
      </w:r>
    </w:p>
    <w:p>
      <w:pPr>
        <w:jc w:val="both"/>
        <w:ind w:left="6"/>
        <w:spacing w:after="0" w:line="241" w:lineRule="auto"/>
        <w:rPr>
          <w:sz w:val="20"/>
          <w:szCs w:val="20"/>
          <w:color w:val="auto"/>
        </w:rPr>
      </w:pPr>
      <w:r>
        <w:rPr>
          <w:rFonts w:ascii="Calibri" w:cs="Calibri" w:eastAsia="Calibri" w:hAnsi="Calibri"/>
          <w:sz w:val="19"/>
          <w:szCs w:val="19"/>
          <w:color w:val="auto"/>
        </w:rPr>
        <w:t>In the event that the Company is required to prepare an accountng restatement of its fnancial statements due to the Company’s material noncompliance with any fnancial reportng requirement under the securites laws, including any required accountng restatement (i) to correct an error in previously issued fnancial statements that is material to the previously issued fnancial statements, or (ii) that would result in a material misstatement if the error were corrected in the current period or lef uncorrected in the current period (each an “</w:t>
      </w:r>
      <w:r>
        <w:rPr>
          <w:rFonts w:ascii="Calibri" w:cs="Calibri" w:eastAsia="Calibri" w:hAnsi="Calibri"/>
          <w:sz w:val="19"/>
          <w:szCs w:val="19"/>
          <w:u w:val="single" w:color="auto"/>
          <w:color w:val="auto"/>
        </w:rPr>
        <w:t>Accountng Restatement</w:t>
      </w:r>
      <w:r>
        <w:rPr>
          <w:rFonts w:ascii="Calibri" w:cs="Calibri" w:eastAsia="Calibri" w:hAnsi="Calibri"/>
          <w:sz w:val="19"/>
          <w:szCs w:val="19"/>
          <w:color w:val="auto"/>
        </w:rPr>
        <w:t>”), the Compensaton Commitee will reasonably promptly require reimbursement or forfeiture of the Overpayment (as defned below) received by any Covered Executve (x) afer beginning service as a Covered Executve, (y) who served as a Covered Executve at any tme during the performance period for the applicable Incentve-Based Compensaton (as defned below), and (z) during the three (3) completed fscal years immediately preceding the date on which the Company is required to prepare an Accountng Restatement and any transiton period (that results from a change in the Company’s fscal year) within or immediately following those three (3) completed fscal years.</w:t>
      </w: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INCENTIVE-BASED COMPENSATION</w:t>
      </w:r>
    </w:p>
    <w:p>
      <w:pPr>
        <w:spacing w:after="0" w:line="7" w:lineRule="exact"/>
        <w:rPr>
          <w:sz w:val="20"/>
          <w:szCs w:val="20"/>
          <w:color w:val="auto"/>
        </w:rPr>
      </w:pPr>
    </w:p>
    <w:p>
      <w:pPr>
        <w:jc w:val="both"/>
        <w:ind w:left="6"/>
        <w:spacing w:after="0" w:line="236" w:lineRule="auto"/>
        <w:rPr>
          <w:sz w:val="20"/>
          <w:szCs w:val="20"/>
          <w:color w:val="auto"/>
        </w:rPr>
      </w:pPr>
      <w:r>
        <w:rPr>
          <w:rFonts w:ascii="Calibri" w:cs="Calibri" w:eastAsia="Calibri" w:hAnsi="Calibri"/>
          <w:sz w:val="19"/>
          <w:szCs w:val="19"/>
          <w:color w:val="auto"/>
        </w:rPr>
        <w:t>For purposes of this Policy, “</w:t>
      </w:r>
      <w:r>
        <w:rPr>
          <w:rFonts w:ascii="Calibri" w:cs="Calibri" w:eastAsia="Calibri" w:hAnsi="Calibri"/>
          <w:sz w:val="19"/>
          <w:szCs w:val="19"/>
          <w:u w:val="single" w:color="auto"/>
          <w:color w:val="auto"/>
        </w:rPr>
        <w:t>Incentve-Based Compensaton</w:t>
      </w:r>
      <w:r>
        <w:rPr>
          <w:rFonts w:ascii="Calibri" w:cs="Calibri" w:eastAsia="Calibri" w:hAnsi="Calibri"/>
          <w:sz w:val="19"/>
          <w:szCs w:val="19"/>
          <w:color w:val="auto"/>
        </w:rPr>
        <w:t>” means any compensaton that is granted, earned, or vested based wholly or in part upon the atainment of a fnancial reportng measure, including, but not limited to:</w:t>
      </w:r>
    </w:p>
    <w:p>
      <w:pPr>
        <w:spacing w:after="0" w:line="7" w:lineRule="exact"/>
        <w:rPr>
          <w:sz w:val="20"/>
          <w:szCs w:val="20"/>
          <w:color w:val="auto"/>
        </w:rPr>
      </w:pPr>
    </w:p>
    <w:p>
      <w:pPr>
        <w:ind w:left="546" w:hanging="546"/>
        <w:spacing w:after="0"/>
        <w:tabs>
          <w:tab w:leader="none" w:pos="546" w:val="left"/>
        </w:tabs>
        <w:numPr>
          <w:ilvl w:val="0"/>
          <w:numId w:val="60"/>
        </w:numPr>
        <w:rPr>
          <w:rFonts w:ascii="Calibri" w:cs="Calibri" w:eastAsia="Calibri" w:hAnsi="Calibri"/>
          <w:sz w:val="19"/>
          <w:szCs w:val="19"/>
          <w:color w:val="auto"/>
        </w:rPr>
      </w:pPr>
      <w:r>
        <w:rPr>
          <w:rFonts w:ascii="Calibri" w:cs="Calibri" w:eastAsia="Calibri" w:hAnsi="Calibri"/>
          <w:sz w:val="19"/>
          <w:szCs w:val="19"/>
          <w:color w:val="auto"/>
        </w:rPr>
        <w:t>non-equity incentve plan awards that are earned solely or in part by satsfying a fnancial reportng measure performance goal;</w:t>
      </w:r>
    </w:p>
    <w:p>
      <w:pPr>
        <w:jc w:val="both"/>
        <w:ind w:left="6" w:hanging="6"/>
        <w:spacing w:after="0" w:line="241" w:lineRule="auto"/>
        <w:tabs>
          <w:tab w:leader="none" w:pos="266" w:val="left"/>
        </w:tabs>
        <w:numPr>
          <w:ilvl w:val="0"/>
          <w:numId w:val="60"/>
        </w:numPr>
        <w:rPr>
          <w:rFonts w:ascii="Calibri" w:cs="Calibri" w:eastAsia="Calibri" w:hAnsi="Calibri"/>
          <w:sz w:val="19"/>
          <w:szCs w:val="19"/>
          <w:color w:val="auto"/>
        </w:rPr>
      </w:pPr>
      <w:r>
        <w:rPr>
          <w:rFonts w:ascii="Calibri" w:cs="Calibri" w:eastAsia="Calibri" w:hAnsi="Calibri"/>
          <w:sz w:val="19"/>
          <w:szCs w:val="19"/>
          <w:color w:val="auto"/>
        </w:rPr>
        <w:t>bonuses paid from a bonus pool, where the size of the pool is determined solely or in part by satsfying a fnancial reportng measure performance goal; (iii) other cash awards based on satsfacton of a fnancial reportng measure performance goal; (iv) restricted stock, restricted stock units, stock optons, stock appreciaton rights, and performance share units that are granted or vest solely or in part based on satsfacton of a fnancial reportng measure performance goal; and (v) proceeds from the sale of shares acquired through an incentve plan that were granted or vested solely or in part based on satsfacton of a fnancial reportng measure performance goal.</w:t>
      </w:r>
    </w:p>
    <w:p>
      <w:pPr>
        <w:sectPr>
          <w:pgSz w:w="11900" w:h="16838" w:orient="portrait"/>
          <w:cols w:equalWidth="0" w:num="1">
            <w:col w:w="11046"/>
          </w:cols>
          <w:pgMar w:left="414" w:top="1167" w:right="439" w:bottom="1440" w:gutter="0" w:footer="0" w:header="0"/>
        </w:sectPr>
      </w:pPr>
    </w:p>
    <w:bookmarkStart w:id="129" w:name="page130"/>
    <w:bookmarkEnd w:id="129"/>
    <w:p>
      <w:pPr>
        <w:jc w:val="both"/>
        <w:ind w:left="6" w:right="20"/>
        <w:spacing w:after="0" w:line="239" w:lineRule="auto"/>
        <w:rPr>
          <w:sz w:val="20"/>
          <w:szCs w:val="20"/>
          <w:color w:val="auto"/>
        </w:rPr>
      </w:pPr>
      <w:r>
        <w:rPr>
          <w:rFonts w:ascii="Calibri" w:cs="Calibri" w:eastAsia="Calibri" w:hAnsi="Calibri"/>
          <w:sz w:val="19"/>
          <w:szCs w:val="19"/>
          <w:color w:val="auto"/>
        </w:rPr>
        <w:t>Compensaton that would not be considered Incentve-Based Compensaton includes, but is not limited to: (i) salaries; (ii) bonuses paid solely based on satsfacton of subjectve standards, such as demonstratng leadership, and/or completon of a specifed employment period; (iii) non-equity incentve plan awards earned solely based on satsfacton of strategic or operatonal measures; (iv) wholly tme-based equity awards; and (v) discretonary bonuses or other compensaton that is not paid from a bonus pool that is determined by satsfying a fnancial reportng measure performance goal.</w:t>
      </w:r>
    </w:p>
    <w:p>
      <w:pPr>
        <w:spacing w:after="0" w:line="250" w:lineRule="exact"/>
        <w:rPr>
          <w:sz w:val="20"/>
          <w:szCs w:val="20"/>
          <w:color w:val="auto"/>
        </w:rPr>
      </w:pPr>
    </w:p>
    <w:p>
      <w:pPr>
        <w:jc w:val="both"/>
        <w:ind w:left="6"/>
        <w:spacing w:after="0" w:line="236" w:lineRule="auto"/>
        <w:rPr>
          <w:sz w:val="20"/>
          <w:szCs w:val="20"/>
          <w:color w:val="auto"/>
        </w:rPr>
      </w:pPr>
      <w:r>
        <w:rPr>
          <w:rFonts w:ascii="Calibri" w:cs="Calibri" w:eastAsia="Calibri" w:hAnsi="Calibri"/>
          <w:sz w:val="19"/>
          <w:szCs w:val="19"/>
          <w:color w:val="auto"/>
        </w:rPr>
        <w:t>A fnancial reportng measure is: (i) any measure that is determined and presented in accordance with the accountng principles used in preparing fnancial statements, or any measure derived wholly or in part from such measure, such as revenues, EBITDA, or net income or</w:t>
      </w:r>
    </w:p>
    <w:p>
      <w:pPr>
        <w:spacing w:after="0" w:line="8" w:lineRule="exact"/>
        <w:rPr>
          <w:sz w:val="20"/>
          <w:szCs w:val="20"/>
          <w:color w:val="auto"/>
        </w:rPr>
      </w:pPr>
    </w:p>
    <w:p>
      <w:pPr>
        <w:jc w:val="both"/>
        <w:ind w:left="6" w:hanging="6"/>
        <w:spacing w:after="0" w:line="241" w:lineRule="auto"/>
        <w:tabs>
          <w:tab w:leader="none" w:pos="307" w:val="left"/>
        </w:tabs>
        <w:numPr>
          <w:ilvl w:val="0"/>
          <w:numId w:val="61"/>
        </w:numPr>
        <w:rPr>
          <w:rFonts w:ascii="Calibri" w:cs="Calibri" w:eastAsia="Calibri" w:hAnsi="Calibri"/>
          <w:sz w:val="19"/>
          <w:szCs w:val="19"/>
          <w:color w:val="auto"/>
        </w:rPr>
      </w:pPr>
      <w:r>
        <w:rPr>
          <w:rFonts w:ascii="Calibri" w:cs="Calibri" w:eastAsia="Calibri" w:hAnsi="Calibri"/>
          <w:sz w:val="19"/>
          <w:szCs w:val="19"/>
          <w:color w:val="auto"/>
        </w:rPr>
        <w:t>stock price and total shareholder return. Financial reportng measures include, but are not limited to: revenues; net income; operatng income; proftability of one or more reportable segments; fnancial ratos (e.g., accounts receivable turnover and inventory turnover rates); net assets or net asset value per share; earnings before interest, taxes, depreciaton and amortzaton; funds from operatons and adjusted funds from operatons; liquidity measures (e.g., working capital, operatng cash fow); return measures (e.g., return on invested capital, return on assets); earnings measures (e.g., earnings per share); sales per square foot or same store sales, where sales is subject to an accountng restatement; revenue per user, or average revenue per user, where revenue is subject to an accountng restatement; cost per employee, where cost is subject to an accountng restatement; any of such fnancial reportng measures relatve to a peer group, where the Company’s fnancial reportng measure is subject to an accountng restatement; and tax basis income.</w:t>
      </w: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OVERPAYMENT: AMOUNT SUBJECT TO RECOVERY</w:t>
      </w:r>
    </w:p>
    <w:p>
      <w:pPr>
        <w:spacing w:after="0" w:line="7" w:lineRule="exact"/>
        <w:rPr>
          <w:sz w:val="20"/>
          <w:szCs w:val="20"/>
          <w:color w:val="auto"/>
        </w:rPr>
      </w:pPr>
    </w:p>
    <w:p>
      <w:pPr>
        <w:jc w:val="both"/>
        <w:ind w:left="6"/>
        <w:spacing w:after="0" w:line="239" w:lineRule="auto"/>
        <w:rPr>
          <w:sz w:val="20"/>
          <w:szCs w:val="20"/>
          <w:color w:val="auto"/>
        </w:rPr>
      </w:pPr>
      <w:r>
        <w:rPr>
          <w:rFonts w:ascii="Calibri" w:cs="Calibri" w:eastAsia="Calibri" w:hAnsi="Calibri"/>
          <w:sz w:val="19"/>
          <w:szCs w:val="19"/>
          <w:color w:val="auto"/>
        </w:rPr>
        <w:t xml:space="preserve">The amount to be recovered will be the amount of Incentve-Based Compensaton received that exceeds the amount of Incentve-Based Compensaton that otherwise would have been received had it been determined based on the restated amounts, and must be computed without regard to any taxes paid (the </w:t>
      </w:r>
      <w:r>
        <w:rPr>
          <w:rFonts w:ascii="Calibri" w:cs="Calibri" w:eastAsia="Calibri" w:hAnsi="Calibri"/>
          <w:sz w:val="19"/>
          <w:szCs w:val="19"/>
          <w:u w:val="single" w:color="auto"/>
          <w:color w:val="auto"/>
        </w:rPr>
        <w:t>“</w:t>
      </w:r>
      <w:r>
        <w:rPr>
          <w:rFonts w:ascii="Calibri" w:cs="Calibri" w:eastAsia="Calibri" w:hAnsi="Calibri"/>
          <w:sz w:val="19"/>
          <w:szCs w:val="19"/>
          <w:color w:val="auto"/>
        </w:rPr>
        <w:t>Over</w:t>
      </w:r>
      <w:r>
        <w:rPr>
          <w:rFonts w:ascii="Calibri" w:cs="Calibri" w:eastAsia="Calibri" w:hAnsi="Calibri"/>
          <w:sz w:val="19"/>
          <w:szCs w:val="19"/>
          <w:u w:val="single" w:color="auto"/>
          <w:color w:val="auto"/>
        </w:rPr>
        <w:t>paym</w:t>
      </w:r>
      <w:r>
        <w:rPr>
          <w:rFonts w:ascii="Calibri" w:cs="Calibri" w:eastAsia="Calibri" w:hAnsi="Calibri"/>
          <w:sz w:val="19"/>
          <w:szCs w:val="19"/>
          <w:color w:val="auto"/>
        </w:rPr>
        <w:t>ent”). Incentve-Based Compensaton is deemed “received” in the Company’s fscal period during which the fnancial reportng measure specifed in the incentve-based compensaton award is atained, even if the vestng, payment or grant of the incentve-based compensaton occurs afer the end of that period.</w:t>
      </w:r>
    </w:p>
    <w:p>
      <w:pPr>
        <w:spacing w:after="0" w:line="11" w:lineRule="exact"/>
        <w:rPr>
          <w:sz w:val="20"/>
          <w:szCs w:val="20"/>
          <w:color w:val="auto"/>
        </w:rPr>
      </w:pPr>
    </w:p>
    <w:p>
      <w:pPr>
        <w:jc w:val="both"/>
        <w:ind w:left="6" w:right="20"/>
        <w:spacing w:after="0" w:line="239" w:lineRule="auto"/>
        <w:rPr>
          <w:sz w:val="20"/>
          <w:szCs w:val="20"/>
          <w:color w:val="auto"/>
        </w:rPr>
      </w:pPr>
      <w:r>
        <w:rPr>
          <w:rFonts w:ascii="Calibri" w:cs="Calibri" w:eastAsia="Calibri" w:hAnsi="Calibri"/>
          <w:sz w:val="19"/>
          <w:szCs w:val="19"/>
          <w:color w:val="auto"/>
        </w:rPr>
        <w:t>For Incentve-Based Compensaton based on stock price or total shareholder return, where the amount of erroneously awarded compensaton is not subject to mathematcal recalculaton directly from the informaton in the Accountng Restatement, the amount must be based on a reasonable estmate of the efect of the Accountng Restatement on the stock price or total shareholder return upon which the Incentve-Based Compensaton was received, and the Company must maintain documentaton of the determinaton of that reasonable estmate and provide such documentaton to the exchange on which the Company’s securites are listed.</w:t>
      </w:r>
    </w:p>
    <w:p>
      <w:pPr>
        <w:spacing w:after="0" w:line="249"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METHOD OF RECOUPMENT</w:t>
      </w:r>
    </w:p>
    <w:p>
      <w:pPr>
        <w:jc w:val="both"/>
        <w:ind w:left="6"/>
        <w:spacing w:after="0" w:line="239" w:lineRule="auto"/>
        <w:rPr>
          <w:sz w:val="20"/>
          <w:szCs w:val="20"/>
          <w:color w:val="auto"/>
        </w:rPr>
      </w:pPr>
      <w:r>
        <w:rPr>
          <w:rFonts w:ascii="Calibri" w:cs="Calibri" w:eastAsia="Calibri" w:hAnsi="Calibri"/>
          <w:sz w:val="19"/>
          <w:szCs w:val="19"/>
          <w:color w:val="auto"/>
        </w:rPr>
        <w:t>The Compensaton Commitee will determine, in its sole discreton, the method or methods for recouping any Overpayment hereunder which may include, without limitaton:</w:t>
      </w:r>
    </w:p>
    <w:p>
      <w:pPr>
        <w:spacing w:after="0" w:line="22" w:lineRule="exact"/>
        <w:rPr>
          <w:sz w:val="20"/>
          <w:szCs w:val="20"/>
          <w:color w:val="auto"/>
        </w:rPr>
      </w:pPr>
    </w:p>
    <w:p>
      <w:pPr>
        <w:ind w:left="626" w:hanging="371"/>
        <w:spacing w:after="0"/>
        <w:tabs>
          <w:tab w:leader="none" w:pos="626" w:val="left"/>
        </w:tabs>
        <w:numPr>
          <w:ilvl w:val="0"/>
          <w:numId w:val="62"/>
        </w:numPr>
        <w:rPr>
          <w:rFonts w:ascii="Times New Roman" w:cs="Times New Roman" w:eastAsia="Times New Roman" w:hAnsi="Times New Roman"/>
          <w:sz w:val="19"/>
          <w:szCs w:val="19"/>
          <w:color w:val="auto"/>
        </w:rPr>
      </w:pPr>
      <w:r>
        <w:rPr>
          <w:rFonts w:ascii="Calibri" w:cs="Calibri" w:eastAsia="Calibri" w:hAnsi="Calibri"/>
          <w:sz w:val="19"/>
          <w:szCs w:val="19"/>
          <w:color w:val="auto"/>
        </w:rPr>
        <w:t>requiring reimbursement of cash Incentve-Based Compensaton previously paid;</w:t>
      </w:r>
    </w:p>
    <w:p>
      <w:pPr>
        <w:spacing w:after="0" w:line="10" w:lineRule="exact"/>
        <w:rPr>
          <w:rFonts w:ascii="Times New Roman" w:cs="Times New Roman" w:eastAsia="Times New Roman" w:hAnsi="Times New Roman"/>
          <w:sz w:val="19"/>
          <w:szCs w:val="19"/>
          <w:color w:val="auto"/>
        </w:rPr>
      </w:pPr>
    </w:p>
    <w:p>
      <w:pPr>
        <w:ind w:left="646" w:right="140" w:hanging="391"/>
        <w:spacing w:after="0" w:line="241" w:lineRule="auto"/>
        <w:tabs>
          <w:tab w:leader="none" w:pos="637" w:val="left"/>
        </w:tabs>
        <w:numPr>
          <w:ilvl w:val="0"/>
          <w:numId w:val="62"/>
        </w:numPr>
        <w:rPr>
          <w:rFonts w:ascii="Times New Roman" w:cs="Times New Roman" w:eastAsia="Times New Roman" w:hAnsi="Times New Roman"/>
          <w:sz w:val="19"/>
          <w:szCs w:val="19"/>
          <w:color w:val="auto"/>
        </w:rPr>
      </w:pPr>
      <w:r>
        <w:rPr>
          <w:rFonts w:ascii="Calibri" w:cs="Calibri" w:eastAsia="Calibri" w:hAnsi="Calibri"/>
          <w:sz w:val="19"/>
          <w:szCs w:val="19"/>
          <w:color w:val="auto"/>
        </w:rPr>
        <w:t>seeking recovery of any gain realized on the vestng, exercise, setlement, sale, transfer, or other dispositon of any equity-based awards granted as Incentve-Based Compensaton;</w:t>
      </w:r>
    </w:p>
    <w:p>
      <w:pPr>
        <w:spacing w:after="0" w:line="7" w:lineRule="exact"/>
        <w:rPr>
          <w:rFonts w:ascii="Times New Roman" w:cs="Times New Roman" w:eastAsia="Times New Roman" w:hAnsi="Times New Roman"/>
          <w:sz w:val="19"/>
          <w:szCs w:val="19"/>
          <w:color w:val="auto"/>
        </w:rPr>
      </w:pPr>
    </w:p>
    <w:p>
      <w:pPr>
        <w:ind w:left="626" w:hanging="371"/>
        <w:spacing w:after="0"/>
        <w:tabs>
          <w:tab w:leader="none" w:pos="626" w:val="left"/>
        </w:tabs>
        <w:numPr>
          <w:ilvl w:val="0"/>
          <w:numId w:val="62"/>
        </w:numPr>
        <w:rPr>
          <w:rFonts w:ascii="Times New Roman" w:cs="Times New Roman" w:eastAsia="Times New Roman" w:hAnsi="Times New Roman"/>
          <w:sz w:val="19"/>
          <w:szCs w:val="19"/>
          <w:color w:val="auto"/>
        </w:rPr>
      </w:pPr>
      <w:r>
        <w:rPr>
          <w:rFonts w:ascii="Calibri" w:cs="Calibri" w:eastAsia="Calibri" w:hAnsi="Calibri"/>
          <w:sz w:val="19"/>
          <w:szCs w:val="19"/>
          <w:color w:val="auto"/>
        </w:rPr>
        <w:t>ofsetng any or all of the Overpayment from any compensaton otherwise owed by the Company to the Covered Executve;</w:t>
      </w:r>
    </w:p>
    <w:p>
      <w:pPr>
        <w:spacing w:after="0" w:line="19" w:lineRule="exact"/>
        <w:rPr>
          <w:rFonts w:ascii="Times New Roman" w:cs="Times New Roman" w:eastAsia="Times New Roman" w:hAnsi="Times New Roman"/>
          <w:sz w:val="19"/>
          <w:szCs w:val="19"/>
          <w:color w:val="auto"/>
        </w:rPr>
      </w:pPr>
    </w:p>
    <w:p>
      <w:pPr>
        <w:ind w:left="626" w:hanging="371"/>
        <w:spacing w:after="0"/>
        <w:tabs>
          <w:tab w:leader="none" w:pos="626" w:val="left"/>
        </w:tabs>
        <w:numPr>
          <w:ilvl w:val="0"/>
          <w:numId w:val="62"/>
        </w:numPr>
        <w:rPr>
          <w:rFonts w:ascii="Times New Roman" w:cs="Times New Roman" w:eastAsia="Times New Roman" w:hAnsi="Times New Roman"/>
          <w:sz w:val="19"/>
          <w:szCs w:val="19"/>
          <w:color w:val="auto"/>
        </w:rPr>
      </w:pPr>
      <w:r>
        <w:rPr>
          <w:rFonts w:ascii="Calibri" w:cs="Calibri" w:eastAsia="Calibri" w:hAnsi="Calibri"/>
          <w:sz w:val="19"/>
          <w:szCs w:val="19"/>
          <w:color w:val="auto"/>
        </w:rPr>
        <w:t>cancelling outstanding vested or unvested equity awards; and/or</w:t>
      </w:r>
    </w:p>
    <w:p>
      <w:pPr>
        <w:spacing w:after="0" w:line="10" w:lineRule="exact"/>
        <w:rPr>
          <w:rFonts w:ascii="Times New Roman" w:cs="Times New Roman" w:eastAsia="Times New Roman" w:hAnsi="Times New Roman"/>
          <w:sz w:val="19"/>
          <w:szCs w:val="19"/>
          <w:color w:val="auto"/>
        </w:rPr>
      </w:pPr>
    </w:p>
    <w:p>
      <w:pPr>
        <w:ind w:left="626" w:hanging="371"/>
        <w:spacing w:after="0" w:line="236" w:lineRule="auto"/>
        <w:tabs>
          <w:tab w:leader="none" w:pos="626" w:val="left"/>
        </w:tabs>
        <w:numPr>
          <w:ilvl w:val="0"/>
          <w:numId w:val="62"/>
        </w:numPr>
        <w:rPr>
          <w:rFonts w:ascii="Times New Roman" w:cs="Times New Roman" w:eastAsia="Times New Roman" w:hAnsi="Times New Roman"/>
          <w:sz w:val="19"/>
          <w:szCs w:val="19"/>
          <w:color w:val="auto"/>
        </w:rPr>
      </w:pPr>
      <w:r>
        <w:rPr>
          <w:rFonts w:ascii="Calibri" w:cs="Calibri" w:eastAsia="Calibri" w:hAnsi="Calibri"/>
          <w:sz w:val="19"/>
          <w:szCs w:val="19"/>
          <w:color w:val="auto"/>
        </w:rPr>
        <w:t>taking any other remedial or recovery acton permited by law, as determined by the Compensaton Commitee.</w:t>
      </w:r>
    </w:p>
    <w:p>
      <w:pPr>
        <w:spacing w:after="0" w:line="245" w:lineRule="exact"/>
        <w:rPr>
          <w:sz w:val="20"/>
          <w:szCs w:val="20"/>
          <w:color w:val="auto"/>
        </w:rPr>
      </w:pPr>
    </w:p>
    <w:p>
      <w:pPr>
        <w:ind w:left="6"/>
        <w:spacing w:after="0"/>
        <w:rPr>
          <w:sz w:val="20"/>
          <w:szCs w:val="20"/>
          <w:color w:val="auto"/>
        </w:rPr>
      </w:pPr>
      <w:r>
        <w:rPr>
          <w:rFonts w:ascii="Calibri" w:cs="Calibri" w:eastAsia="Calibri" w:hAnsi="Calibri"/>
          <w:sz w:val="19"/>
          <w:szCs w:val="19"/>
          <w:b w:val="1"/>
          <w:bCs w:val="1"/>
          <w:color w:val="auto"/>
        </w:rPr>
        <w:t>LIMITATION ON RECOVERY; NO ADDITIONAL PAYMENTS</w:t>
      </w:r>
    </w:p>
    <w:p>
      <w:pPr>
        <w:spacing w:after="0" w:line="325" w:lineRule="exact"/>
        <w:rPr>
          <w:sz w:val="20"/>
          <w:szCs w:val="20"/>
          <w:color w:val="auto"/>
        </w:rPr>
      </w:pPr>
    </w:p>
    <w:p>
      <w:pPr>
        <w:jc w:val="both"/>
        <w:ind w:left="6"/>
        <w:spacing w:after="0" w:line="242" w:lineRule="auto"/>
        <w:rPr>
          <w:sz w:val="20"/>
          <w:szCs w:val="20"/>
          <w:color w:val="auto"/>
        </w:rPr>
      </w:pPr>
      <w:r>
        <w:rPr>
          <w:rFonts w:ascii="Calibri" w:cs="Calibri" w:eastAsia="Calibri" w:hAnsi="Calibri"/>
          <w:sz w:val="19"/>
          <w:szCs w:val="19"/>
          <w:color w:val="auto"/>
        </w:rPr>
        <w:t>The right to recovery will be limited to Overpayments received during the three (3) completed fscal years prior to the date on which the Company is required to prepare an Accountng Restatement and any transiton period (that results from a change in the Company’s fscal year) within or immediately following those three (3) completed fscal years. In no event shall the Company be required to award Covered Executves an additonal</w:t>
      </w:r>
    </w:p>
    <w:p>
      <w:pPr>
        <w:sectPr>
          <w:pgSz w:w="11900" w:h="16838" w:orient="portrait"/>
          <w:cols w:equalWidth="0" w:num="1">
            <w:col w:w="11046"/>
          </w:cols>
          <w:pgMar w:left="414" w:top="1003" w:right="439" w:bottom="1440" w:gutter="0" w:footer="0" w:header="0"/>
        </w:sectPr>
      </w:pPr>
    </w:p>
    <w:bookmarkStart w:id="130" w:name="page131"/>
    <w:bookmarkEnd w:id="130"/>
    <w:p>
      <w:pPr>
        <w:spacing w:after="0"/>
        <w:rPr>
          <w:sz w:val="20"/>
          <w:szCs w:val="20"/>
          <w:color w:val="auto"/>
        </w:rPr>
      </w:pPr>
      <w:r>
        <w:rPr>
          <w:rFonts w:ascii="Calibri" w:cs="Calibri" w:eastAsia="Calibri" w:hAnsi="Calibri"/>
          <w:sz w:val="19"/>
          <w:szCs w:val="19"/>
          <w:color w:val="auto"/>
        </w:rPr>
        <w:t>payment if the restated or accurate fnancial results would have resulted in a higher Incentve-Based Compensaton payment.</w:t>
      </w: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 INDEMNIFICATION</w:t>
      </w:r>
    </w:p>
    <w:p>
      <w:pPr>
        <w:spacing w:after="0" w:line="233" w:lineRule="auto"/>
        <w:rPr>
          <w:sz w:val="20"/>
          <w:szCs w:val="20"/>
          <w:color w:val="auto"/>
        </w:rPr>
      </w:pPr>
      <w:r>
        <w:rPr>
          <w:rFonts w:ascii="Calibri" w:cs="Calibri" w:eastAsia="Calibri" w:hAnsi="Calibri"/>
          <w:sz w:val="19"/>
          <w:szCs w:val="19"/>
          <w:color w:val="auto"/>
        </w:rPr>
        <w:t>The Company shall not indemnify any Covered Executves against the loss of any incorrectly awarded Incentve- Based Compensaton.</w:t>
      </w: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INTERPRETATION</w:t>
      </w:r>
    </w:p>
    <w:p>
      <w:pPr>
        <w:spacing w:after="0" w:line="7" w:lineRule="exact"/>
        <w:rPr>
          <w:sz w:val="20"/>
          <w:szCs w:val="20"/>
          <w:color w:val="auto"/>
        </w:rPr>
      </w:pPr>
    </w:p>
    <w:p>
      <w:pPr>
        <w:jc w:val="both"/>
        <w:spacing w:after="0" w:line="238" w:lineRule="auto"/>
        <w:rPr>
          <w:sz w:val="20"/>
          <w:szCs w:val="20"/>
          <w:color w:val="auto"/>
        </w:rPr>
      </w:pPr>
      <w:r>
        <w:rPr>
          <w:rFonts w:ascii="Calibri" w:cs="Calibri" w:eastAsia="Calibri" w:hAnsi="Calibri"/>
          <w:sz w:val="19"/>
          <w:szCs w:val="19"/>
          <w:color w:val="auto"/>
        </w:rPr>
        <w:t>The Compensaton Commitee is authorized to interpret and construe this Policy and to make all determinatons necessary, appropriate, or advisable for the administraton of this Policy. It is intended that this Policy be interpreted in a manner that is consistent with the requirements of Secton 10D of the Exchange Act and the applicable rules or standards adopted by the Securites and Exchange Commission or any natonal securites exchange on which the Company’s securites are listed.</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EFFECTIVE DATE</w:t>
      </w:r>
    </w:p>
    <w:p>
      <w:pPr>
        <w:jc w:val="both"/>
        <w:ind w:right="20"/>
        <w:spacing w:after="0" w:line="239" w:lineRule="auto"/>
        <w:rPr>
          <w:sz w:val="20"/>
          <w:szCs w:val="20"/>
          <w:color w:val="auto"/>
        </w:rPr>
      </w:pPr>
      <w:r>
        <w:rPr>
          <w:rFonts w:ascii="Calibri" w:cs="Calibri" w:eastAsia="Calibri" w:hAnsi="Calibri"/>
          <w:sz w:val="19"/>
          <w:szCs w:val="19"/>
          <w:color w:val="auto"/>
        </w:rPr>
        <w:t xml:space="preserve">This Policy shall be efectve as of the date it is adopted by the Board (the </w:t>
      </w:r>
      <w:r>
        <w:rPr>
          <w:rFonts w:ascii="Calibri" w:cs="Calibri" w:eastAsia="Calibri" w:hAnsi="Calibri"/>
          <w:sz w:val="19"/>
          <w:szCs w:val="19"/>
          <w:u w:val="single" w:color="auto"/>
          <w:color w:val="auto"/>
        </w:rPr>
        <w:t>“</w:t>
      </w:r>
      <w:r>
        <w:rPr>
          <w:rFonts w:ascii="Calibri" w:cs="Calibri" w:eastAsia="Calibri" w:hAnsi="Calibri"/>
          <w:sz w:val="19"/>
          <w:szCs w:val="19"/>
          <w:color w:val="auto"/>
        </w:rPr>
        <w:t>E</w:t>
      </w:r>
      <w:r>
        <w:rPr>
          <w:rFonts w:ascii="Calibri" w:cs="Calibri" w:eastAsia="Calibri" w:hAnsi="Calibri"/>
          <w:sz w:val="19"/>
          <w:szCs w:val="19"/>
          <w:u w:val="single" w:color="auto"/>
          <w:color w:val="auto"/>
        </w:rPr>
        <w:t>fectve D</w:t>
      </w:r>
      <w:r>
        <w:rPr>
          <w:rFonts w:ascii="Calibri" w:cs="Calibri" w:eastAsia="Calibri" w:hAnsi="Calibri"/>
          <w:sz w:val="19"/>
          <w:szCs w:val="19"/>
          <w:color w:val="auto"/>
        </w:rPr>
        <w:t>ate”) and shall apply to Incentve-Based Compensaton (including Incentve-Based Compensaton granted pursuant to arrangements existng prior to the Efectve Date). Notwithstanding the foregoing, this Policy shall only apply to Incentve-Based Compensaton received (as determined pursuant to this Policy) on or afer the efectve date of NASDAQ Listng Rule 5608.</w:t>
      </w:r>
    </w:p>
    <w:p>
      <w:pPr>
        <w:spacing w:after="0" w:line="24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AMENDMENT; TERMINATION</w:t>
      </w:r>
    </w:p>
    <w:p>
      <w:pPr>
        <w:spacing w:after="0" w:line="233" w:lineRule="auto"/>
        <w:rPr>
          <w:sz w:val="20"/>
          <w:szCs w:val="20"/>
          <w:color w:val="auto"/>
        </w:rPr>
      </w:pPr>
      <w:r>
        <w:rPr>
          <w:rFonts w:ascii="Calibri" w:cs="Calibri" w:eastAsia="Calibri" w:hAnsi="Calibri"/>
          <w:sz w:val="19"/>
          <w:szCs w:val="19"/>
          <w:color w:val="auto"/>
        </w:rPr>
        <w:t>The Board may amend this Policy from tme to tme in its discreton. The Board may terminate this Policy at any tme.</w:t>
      </w: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OTHER RECOUPMENT RIGHTS</w:t>
      </w:r>
    </w:p>
    <w:p>
      <w:pPr>
        <w:spacing w:after="0" w:line="7" w:lineRule="exact"/>
        <w:rPr>
          <w:sz w:val="20"/>
          <w:szCs w:val="20"/>
          <w:color w:val="auto"/>
        </w:rPr>
      </w:pPr>
    </w:p>
    <w:p>
      <w:pPr>
        <w:ind w:right="220"/>
        <w:spacing w:after="0"/>
        <w:rPr>
          <w:sz w:val="20"/>
          <w:szCs w:val="20"/>
          <w:color w:val="auto"/>
        </w:rPr>
      </w:pPr>
      <w:r>
        <w:rPr>
          <w:rFonts w:ascii="Calibri" w:cs="Calibri" w:eastAsia="Calibri" w:hAnsi="Calibri"/>
          <w:sz w:val="19"/>
          <w:szCs w:val="19"/>
          <w:color w:val="auto"/>
        </w:rPr>
        <w:t>The Board intends that this Policy will be applied to the fullest extent of the law. The Compensaton Commitee may require that any employment or service agreement, cash-based bonus plan or program, equity award agreement, or similar agreement entered into on or afer the adopton of this Policy shall, as a conditon to the grant of any beneft thereunder, require a Covered Executve to agree to abide by the terms of this Policy. Any right of recoupment under this Policy is in additon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IMPRACTICABILITY</w:t>
      </w:r>
    </w:p>
    <w:p>
      <w:pPr>
        <w:ind w:right="60"/>
        <w:spacing w:after="0" w:line="239" w:lineRule="auto"/>
        <w:rPr>
          <w:sz w:val="20"/>
          <w:szCs w:val="20"/>
          <w:color w:val="auto"/>
        </w:rPr>
      </w:pPr>
      <w:r>
        <w:rPr>
          <w:rFonts w:ascii="Calibri" w:cs="Calibri" w:eastAsia="Calibri" w:hAnsi="Calibri"/>
          <w:sz w:val="19"/>
          <w:szCs w:val="19"/>
          <w:color w:val="auto"/>
        </w:rPr>
        <w:t>The Compensaton Commitee shall recover any Overpayment in accordance with this Policy except to the extent that the Compensaton Commitee determines such recovery would be impractcable because:</w:t>
      </w:r>
    </w:p>
    <w:p>
      <w:pPr>
        <w:spacing w:after="0" w:line="8" w:lineRule="exact"/>
        <w:rPr>
          <w:sz w:val="20"/>
          <w:szCs w:val="20"/>
          <w:color w:val="auto"/>
        </w:rPr>
      </w:pPr>
    </w:p>
    <w:p>
      <w:pPr>
        <w:ind w:left="1180" w:hanging="550"/>
        <w:spacing w:after="0"/>
        <w:tabs>
          <w:tab w:leader="none" w:pos="1180" w:val="left"/>
        </w:tabs>
        <w:numPr>
          <w:ilvl w:val="0"/>
          <w:numId w:val="63"/>
        </w:numPr>
        <w:rPr>
          <w:rFonts w:ascii="Calibri" w:cs="Calibri" w:eastAsia="Calibri" w:hAnsi="Calibri"/>
          <w:sz w:val="19"/>
          <w:szCs w:val="19"/>
          <w:color w:val="auto"/>
        </w:rPr>
      </w:pPr>
      <w:r>
        <w:rPr>
          <w:rFonts w:ascii="Calibri" w:cs="Calibri" w:eastAsia="Calibri" w:hAnsi="Calibri"/>
          <w:sz w:val="19"/>
          <w:szCs w:val="19"/>
          <w:color w:val="auto"/>
        </w:rPr>
        <w:t>The direct expense paid to a third party to assist in enforcing this Policy would exceed the amount to be recovered;</w:t>
      </w:r>
    </w:p>
    <w:p>
      <w:pPr>
        <w:ind w:left="1180" w:hanging="550"/>
        <w:spacing w:after="0" w:line="233" w:lineRule="auto"/>
        <w:tabs>
          <w:tab w:leader="none" w:pos="1180" w:val="left"/>
        </w:tabs>
        <w:numPr>
          <w:ilvl w:val="0"/>
          <w:numId w:val="63"/>
        </w:numPr>
        <w:rPr>
          <w:rFonts w:ascii="Calibri" w:cs="Calibri" w:eastAsia="Calibri" w:hAnsi="Calibri"/>
          <w:sz w:val="19"/>
          <w:szCs w:val="19"/>
          <w:color w:val="auto"/>
        </w:rPr>
      </w:pPr>
      <w:r>
        <w:rPr>
          <w:rFonts w:ascii="Calibri" w:cs="Calibri" w:eastAsia="Calibri" w:hAnsi="Calibri"/>
          <w:sz w:val="19"/>
          <w:szCs w:val="19"/>
          <w:color w:val="auto"/>
        </w:rPr>
        <w:t>Recovery would violate home country law of the Company where that law was adopted prior to November 28, 2022; or</w:t>
      </w:r>
    </w:p>
    <w:p>
      <w:pPr>
        <w:spacing w:after="0" w:line="6" w:lineRule="exact"/>
        <w:rPr>
          <w:rFonts w:ascii="Calibri" w:cs="Calibri" w:eastAsia="Calibri" w:hAnsi="Calibri"/>
          <w:sz w:val="19"/>
          <w:szCs w:val="19"/>
          <w:color w:val="auto"/>
        </w:rPr>
      </w:pPr>
    </w:p>
    <w:p>
      <w:pPr>
        <w:ind w:right="440" w:firstLine="630"/>
        <w:spacing w:after="0" w:line="236" w:lineRule="auto"/>
        <w:tabs>
          <w:tab w:leader="none" w:pos="1180" w:val="left"/>
        </w:tabs>
        <w:numPr>
          <w:ilvl w:val="0"/>
          <w:numId w:val="63"/>
        </w:numPr>
        <w:rPr>
          <w:rFonts w:ascii="Calibri" w:cs="Calibri" w:eastAsia="Calibri" w:hAnsi="Calibri"/>
          <w:sz w:val="19"/>
          <w:szCs w:val="19"/>
          <w:color w:val="auto"/>
        </w:rPr>
      </w:pPr>
      <w:r>
        <w:rPr>
          <w:rFonts w:ascii="Calibri" w:cs="Calibri" w:eastAsia="Calibri" w:hAnsi="Calibri"/>
          <w:sz w:val="19"/>
          <w:szCs w:val="19"/>
          <w:color w:val="auto"/>
        </w:rPr>
        <w:t>Recovery would likely cause an otherwise tax-qualifed retrement plan, under which benefts are broadly available to employees of the Company, to fail to meet the requirements of 26 U.S.C. 401(a)(13) or 26</w:t>
      </w:r>
    </w:p>
    <w:p>
      <w:pPr>
        <w:spacing w:after="0" w:line="7" w:lineRule="exact"/>
        <w:rPr>
          <w:rFonts w:ascii="Calibri" w:cs="Calibri" w:eastAsia="Calibri" w:hAnsi="Calibri"/>
          <w:sz w:val="19"/>
          <w:szCs w:val="19"/>
          <w:color w:val="auto"/>
        </w:rPr>
      </w:pPr>
    </w:p>
    <w:p>
      <w:pPr>
        <w:spacing w:after="0"/>
        <w:rPr>
          <w:rFonts w:ascii="Calibri" w:cs="Calibri" w:eastAsia="Calibri" w:hAnsi="Calibri"/>
          <w:sz w:val="19"/>
          <w:szCs w:val="19"/>
          <w:color w:val="auto"/>
        </w:rPr>
      </w:pPr>
      <w:r>
        <w:rPr>
          <w:rFonts w:ascii="Calibri" w:cs="Calibri" w:eastAsia="Calibri" w:hAnsi="Calibri"/>
          <w:sz w:val="19"/>
          <w:szCs w:val="19"/>
          <w:color w:val="auto"/>
        </w:rPr>
        <w:t>U.S.C. 411(a) and regulatons thereunder.</w:t>
      </w: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SUCCESSORS</w:t>
      </w:r>
    </w:p>
    <w:p>
      <w:pPr>
        <w:spacing w:after="0" w:line="325" w:lineRule="exact"/>
        <w:rPr>
          <w:sz w:val="20"/>
          <w:szCs w:val="20"/>
          <w:color w:val="auto"/>
        </w:rPr>
      </w:pPr>
    </w:p>
    <w:p>
      <w:pPr>
        <w:ind w:left="20" w:right="400"/>
        <w:spacing w:after="0" w:line="236" w:lineRule="auto"/>
        <w:rPr>
          <w:sz w:val="20"/>
          <w:szCs w:val="20"/>
          <w:color w:val="auto"/>
        </w:rPr>
      </w:pPr>
      <w:r>
        <w:rPr>
          <w:rFonts w:ascii="Calibri" w:cs="Calibri" w:eastAsia="Calibri" w:hAnsi="Calibri"/>
          <w:sz w:val="19"/>
          <w:szCs w:val="19"/>
          <w:color w:val="auto"/>
        </w:rPr>
        <w:t>This Policy shall be binding and enforceable against all Covered Executves and their benefciaries, heirs, executors, administrators or other legal representatves.</w:t>
      </w:r>
    </w:p>
    <w:sectPr>
      <w:pgSz w:w="11900" w:h="16838" w:orient="portrait"/>
      <w:cols w:equalWidth="0" w:num="1">
        <w:col w:w="11040"/>
      </w:cols>
      <w:pgMar w:left="420" w:top="4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lowerRoman"/>
      <w:start w:val="2"/>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5"/>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44">
    <w:nsid w:val="374A3FE6"/>
    <w:multiLevelType w:val="hybridMultilevel"/>
    <w:lvl w:ilvl="0">
      <w:lvlJc w:val="left"/>
      <w:lvlText w:val="(%1)"/>
      <w:numFmt w:val="decimal"/>
      <w:start w:val="1"/>
    </w:lvl>
    <w:lvl w:ilvl="1">
      <w:lvlJc w:val="left"/>
      <w:lvlText w:val="%2."/>
      <w:numFmt w:val="decimal"/>
      <w:start w:val="6"/>
    </w:lvl>
    <w:lvl w:ilvl="2">
      <w:lvlJc w:val="left"/>
      <w:lvlText w:val="%3."/>
      <w:numFmt w:val="lowerLetter"/>
      <w:start w:val="2"/>
    </w:lvl>
  </w:abstractNum>
  <w:abstractNum w:abstractNumId="45">
    <w:nsid w:val="4F4EF0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2"/>
    </w:lvl>
  </w:abstractNum>
  <w:abstractNum w:abstractNumId="47">
    <w:nsid w:val="649BB77C"/>
    <w:multiLevelType w:val="hybridMultilevel"/>
    <w:lvl w:ilvl="0">
      <w:lvlJc w:val="left"/>
      <w:lvlText w:val="%1."/>
      <w:numFmt w:val="decimal"/>
      <w:start w:val="11"/>
    </w:lvl>
    <w:lvl w:ilvl="1">
      <w:lvlJc w:val="left"/>
      <w:lvlText w:val="%2"/>
      <w:numFmt w:val="lowerLetter"/>
      <w:start w:val="1"/>
    </w:lvl>
  </w:abstractNum>
  <w:abstractNum w:abstractNumId="48">
    <w:nsid w:val="275AC794"/>
    <w:multiLevelType w:val="hybridMultilevel"/>
    <w:lvl w:ilvl="0">
      <w:lvlJc w:val="left"/>
      <w:lvlText w:val="%1."/>
      <w:numFmt w:val="decimal"/>
      <w:start w:val="13"/>
    </w:lvl>
  </w:abstractNum>
  <w:abstractNum w:abstractNumId="49">
    <w:nsid w:val="39386575"/>
    <w:multiLevelType w:val="hybridMultilevel"/>
    <w:lvl w:ilvl="0">
      <w:lvlJc w:val="left"/>
      <w:lvlText w:val="%1."/>
      <w:numFmt w:val="decimal"/>
      <w:start w:val="20"/>
    </w:lvl>
    <w:lvl w:ilvl="1">
      <w:lvlJc w:val="left"/>
      <w:lvlText w:val="%2."/>
      <w:numFmt w:val="lowerLetter"/>
      <w:start w:val="1"/>
    </w:lvl>
  </w:abstractNum>
  <w:abstractNum w:abstractNumId="50">
    <w:nsid w:val="1CF10FD8"/>
    <w:multiLevelType w:val="hybridMultilevel"/>
    <w:lvl w:ilvl="0">
      <w:lvlJc w:val="left"/>
      <w:lvlText w:val="(%1)"/>
      <w:numFmt w:val="lowerRoman"/>
      <w:start w:val="2"/>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6"/>
    </w:lvl>
    <w:lvl w:ilvl="1">
      <w:lvlJc w:val="left"/>
      <w:lvlText w:val="%2."/>
      <w:numFmt w:val="lowerLetter"/>
      <w:start w:val="1"/>
    </w:lvl>
  </w:abstractNum>
  <w:abstractNum w:abstractNumId="53">
    <w:nsid w:val="47398C89"/>
    <w:multiLevelType w:val="hybridMultilevel"/>
    <w:lvl w:ilvl="0">
      <w:lvlJc w:val="left"/>
      <w:lvlText w:val="%1."/>
      <w:numFmt w:val="decimal"/>
      <w:start w:val="13"/>
    </w:lvl>
  </w:abstractNum>
  <w:abstractNum w:abstractNumId="54">
    <w:nsid w:val="354FE9F9"/>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55">
    <w:nsid w:val="15B5AF5C"/>
    <w:multiLevelType w:val="hybridMultilevel"/>
    <w:lvl w:ilvl="0">
      <w:lvlJc w:val="left"/>
      <w:lvlText w:val="%1."/>
      <w:numFmt w:val="decimal"/>
      <w:start w:val="1"/>
    </w:lvl>
    <w:lvl w:ilvl="1">
      <w:lvlJc w:val="left"/>
      <w:lvlText w:val="%2."/>
      <w:numFmt w:val="lowerLetter"/>
      <w:start w:val="1"/>
    </w:lvl>
  </w:abstractNum>
  <w:abstractNum w:abstractNumId="56">
    <w:nsid w:val="741226BB"/>
    <w:multiLevelType w:val="hybridMultilevel"/>
    <w:lvl w:ilvl="0">
      <w:lvlJc w:val="left"/>
      <w:lvlText w:val="%1."/>
      <w:numFmt w:val="decimal"/>
      <w:start w:val="1"/>
    </w:lvl>
    <w:lvl w:ilvl="1">
      <w:lvlJc w:val="left"/>
      <w:lvlText w:val="%2."/>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lowerRoman"/>
      <w:start w:val="1"/>
    </w:lvl>
  </w:abstractNum>
  <w:abstractNum w:abstractNumId="60">
    <w:nsid w:val="61574095"/>
    <w:multiLevelType w:val="hybridMultilevel"/>
    <w:lvl w:ilvl="0">
      <w:lvlJc w:val="left"/>
      <w:lvlText w:val="(%1)"/>
      <w:numFmt w:val="lowerRoman"/>
      <w:start w:val="2"/>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jpeg"/><Relationship Id="rId151" Type="http://schemas.openxmlformats.org/officeDocument/2006/relationships/image" Target="media/image122.jpeg"/><Relationship Id="rId152" Type="http://schemas.openxmlformats.org/officeDocument/2006/relationships/image" Target="media/image123.jpe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20" Type="http://schemas.openxmlformats.org/officeDocument/2006/relationships/hyperlink" Target="https://www.sec.gov/Archives/edgar/data/1834376/000110465921033328/tm2037889d18_ex3-1.htm" TargetMode="External"/><Relationship Id="rId121" Type="http://schemas.openxmlformats.org/officeDocument/2006/relationships/hyperlink" Target="https://www.sec.gov/Archives/edgar/data/1834376/000110465921033328/tm2037889d18_ex3-2.htm" TargetMode="External"/><Relationship Id="rId122" Type="http://schemas.openxmlformats.org/officeDocument/2006/relationships/hyperlink" Target="https://www.sec.gov/Archives/edgar/data/1834376/000155837021012679/tmb-20210630xex4d1.htm" TargetMode="External"/><Relationship Id="rId123" Type="http://schemas.openxmlformats.org/officeDocument/2006/relationships/hyperlink" Target="https://www.sec.gov/Archives/edgar/data/1834376/000110465921033328/tm2037889d18_ex4-1.htm" TargetMode="External"/><Relationship Id="rId124" Type="http://schemas.openxmlformats.org/officeDocument/2006/relationships/hyperlink" Target="https://www.sec.gov/Archives/edgar/data/1834376/000110465921033328/tm2037889d18_ex10-1.htm" TargetMode="External"/><Relationship Id="rId125" Type="http://schemas.openxmlformats.org/officeDocument/2006/relationships/hyperlink" Target="https://www.sec.gov/Archives/edgar/data/1834376/000110465921035601/tm2037889d20_ex10-1.htm" TargetMode="External"/><Relationship Id="rId126" Type="http://schemas.openxmlformats.org/officeDocument/2006/relationships/hyperlink" Target="https://www.sec.gov/Archives/edgar/data/1834376/000183437623000017/ex103-innovagexamendment.htm" TargetMode="External"/><Relationship Id="rId127" Type="http://schemas.openxmlformats.org/officeDocument/2006/relationships/hyperlink" Target="https://www.sec.gov/Archives/edgar/data/1834376/000110465921014071/tm2037889d5_ex10-2.htm" TargetMode="External"/><Relationship Id="rId128" Type="http://schemas.openxmlformats.org/officeDocument/2006/relationships/hyperlink" Target="https://www.sec.gov/Archives/edgar/data/1834376/000110465921137649/tm2132692d1_ex10-1.htm" TargetMode="External"/><Relationship Id="rId129" Type="http://schemas.openxmlformats.org/officeDocument/2006/relationships/hyperlink" Target="https://www.sec.gov/Archives/edgar/data/1834376/000110465923097754/tm2325323d1_ex10-1.htm" TargetMode="External"/><Relationship Id="rId131" Type="http://schemas.openxmlformats.org/officeDocument/2006/relationships/hyperlink" Target="https://www.sec.gov/Archives/edgar/data/1834376/000110465923078256/tm2319005d1_ex10-3.htm" TargetMode="External"/><Relationship Id="rId132" Type="http://schemas.openxmlformats.org/officeDocument/2006/relationships/hyperlink" Target="https://www.sec.gov/Archives/edgar/data/1834376/000110465923078256/tm2319005d1_ex10-4.htm" TargetMode="External"/><Relationship Id="rId133" Type="http://schemas.openxmlformats.org/officeDocument/2006/relationships/hyperlink" Target="https://www.sec.gov/Archives/edgar/data/1834376/000110465923078256/tm2319005d1_ex10-1.htm" TargetMode="External"/><Relationship Id="rId134" Type="http://schemas.openxmlformats.org/officeDocument/2006/relationships/hyperlink" Target="https://www.sec.gov/Archives/edgar/data/1834376/000110465923078256/tm2319005d1_ex10-2.htm" TargetMode="External"/><Relationship Id="rId135" Type="http://schemas.openxmlformats.org/officeDocument/2006/relationships/hyperlink" Target="https://www.sec.gov/Archives/edgar/data/1834376/000155837022014380/tmb-20220630xex10d6.htm" TargetMode="External"/><Relationship Id="rId136" Type="http://schemas.openxmlformats.org/officeDocument/2006/relationships/hyperlink" Target="https://www.sec.gov/Archives/edgar/data/1834376/000110465923127341/tm2333148d1_ex10-1.htm" TargetMode="External"/><Relationship Id="rId137" Type="http://schemas.openxmlformats.org/officeDocument/2006/relationships/hyperlink" Target="https://www.sec.gov/Archives/edgar/data/1834376/000110465923027377/tm238090d1_ex10-1.htm" TargetMode="External"/><Relationship Id="rId138" Type="http://schemas.openxmlformats.org/officeDocument/2006/relationships/hyperlink" Target="https://www.sec.gov/Archives/edgar/data/1834376/000155837022014380/tmb-20220630xex10d9.htm" TargetMode="External"/><Relationship Id="rId139" Type="http://schemas.openxmlformats.org/officeDocument/2006/relationships/hyperlink" Target="https://www.sec.gov/Archives/edgar/data/1834376/000110465921032425/tm2037889d8_ex10-1.htm" TargetMode="External"/><Relationship Id="rId140" Type="http://schemas.openxmlformats.org/officeDocument/2006/relationships/hyperlink" Target="https://www.sec.gov/Archives/edgar/data/1834376/000110465921014071/tm2037889d5_ex10-4.htm" TargetMode="External"/><Relationship Id="rId141" Type="http://schemas.openxmlformats.org/officeDocument/2006/relationships/hyperlink" Target="https://www.sec.gov/Archives/edgar/data/1834376/000183437623000017/ex1020-active_84672814x9.htm" TargetMode="External"/><Relationship Id="rId142" Type="http://schemas.openxmlformats.org/officeDocument/2006/relationships/hyperlink" Target="https://www.sec.gov/Archives/edgar/data/1834376/000110465921027152/tm2037889d8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2024-09-10T16:37:17Z</dcterms:created>
  <dcterms:modified xsi:type="dcterms:W3CDTF">2024-09-10T16:37:17Z</dcterms:modified>
</cp:coreProperties>
</file>