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TCO GROUP HOLDINGS,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8950 E. LOWRY BOULEVARD</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DENVER</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80230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InnovAge Holding Corp.</w:t>
              </w:r>
            </w:hyperlink>
            <w:r>
              <w:rPr/>
              <w:t xml:space="preserve"> [ </w:t>
            </w:r>
            <w:r>
              <w:rPr>
                <w:rFonts w:ascii="Times;serif" w:hAnsi="Times;serif"/>
                <w:color w:val="0000FF"/>
                <w:sz w:val="24"/>
                <w:shd w:fill="FFFFFF" w:val="clear"/>
              </w:rPr>
              <w:t>INNV</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10/21/2026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90"/>
        <w:gridCol w:w="901"/>
        <w:gridCol w:w="773"/>
        <w:gridCol w:w="598"/>
        <w:gridCol w:w="338"/>
        <w:gridCol w:w="1135"/>
        <w:gridCol w:w="426"/>
        <w:gridCol w:w="647"/>
        <w:gridCol w:w="1427"/>
        <w:gridCol w:w="962"/>
        <w:gridCol w:w="90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9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0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42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0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9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1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42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0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9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$0.001 par value</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10/21/2026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3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1,500,000</w:t>
            </w:r>
          </w:p>
        </w:tc>
        <w:tc>
          <w:tcPr>
            <w:tcW w:w="42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9.25</w:t>
            </w:r>
          </w:p>
        </w:tc>
        <w:tc>
          <w:tcPr>
            <w:tcW w:w="142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101,076,555</w:t>
            </w:r>
          </w:p>
        </w:tc>
        <w:tc>
          <w:tcPr>
            <w:tcW w:w="96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(2)</w:t>
            </w:r>
          </w:p>
        </w:tc>
        <w:tc>
          <w:tcPr>
            <w:tcW w:w="90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On October 21, 2026, the Reporting Person sold 1,500,000 shares of common stock, par value $0.001, of InnovAge Holding Corp. (the "Issuer") in connection with the underwriters' exercise of their over-allotment option relating to an underwritten public offering pursuant to the Issuer's Registration Statement on Form S-3 (File No. 333-297888).</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Reflects shares of common stock held directly by TCO Group Holdings, L.P. Voting and dispositive power with respect to the common stock held by TCO Group Holdings, L.P. is exercised by a committee of limited partners (the "LP Board"), pursuant to a delegation of authority from its limited partners. The LP Board is currently comprised of Thomas Scully and Sean Traynor (the "WCAS Designees"), and Andrew Cavanna and Pavithra Mahesh (the "Apax Designees"). The LP Board exercises its voting and dispositive power by majority vote, so long as one WCAS Designee and one Apax Designee comprise the majority.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Thomas Scully, President of TCO Group Holdings, L.P.</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10/23/2026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Andrew Cavanna, President of TCO Group Holdings, L.P.</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10/23/2026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44765" TargetMode="External"/><Relationship Id="rId5" Type="http://schemas.openxmlformats.org/officeDocument/2006/relationships/hyperlink" Target="http://www.sec.gov/cgi-bin/browse-edgar?action=getcompany&amp;CIK=000183437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729</Words>
  <Characters>3967</Characters>
  <CharactersWithSpaces>4627</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