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412115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20"/>
        <w:spacing w:after="0" w:line="238" w:lineRule="auto"/>
        <w:rPr>
          <w:sz w:val="20"/>
          <w:szCs w:val="20"/>
          <w:color w:val="auto"/>
        </w:rPr>
      </w:pPr>
      <w:r>
        <w:rPr>
          <w:rFonts w:ascii="Times New Roman" w:cs="Times New Roman" w:eastAsia="Times New Roman" w:hAnsi="Times New Roman"/>
          <w:sz w:val="13"/>
          <w:szCs w:val="13"/>
          <w:b w:val="1"/>
          <w:bCs w:val="1"/>
          <w:color w:val="auto"/>
        </w:rPr>
        <w:t>Washington, D.C. 20549</w:t>
      </w:r>
    </w:p>
    <w:p>
      <w:pPr>
        <w:ind w:left="37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w:t>
      </w:r>
    </w:p>
    <w:p>
      <w:pPr>
        <w:spacing w:after="0" w:line="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2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w:t>
      </w:r>
    </w:p>
    <w:p>
      <w:pPr>
        <w:spacing w:after="0" w:line="4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4" w:lineRule="exact"/>
        <w:rPr>
          <w:sz w:val="24"/>
          <w:szCs w:val="24"/>
          <w:color w:val="auto"/>
        </w:rPr>
      </w:pPr>
    </w:p>
    <w:p>
      <w:pPr>
        <w:ind w:left="4880" w:right="2800" w:hanging="2092"/>
        <w:spacing w:after="0" w:line="241" w:lineRule="auto"/>
        <w:tabs>
          <w:tab w:leader="none" w:pos="3593" w:val="left"/>
        </w:tabs>
        <w:numPr>
          <w:ilvl w:val="0"/>
          <w:numId w:val="1"/>
        </w:numPr>
        <w:rPr>
          <w:rFonts w:ascii="Wingdings" w:cs="Wingdings" w:eastAsia="Wingdings" w:hAnsi="Wingdings"/>
          <w:sz w:val="13"/>
          <w:szCs w:val="13"/>
          <w:b w:val="1"/>
          <w:bCs w:val="1"/>
          <w:color w:val="auto"/>
          <w:highlight w:val="black"/>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3"/>
          <w:szCs w:val="13"/>
          <w:b w:val="1"/>
          <w:bCs w:val="1"/>
          <w:color w:val="auto"/>
        </w:rPr>
        <w:t>For the quarterly period ended December 31, 2024</w:t>
      </w:r>
    </w:p>
    <w:p>
      <w:pPr>
        <w:spacing w:after="0" w:line="33"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52" w:lineRule="exact"/>
        <w:rPr>
          <w:sz w:val="24"/>
          <w:szCs w:val="24"/>
          <w:color w:val="auto"/>
        </w:rPr>
      </w:pPr>
    </w:p>
    <w:p>
      <w:pPr>
        <w:ind w:left="4880" w:right="2800" w:hanging="2084"/>
        <w:spacing w:after="0" w:line="251" w:lineRule="auto"/>
        <w:tabs>
          <w:tab w:leader="none" w:pos="3577" w:val="left"/>
        </w:tabs>
        <w:numPr>
          <w:ilvl w:val="0"/>
          <w:numId w:val="2"/>
        </w:numPr>
        <w:rPr>
          <w:rFonts w:ascii="Wingdings" w:cs="Wingdings" w:eastAsia="Wingdings" w:hAnsi="Wingdings"/>
          <w:sz w:val="13"/>
          <w:szCs w:val="13"/>
          <w:b w:val="1"/>
          <w:bCs w:val="1"/>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tbl>
      <w:tblPr>
        <w:tblLayout w:type="fixed"/>
        <w:tblInd w:w="1860" w:type="dxa"/>
        <w:tblCellMar>
          <w:top w:w="0" w:type="dxa"/>
          <w:left w:w="0" w:type="dxa"/>
          <w:bottom w:w="0" w:type="dxa"/>
          <w:right w:w="0" w:type="dxa"/>
        </w:tblCellMar>
      </w:tblPr>
      <w:tr>
        <w:trPr>
          <w:trHeight w:val="144"/>
        </w:trPr>
        <w:tc>
          <w:tcPr>
            <w:tcW w:w="5880" w:type="dxa"/>
            <w:vAlign w:val="bottom"/>
          </w:tcPr>
          <w:p>
            <w:pPr>
              <w:jc w:val="center"/>
              <w:ind w:left="1616"/>
              <w:spacing w:after="0" w:line="144" w:lineRule="exact"/>
              <w:rPr>
                <w:sz w:val="20"/>
                <w:szCs w:val="20"/>
                <w:color w:val="auto"/>
              </w:rPr>
            </w:pPr>
            <w:r>
              <w:rPr>
                <w:rFonts w:ascii="Times New Roman" w:cs="Times New Roman" w:eastAsia="Times New Roman" w:hAnsi="Times New Roman"/>
                <w:sz w:val="13"/>
                <w:szCs w:val="13"/>
                <w:b w:val="1"/>
                <w:bCs w:val="1"/>
                <w:color w:val="auto"/>
                <w:w w:val="98"/>
              </w:rPr>
              <w:t>For the transition period from _________ to _________</w:t>
            </w:r>
          </w:p>
        </w:tc>
        <w:tc>
          <w:tcPr>
            <w:tcW w:w="1280" w:type="dxa"/>
            <w:vAlign w:val="bottom"/>
          </w:tcPr>
          <w:p>
            <w:pPr>
              <w:spacing w:after="0"/>
              <w:rPr>
                <w:sz w:val="12"/>
                <w:szCs w:val="12"/>
                <w:color w:val="auto"/>
              </w:rPr>
            </w:pPr>
          </w:p>
        </w:tc>
      </w:tr>
      <w:tr>
        <w:trPr>
          <w:trHeight w:val="147"/>
        </w:trPr>
        <w:tc>
          <w:tcPr>
            <w:tcW w:w="5880" w:type="dxa"/>
            <w:vAlign w:val="bottom"/>
          </w:tcPr>
          <w:p>
            <w:pPr>
              <w:jc w:val="center"/>
              <w:ind w:left="1636"/>
              <w:spacing w:after="0" w:line="147" w:lineRule="exact"/>
              <w:rPr>
                <w:sz w:val="20"/>
                <w:szCs w:val="20"/>
                <w:color w:val="auto"/>
              </w:rPr>
            </w:pPr>
            <w:r>
              <w:rPr>
                <w:rFonts w:ascii="Times New Roman" w:cs="Times New Roman" w:eastAsia="Times New Roman" w:hAnsi="Times New Roman"/>
                <w:sz w:val="13"/>
                <w:szCs w:val="13"/>
                <w:b w:val="1"/>
                <w:bCs w:val="1"/>
                <w:color w:val="auto"/>
                <w:w w:val="97"/>
              </w:rPr>
              <w:t>Commission File Number: 001-40159</w:t>
            </w:r>
          </w:p>
        </w:tc>
        <w:tc>
          <w:tcPr>
            <w:tcW w:w="1280" w:type="dxa"/>
            <w:vAlign w:val="bottom"/>
          </w:tcPr>
          <w:p>
            <w:pPr>
              <w:spacing w:after="0"/>
              <w:rPr>
                <w:sz w:val="12"/>
                <w:szCs w:val="12"/>
                <w:color w:val="auto"/>
              </w:rPr>
            </w:pPr>
          </w:p>
        </w:tc>
      </w:tr>
      <w:tr>
        <w:trPr>
          <w:trHeight w:val="184"/>
        </w:trPr>
        <w:tc>
          <w:tcPr>
            <w:tcW w:w="5880" w:type="dxa"/>
            <w:vAlign w:val="bottom"/>
          </w:tcPr>
          <w:p>
            <w:pPr>
              <w:jc w:val="center"/>
              <w:ind w:left="1616"/>
              <w:spacing w:after="0"/>
              <w:rPr>
                <w:sz w:val="20"/>
                <w:szCs w:val="20"/>
                <w:color w:val="auto"/>
              </w:rPr>
            </w:pPr>
            <w:r>
              <w:rPr>
                <w:rFonts w:ascii="Times New Roman" w:cs="Times New Roman" w:eastAsia="Times New Roman" w:hAnsi="Times New Roman"/>
                <w:sz w:val="14"/>
                <w:szCs w:val="14"/>
                <w:color w:val="auto"/>
              </w:rPr>
              <w:t>_______________________________________________________</w:t>
            </w:r>
          </w:p>
        </w:tc>
        <w:tc>
          <w:tcPr>
            <w:tcW w:w="1280" w:type="dxa"/>
            <w:vAlign w:val="bottom"/>
          </w:tcPr>
          <w:p>
            <w:pPr>
              <w:spacing w:after="0"/>
              <w:rPr>
                <w:sz w:val="16"/>
                <w:szCs w:val="16"/>
                <w:color w:val="auto"/>
              </w:rPr>
            </w:pPr>
          </w:p>
        </w:tc>
      </w:tr>
      <w:tr>
        <w:trPr>
          <w:trHeight w:val="900"/>
        </w:trPr>
        <w:tc>
          <w:tcPr>
            <w:tcW w:w="5880" w:type="dxa"/>
            <w:vAlign w:val="bottom"/>
          </w:tcPr>
          <w:p>
            <w:pPr>
              <w:jc w:val="center"/>
              <w:ind w:left="1616"/>
              <w:spacing w:after="0"/>
              <w:rPr>
                <w:sz w:val="20"/>
                <w:szCs w:val="20"/>
                <w:color w:val="auto"/>
              </w:rPr>
            </w:pPr>
            <w:r>
              <w:rPr>
                <w:rFonts w:ascii="Times New Roman" w:cs="Times New Roman" w:eastAsia="Times New Roman" w:hAnsi="Times New Roman"/>
                <w:sz w:val="17"/>
                <w:szCs w:val="17"/>
                <w:b w:val="1"/>
                <w:bCs w:val="1"/>
                <w:color w:val="auto"/>
              </w:rPr>
              <w:t>InnovAge Holding Corp.</w:t>
            </w:r>
          </w:p>
        </w:tc>
        <w:tc>
          <w:tcPr>
            <w:tcW w:w="1280" w:type="dxa"/>
            <w:vAlign w:val="bottom"/>
          </w:tcPr>
          <w:p>
            <w:pPr>
              <w:spacing w:after="0"/>
              <w:rPr>
                <w:sz w:val="24"/>
                <w:szCs w:val="24"/>
                <w:color w:val="auto"/>
              </w:rPr>
            </w:pPr>
          </w:p>
        </w:tc>
      </w:tr>
      <w:tr>
        <w:trPr>
          <w:trHeight w:val="147"/>
        </w:trPr>
        <w:tc>
          <w:tcPr>
            <w:tcW w:w="5880" w:type="dxa"/>
            <w:vAlign w:val="bottom"/>
          </w:tcPr>
          <w:p>
            <w:pPr>
              <w:jc w:val="center"/>
              <w:ind w:left="1636"/>
              <w:spacing w:after="0" w:line="147" w:lineRule="exact"/>
              <w:rPr>
                <w:sz w:val="20"/>
                <w:szCs w:val="20"/>
                <w:color w:val="auto"/>
              </w:rPr>
            </w:pPr>
            <w:r>
              <w:rPr>
                <w:rFonts w:ascii="Times New Roman" w:cs="Times New Roman" w:eastAsia="Times New Roman" w:hAnsi="Times New Roman"/>
                <w:sz w:val="13"/>
                <w:szCs w:val="13"/>
                <w:b w:val="1"/>
                <w:bCs w:val="1"/>
                <w:color w:val="auto"/>
                <w:w w:val="98"/>
              </w:rPr>
              <w:t>(Exact name of registrant as specified in its charter)</w:t>
            </w:r>
          </w:p>
        </w:tc>
        <w:tc>
          <w:tcPr>
            <w:tcW w:w="1280" w:type="dxa"/>
            <w:vAlign w:val="bottom"/>
          </w:tcPr>
          <w:p>
            <w:pPr>
              <w:spacing w:after="0"/>
              <w:rPr>
                <w:sz w:val="12"/>
                <w:szCs w:val="12"/>
                <w:color w:val="auto"/>
              </w:rPr>
            </w:pPr>
          </w:p>
        </w:tc>
      </w:tr>
      <w:tr>
        <w:trPr>
          <w:trHeight w:val="184"/>
        </w:trPr>
        <w:tc>
          <w:tcPr>
            <w:tcW w:w="5880" w:type="dxa"/>
            <w:vAlign w:val="bottom"/>
          </w:tcPr>
          <w:p>
            <w:pPr>
              <w:jc w:val="center"/>
              <w:ind w:left="1616"/>
              <w:spacing w:after="0"/>
              <w:rPr>
                <w:sz w:val="20"/>
                <w:szCs w:val="20"/>
                <w:color w:val="auto"/>
              </w:rPr>
            </w:pPr>
            <w:r>
              <w:rPr>
                <w:rFonts w:ascii="Times New Roman" w:cs="Times New Roman" w:eastAsia="Times New Roman" w:hAnsi="Times New Roman"/>
                <w:sz w:val="14"/>
                <w:szCs w:val="14"/>
                <w:color w:val="auto"/>
              </w:rPr>
              <w:t>_______________________________________________________</w:t>
            </w:r>
          </w:p>
        </w:tc>
        <w:tc>
          <w:tcPr>
            <w:tcW w:w="1280" w:type="dxa"/>
            <w:vAlign w:val="bottom"/>
          </w:tcPr>
          <w:p>
            <w:pPr>
              <w:spacing w:after="0"/>
              <w:rPr>
                <w:sz w:val="16"/>
                <w:szCs w:val="16"/>
                <w:color w:val="auto"/>
              </w:rPr>
            </w:pPr>
          </w:p>
        </w:tc>
      </w:tr>
      <w:tr>
        <w:trPr>
          <w:trHeight w:val="204"/>
        </w:trPr>
        <w:tc>
          <w:tcPr>
            <w:tcW w:w="5880" w:type="dxa"/>
            <w:vAlign w:val="bottom"/>
          </w:tcPr>
          <w:p>
            <w:pPr>
              <w:jc w:val="center"/>
              <w:ind w:right="3876"/>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128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81-0710819</w:t>
            </w:r>
          </w:p>
        </w:tc>
      </w:tr>
      <w:tr>
        <w:trPr>
          <w:trHeight w:val="127"/>
        </w:trPr>
        <w:tc>
          <w:tcPr>
            <w:tcW w:w="5880" w:type="dxa"/>
            <w:vAlign w:val="bottom"/>
          </w:tcPr>
          <w:p>
            <w:pPr>
              <w:jc w:val="center"/>
              <w:ind w:right="3876"/>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280" w:type="dxa"/>
            <w:vAlign w:val="bottom"/>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5880" w:type="dxa"/>
            <w:vAlign w:val="bottom"/>
          </w:tcPr>
          <w:p>
            <w:pPr>
              <w:jc w:val="center"/>
              <w:ind w:right="3896"/>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280" w:type="dxa"/>
            <w:vAlign w:val="bottom"/>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r>
        <w:trPr>
          <w:trHeight w:val="159"/>
        </w:trPr>
        <w:tc>
          <w:tcPr>
            <w:tcW w:w="5880" w:type="dxa"/>
            <w:vAlign w:val="bottom"/>
          </w:tcPr>
          <w:p>
            <w:pPr>
              <w:jc w:val="center"/>
              <w:ind w:right="3896"/>
              <w:spacing w:after="0"/>
              <w:rPr>
                <w:sz w:val="20"/>
                <w:szCs w:val="20"/>
                <w:color w:val="auto"/>
              </w:rPr>
            </w:pPr>
            <w:r>
              <w:rPr>
                <w:rFonts w:ascii="Times New Roman" w:cs="Times New Roman" w:eastAsia="Times New Roman" w:hAnsi="Times New Roman"/>
                <w:sz w:val="11"/>
                <w:szCs w:val="11"/>
                <w:b w:val="1"/>
                <w:bCs w:val="1"/>
                <w:color w:val="auto"/>
              </w:rPr>
              <w:t>8950 E. Lowry Boulevard</w:t>
            </w:r>
          </w:p>
        </w:tc>
        <w:tc>
          <w:tcPr>
            <w:tcW w:w="1280" w:type="dxa"/>
            <w:vAlign w:val="bottom"/>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80230</w:t>
            </w:r>
          </w:p>
        </w:tc>
      </w:tr>
      <w:tr>
        <w:trPr>
          <w:trHeight w:val="117"/>
        </w:trPr>
        <w:tc>
          <w:tcPr>
            <w:tcW w:w="5880" w:type="dxa"/>
            <w:vAlign w:val="bottom"/>
          </w:tcPr>
          <w:p>
            <w:pPr>
              <w:jc w:val="center"/>
              <w:ind w:right="3876"/>
              <w:spacing w:after="0" w:line="117" w:lineRule="exact"/>
              <w:rPr>
                <w:sz w:val="20"/>
                <w:szCs w:val="20"/>
                <w:color w:val="auto"/>
              </w:rPr>
            </w:pPr>
            <w:r>
              <w:rPr>
                <w:rFonts w:ascii="Times New Roman" w:cs="Times New Roman" w:eastAsia="Times New Roman" w:hAnsi="Times New Roman"/>
                <w:sz w:val="11"/>
                <w:szCs w:val="11"/>
                <w:b w:val="1"/>
                <w:bCs w:val="1"/>
                <w:color w:val="auto"/>
              </w:rPr>
              <w:t>Denver, CO</w:t>
            </w:r>
          </w:p>
        </w:tc>
        <w:tc>
          <w:tcPr>
            <w:tcW w:w="1280" w:type="dxa"/>
            <w:vAlign w:val="bottom"/>
          </w:tcPr>
          <w:p>
            <w:pPr>
              <w:jc w:val="center"/>
              <w:ind w:left="103"/>
              <w:spacing w:after="0" w:line="117" w:lineRule="exact"/>
              <w:rPr>
                <w:sz w:val="20"/>
                <w:szCs w:val="20"/>
                <w:color w:val="auto"/>
              </w:rPr>
            </w:pPr>
            <w:r>
              <w:rPr>
                <w:rFonts w:ascii="Times New Roman" w:cs="Times New Roman" w:eastAsia="Times New Roman" w:hAnsi="Times New Roman"/>
                <w:sz w:val="11"/>
                <w:szCs w:val="11"/>
                <w:b w:val="1"/>
                <w:bCs w:val="1"/>
                <w:color w:val="auto"/>
              </w:rPr>
              <w:t>(Zip Code)</w:t>
            </w:r>
          </w:p>
        </w:tc>
      </w:tr>
      <w:tr>
        <w:trPr>
          <w:trHeight w:val="149"/>
        </w:trPr>
        <w:tc>
          <w:tcPr>
            <w:tcW w:w="5880" w:type="dxa"/>
            <w:vAlign w:val="bottom"/>
          </w:tcPr>
          <w:p>
            <w:pPr>
              <w:jc w:val="center"/>
              <w:ind w:right="3876"/>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280" w:type="dxa"/>
            <w:vAlign w:val="bottom"/>
          </w:tcPr>
          <w:p>
            <w:pPr>
              <w:spacing w:after="0"/>
              <w:rPr>
                <w:sz w:val="12"/>
                <w:szCs w:val="12"/>
                <w:color w:val="auto"/>
              </w:rPr>
            </w:pPr>
          </w:p>
        </w:tc>
      </w:tr>
      <w:tr>
        <w:trPr>
          <w:trHeight w:val="261"/>
        </w:trPr>
        <w:tc>
          <w:tcPr>
            <w:tcW w:w="5880" w:type="dxa"/>
            <w:vAlign w:val="bottom"/>
          </w:tcPr>
          <w:p>
            <w:pPr>
              <w:jc w:val="center"/>
              <w:ind w:left="1616"/>
              <w:spacing w:after="0"/>
              <w:rPr>
                <w:sz w:val="20"/>
                <w:szCs w:val="20"/>
                <w:color w:val="auto"/>
              </w:rPr>
            </w:pPr>
            <w:r>
              <w:rPr>
                <w:rFonts w:ascii="Times New Roman" w:cs="Times New Roman" w:eastAsia="Times New Roman" w:hAnsi="Times New Roman"/>
                <w:sz w:val="13"/>
                <w:szCs w:val="13"/>
                <w:b w:val="1"/>
                <w:bCs w:val="1"/>
                <w:color w:val="auto"/>
                <w:w w:val="98"/>
              </w:rPr>
              <w:t>(844) 803-8745</w:t>
            </w:r>
          </w:p>
        </w:tc>
        <w:tc>
          <w:tcPr>
            <w:tcW w:w="1280" w:type="dxa"/>
            <w:vAlign w:val="bottom"/>
          </w:tcPr>
          <w:p>
            <w:pPr>
              <w:spacing w:after="0"/>
              <w:rPr>
                <w:sz w:val="22"/>
                <w:szCs w:val="22"/>
                <w:color w:val="auto"/>
              </w:rPr>
            </w:pPr>
          </w:p>
        </w:tc>
      </w:tr>
      <w:tr>
        <w:trPr>
          <w:trHeight w:val="157"/>
        </w:trPr>
        <w:tc>
          <w:tcPr>
            <w:tcW w:w="5880" w:type="dxa"/>
            <w:vAlign w:val="bottom"/>
          </w:tcPr>
          <w:p>
            <w:pPr>
              <w:jc w:val="center"/>
              <w:ind w:left="1616"/>
              <w:spacing w:after="0"/>
              <w:rPr>
                <w:sz w:val="20"/>
                <w:szCs w:val="20"/>
                <w:color w:val="auto"/>
              </w:rPr>
            </w:pPr>
            <w:r>
              <w:rPr>
                <w:rFonts w:ascii="Times New Roman" w:cs="Times New Roman" w:eastAsia="Times New Roman" w:hAnsi="Times New Roman"/>
                <w:sz w:val="13"/>
                <w:szCs w:val="13"/>
                <w:b w:val="1"/>
                <w:bCs w:val="1"/>
                <w:color w:val="auto"/>
                <w:w w:val="97"/>
              </w:rPr>
              <w:t>(Registrant’s telephone number, including area code)</w:t>
            </w:r>
          </w:p>
        </w:tc>
        <w:tc>
          <w:tcPr>
            <w:tcW w:w="1280" w:type="dxa"/>
            <w:vAlign w:val="bottom"/>
          </w:tcPr>
          <w:p>
            <w:pPr>
              <w:spacing w:after="0"/>
              <w:rPr>
                <w:sz w:val="13"/>
                <w:szCs w:val="13"/>
                <w:color w:val="auto"/>
              </w:rPr>
            </w:pPr>
          </w:p>
        </w:tc>
      </w:tr>
      <w:tr>
        <w:trPr>
          <w:trHeight w:val="184"/>
        </w:trPr>
        <w:tc>
          <w:tcPr>
            <w:tcW w:w="5880" w:type="dxa"/>
            <w:vAlign w:val="bottom"/>
          </w:tcPr>
          <w:p>
            <w:pPr>
              <w:jc w:val="center"/>
              <w:ind w:left="1616"/>
              <w:spacing w:after="0"/>
              <w:rPr>
                <w:sz w:val="20"/>
                <w:szCs w:val="20"/>
                <w:color w:val="auto"/>
              </w:rPr>
            </w:pPr>
            <w:r>
              <w:rPr>
                <w:rFonts w:ascii="Times New Roman" w:cs="Times New Roman" w:eastAsia="Times New Roman" w:hAnsi="Times New Roman"/>
                <w:sz w:val="14"/>
                <w:szCs w:val="14"/>
                <w:color w:val="auto"/>
              </w:rPr>
              <w:t>_______________________________________________________</w:t>
            </w:r>
          </w:p>
        </w:tc>
        <w:tc>
          <w:tcPr>
            <w:tcW w:w="12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2920365</wp:posOffset>
            </wp:positionH>
            <wp:positionV relativeFrom="paragraph">
              <wp:posOffset>-1737360</wp:posOffset>
            </wp:positionV>
            <wp:extent cx="1334135" cy="404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4135" cy="404495"/>
                    </a:xfrm>
                    <a:prstGeom prst="rect">
                      <a:avLst/>
                    </a:prstGeom>
                    <a:noFill/>
                  </pic:spPr>
                </pic:pic>
              </a:graphicData>
            </a:graphic>
          </wp:anchor>
        </w:drawing>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Securities Act:</w:t>
      </w:r>
    </w:p>
    <w:p>
      <w:pPr>
        <w:spacing w:after="0" w:line="53" w:lineRule="exact"/>
        <w:rPr>
          <w:sz w:val="24"/>
          <w:szCs w:val="24"/>
          <w:color w:val="auto"/>
        </w:rPr>
      </w:pPr>
    </w:p>
    <w:tbl>
      <w:tblPr>
        <w:tblLayout w:type="fixed"/>
        <w:tblInd w:w="10" w:type="dxa"/>
        <w:tblCellMar>
          <w:top w:w="0" w:type="dxa"/>
          <w:left w:w="0" w:type="dxa"/>
          <w:bottom w:w="0" w:type="dxa"/>
          <w:right w:w="0" w:type="dxa"/>
        </w:tblCellMar>
      </w:tblPr>
      <w:tr>
        <w:trPr>
          <w:trHeight w:val="179"/>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160"/>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Common Stock, $0.001 par value</w:t>
            </w: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INNV</w:t>
            </w: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The Nasdaq Stock Market LLC (Nasdaq Global Select Market)</w:t>
            </w:r>
          </w:p>
        </w:tc>
      </w:tr>
    </w:tbl>
    <w:p>
      <w:pPr>
        <w:spacing w:after="0" w:line="148"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64"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53" w:lineRule="exact"/>
        <w:rPr>
          <w:sz w:val="24"/>
          <w:szCs w:val="24"/>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0"/>
          </w:cols>
          <w:pgMar w:left="300" w:top="210" w:right="299" w:bottom="1440" w:gutter="0" w:footer="0" w:header="0"/>
        </w:sectPr>
      </w:pPr>
    </w:p>
    <w:p>
      <w:pPr>
        <w:spacing w:after="0" w:line="7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59" w:lineRule="exact"/>
        <w:rPr>
          <w:sz w:val="24"/>
          <w:szCs w:val="24"/>
          <w:color w:val="auto"/>
        </w:rPr>
      </w:pPr>
    </w:p>
    <w:p>
      <w:pPr>
        <w:sectPr>
          <w:pgSz w:w="11900" w:h="16838" w:orient="portrait"/>
          <w:cols w:equalWidth="0" w:num="4">
            <w:col w:w="2600" w:space="720"/>
            <w:col w:w="120" w:space="340"/>
            <w:col w:w="2580" w:space="720"/>
            <w:col w:w="4220"/>
          </w:cols>
          <w:pgMar w:left="300" w:top="210" w:right="2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3"/>
          <w:szCs w:val="13"/>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3"/>
          <w:szCs w:val="13"/>
          <w:b w:val="1"/>
          <w:bCs w:val="1"/>
          <w:color w:val="auto"/>
        </w:rPr>
        <w:t>x</w:t>
      </w:r>
    </w:p>
    <w:p>
      <w:pPr>
        <w:spacing w:after="0" w:line="165" w:lineRule="exact"/>
        <w:rPr>
          <w:sz w:val="24"/>
          <w:szCs w:val="24"/>
          <w:color w:val="auto"/>
        </w:rPr>
      </w:pPr>
    </w:p>
    <w:p>
      <w:pPr>
        <w:sectPr>
          <w:pgSz w:w="11900" w:h="16838" w:orient="portrait"/>
          <w:cols w:equalWidth="0" w:num="6">
            <w:col w:w="2600" w:space="720"/>
            <w:col w:w="120" w:space="340"/>
            <w:col w:w="2580" w:space="720"/>
            <w:col w:w="140" w:space="320"/>
            <w:col w:w="2580" w:space="720"/>
            <w:col w:w="460"/>
          </w:cols>
          <w:pgMar w:left="300" w:top="210" w:right="299" w:bottom="1440" w:gutter="0" w:footer="0" w:header="0"/>
          <w:type w:val="continuous"/>
        </w:sectPr>
      </w:pPr>
    </w:p>
    <w:p>
      <w:pPr>
        <w:ind w:right="20"/>
        <w:spacing w:after="0" w:line="264"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x</w:t>
      </w:r>
    </w:p>
    <w:p>
      <w:pPr>
        <w:spacing w:after="0" w:line="1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As of January 31, 2025, there were 135,243,747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597535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78105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98425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210"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308"/>
        </w:trPr>
        <w:tc>
          <w:tcPr>
            <w:tcW w:w="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0000FF"/>
                <w:w w:val="90"/>
              </w:rPr>
              <w:t>Part I</w:t>
            </w:r>
          </w:p>
        </w:tc>
        <w:tc>
          <w:tcPr>
            <w:tcW w:w="1000" w:type="dxa"/>
            <w:vAlign w:val="bottom"/>
            <w:gridSpan w:val="5"/>
          </w:tcPr>
          <w:p>
            <w:pPr>
              <w:spacing w:after="0"/>
              <w:rPr>
                <w:sz w:val="24"/>
                <w:szCs w:val="24"/>
                <w:color w:val="auto"/>
              </w:rPr>
            </w:pPr>
          </w:p>
        </w:tc>
        <w:tc>
          <w:tcPr>
            <w:tcW w:w="9000" w:type="dxa"/>
            <w:vAlign w:val="bottom"/>
            <w:gridSpan w:val="17"/>
          </w:tcPr>
          <w:p>
            <w:pPr>
              <w:spacing w:after="0"/>
              <w:rPr>
                <w:sz w:val="20"/>
                <w:szCs w:val="20"/>
                <w:color w:val="auto"/>
              </w:rPr>
            </w:pPr>
            <w:r>
              <w:rPr>
                <w:rFonts w:ascii="Times New Roman" w:cs="Times New Roman" w:eastAsia="Times New Roman" w:hAnsi="Times New Roman"/>
                <w:sz w:val="14"/>
                <w:szCs w:val="14"/>
                <w:b w:val="1"/>
                <w:bCs w:val="1"/>
                <w:color w:val="0000FF"/>
              </w:rPr>
              <w:t>Financial Information</w:t>
            </w:r>
          </w:p>
        </w:tc>
        <w:tc>
          <w:tcPr>
            <w:tcW w:w="9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0000FF"/>
                <w:w w:val="80"/>
              </w:rPr>
              <w:t>Item 1.</w:t>
            </w:r>
          </w:p>
        </w:tc>
        <w:tc>
          <w:tcPr>
            <w:tcW w:w="1000" w:type="dxa"/>
            <w:vAlign w:val="bottom"/>
            <w:gridSpan w:val="5"/>
          </w:tcPr>
          <w:p>
            <w:pPr>
              <w:spacing w:after="0"/>
              <w:rPr>
                <w:sz w:val="21"/>
                <w:szCs w:val="21"/>
                <w:color w:val="auto"/>
              </w:rPr>
            </w:pPr>
          </w:p>
        </w:tc>
        <w:tc>
          <w:tcPr>
            <w:tcW w:w="900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Condensed Consolidated Balance Sheets as of December 31, 2024 (Unaudited) and June 30,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3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 for the three and six months ended December 31, 2024 and 2023 (Unaudited)</w:t>
            </w:r>
          </w:p>
        </w:tc>
        <w:tc>
          <w:tcPr>
            <w:tcW w:w="1700" w:type="dxa"/>
            <w:vAlign w:val="bottom"/>
            <w:gridSpan w:val="2"/>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45"/>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Stockholders’ Equity for the three and six months ended December 31, 2024 and 2023 (Unaudited)</w:t>
            </w:r>
          </w:p>
        </w:tc>
        <w:tc>
          <w:tcPr>
            <w:tcW w:w="1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45"/>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for the six months ended December 31, 2024 and 2023 (Unaudited)</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45"/>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 as of December 31, 2024 (Unaudited)</w:t>
            </w:r>
          </w:p>
        </w:tc>
        <w:tc>
          <w:tcPr>
            <w:tcW w:w="1460" w:type="dxa"/>
            <w:vAlign w:val="bottom"/>
            <w:tcBorders>
              <w:top w:val="single" w:sz="8" w:color="0000FF"/>
            </w:tcBorders>
            <w:gridSpan w:val="2"/>
          </w:tcPr>
          <w:p>
            <w:pPr>
              <w:spacing w:after="0"/>
              <w:rPr>
                <w:sz w:val="21"/>
                <w:szCs w:val="21"/>
                <w:color w:val="auto"/>
              </w:rPr>
            </w:pPr>
          </w:p>
        </w:tc>
        <w:tc>
          <w:tcPr>
            <w:tcW w:w="2220" w:type="dxa"/>
            <w:vAlign w:val="bottom"/>
            <w:gridSpan w:val="3"/>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45"/>
        </w:trPr>
        <w:tc>
          <w:tcPr>
            <w:tcW w:w="2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0000FF"/>
                <w:w w:val="80"/>
              </w:rPr>
              <w:t>Item 2.</w:t>
            </w:r>
          </w:p>
        </w:tc>
        <w:tc>
          <w:tcPr>
            <w:tcW w:w="1000" w:type="dxa"/>
            <w:vAlign w:val="bottom"/>
            <w:gridSpan w:val="5"/>
          </w:tcPr>
          <w:p>
            <w:pPr>
              <w:spacing w:after="0"/>
              <w:rPr>
                <w:sz w:val="21"/>
                <w:szCs w:val="21"/>
                <w:color w:val="auto"/>
              </w:rPr>
            </w:pPr>
          </w:p>
        </w:tc>
        <w:tc>
          <w:tcPr>
            <w:tcW w:w="900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45"/>
        </w:trPr>
        <w:tc>
          <w:tcPr>
            <w:tcW w:w="20" w:type="dxa"/>
            <w:vAlign w:val="bottom"/>
          </w:tcPr>
          <w:p>
            <w:pPr>
              <w:spacing w:after="0"/>
              <w:rPr>
                <w:sz w:val="21"/>
                <w:szCs w:val="21"/>
                <w:color w:val="auto"/>
              </w:rPr>
            </w:pPr>
          </w:p>
        </w:tc>
        <w:tc>
          <w:tcPr>
            <w:tcW w:w="3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0"/>
              </w:rPr>
              <w:t>Item 3.</w:t>
            </w:r>
          </w:p>
        </w:tc>
        <w:tc>
          <w:tcPr>
            <w:tcW w:w="60" w:type="dxa"/>
            <w:vAlign w:val="bottom"/>
            <w:tcBorders>
              <w:bottom w:val="single" w:sz="8" w:color="0000FF"/>
            </w:tcBorders>
          </w:tcPr>
          <w:p>
            <w:pPr>
              <w:spacing w:after="0"/>
              <w:rPr>
                <w:sz w:val="21"/>
                <w:szCs w:val="21"/>
                <w:color w:val="auto"/>
              </w:rPr>
            </w:pPr>
          </w:p>
        </w:tc>
        <w:tc>
          <w:tcPr>
            <w:tcW w:w="940" w:type="dxa"/>
            <w:vAlign w:val="bottom"/>
            <w:gridSpan w:val="4"/>
          </w:tcPr>
          <w:p>
            <w:pPr>
              <w:spacing w:after="0"/>
              <w:rPr>
                <w:sz w:val="21"/>
                <w:szCs w:val="21"/>
                <w:color w:val="auto"/>
              </w:rPr>
            </w:pPr>
          </w:p>
        </w:tc>
        <w:tc>
          <w:tcPr>
            <w:tcW w:w="344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tcPr>
          <w:p>
            <w:pPr>
              <w:spacing w:after="0"/>
              <w:rPr>
                <w:sz w:val="21"/>
                <w:szCs w:val="21"/>
                <w:color w:val="auto"/>
              </w:rPr>
            </w:pPr>
          </w:p>
        </w:tc>
        <w:tc>
          <w:tcPr>
            <w:tcW w:w="3920" w:type="dxa"/>
            <w:vAlign w:val="bottom"/>
            <w:gridSpan w:val="6"/>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45"/>
        </w:trPr>
        <w:tc>
          <w:tcPr>
            <w:tcW w:w="20" w:type="dxa"/>
            <w:vAlign w:val="bottom"/>
          </w:tcPr>
          <w:p>
            <w:pPr>
              <w:spacing w:after="0"/>
              <w:rPr>
                <w:sz w:val="21"/>
                <w:szCs w:val="21"/>
                <w:color w:val="auto"/>
              </w:rPr>
            </w:pPr>
          </w:p>
        </w:tc>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0"/>
              </w:rPr>
              <w:t>Item 4.</w:t>
            </w:r>
          </w:p>
        </w:tc>
        <w:tc>
          <w:tcPr>
            <w:tcW w:w="1000" w:type="dxa"/>
            <w:vAlign w:val="bottom"/>
            <w:gridSpan w:val="5"/>
          </w:tcPr>
          <w:p>
            <w:pPr>
              <w:spacing w:after="0"/>
              <w:rPr>
                <w:sz w:val="21"/>
                <w:szCs w:val="21"/>
                <w:color w:val="auto"/>
              </w:rPr>
            </w:pPr>
          </w:p>
        </w:tc>
        <w:tc>
          <w:tcPr>
            <w:tcW w:w="14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7600" w:type="dxa"/>
            <w:vAlign w:val="bottom"/>
            <w:gridSpan w:val="10"/>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45"/>
        </w:trPr>
        <w:tc>
          <w:tcPr>
            <w:tcW w:w="20" w:type="dxa"/>
            <w:vAlign w:val="bottom"/>
          </w:tcPr>
          <w:p>
            <w:pPr>
              <w:spacing w:after="0"/>
              <w:rPr>
                <w:sz w:val="21"/>
                <w:szCs w:val="21"/>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w w:val="97"/>
              </w:rPr>
              <w:t>Part II</w:t>
            </w:r>
          </w:p>
        </w:tc>
        <w:tc>
          <w:tcPr>
            <w:tcW w:w="940" w:type="dxa"/>
            <w:vAlign w:val="bottom"/>
            <w:gridSpan w:val="4"/>
          </w:tcPr>
          <w:p>
            <w:pPr>
              <w:spacing w:after="0"/>
              <w:rPr>
                <w:sz w:val="21"/>
                <w:szCs w:val="21"/>
                <w:color w:val="auto"/>
              </w:rPr>
            </w:pPr>
          </w:p>
        </w:tc>
        <w:tc>
          <w:tcPr>
            <w:tcW w:w="9000" w:type="dxa"/>
            <w:vAlign w:val="bottom"/>
            <w:gridSpan w:val="17"/>
          </w:tcPr>
          <w:p>
            <w:pPr>
              <w:spacing w:after="0"/>
              <w:rPr>
                <w:sz w:val="20"/>
                <w:szCs w:val="20"/>
                <w:color w:val="auto"/>
              </w:rPr>
            </w:pPr>
            <w:r>
              <w:rPr>
                <w:rFonts w:ascii="Times New Roman" w:cs="Times New Roman" w:eastAsia="Times New Roman" w:hAnsi="Times New Roman"/>
                <w:sz w:val="14"/>
                <w:szCs w:val="14"/>
                <w:b w:val="1"/>
                <w:bCs w:val="1"/>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5"/>
        </w:trPr>
        <w:tc>
          <w:tcPr>
            <w:tcW w:w="20" w:type="dxa"/>
            <w:vAlign w:val="bottom"/>
          </w:tcPr>
          <w:p>
            <w:pPr>
              <w:spacing w:after="0"/>
              <w:rPr>
                <w:sz w:val="21"/>
                <w:szCs w:val="21"/>
                <w:color w:val="auto"/>
              </w:rPr>
            </w:pPr>
          </w:p>
        </w:tc>
        <w:tc>
          <w:tcPr>
            <w:tcW w:w="3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0"/>
              </w:rPr>
              <w:t>Item 1.</w:t>
            </w:r>
          </w:p>
        </w:tc>
        <w:tc>
          <w:tcPr>
            <w:tcW w:w="60" w:type="dxa"/>
            <w:vAlign w:val="bottom"/>
            <w:tcBorders>
              <w:top w:val="single" w:sz="8" w:color="0000FF"/>
            </w:tcBorders>
          </w:tcPr>
          <w:p>
            <w:pPr>
              <w:spacing w:after="0"/>
              <w:rPr>
                <w:sz w:val="21"/>
                <w:szCs w:val="21"/>
                <w:color w:val="auto"/>
              </w:rPr>
            </w:pPr>
          </w:p>
        </w:tc>
        <w:tc>
          <w:tcPr>
            <w:tcW w:w="940" w:type="dxa"/>
            <w:vAlign w:val="bottom"/>
            <w:gridSpan w:val="4"/>
          </w:tcPr>
          <w:p>
            <w:pPr>
              <w:spacing w:after="0"/>
              <w:rPr>
                <w:sz w:val="21"/>
                <w:szCs w:val="21"/>
                <w:color w:val="auto"/>
              </w:rPr>
            </w:pPr>
          </w:p>
        </w:tc>
        <w:tc>
          <w:tcPr>
            <w:tcW w:w="10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80" w:type="dxa"/>
            <w:vAlign w:val="bottom"/>
            <w:tcBorders>
              <w:top w:val="single" w:sz="8" w:color="0000FF"/>
            </w:tcBorders>
          </w:tcPr>
          <w:p>
            <w:pPr>
              <w:spacing w:after="0"/>
              <w:rPr>
                <w:sz w:val="21"/>
                <w:szCs w:val="21"/>
                <w:color w:val="auto"/>
              </w:rPr>
            </w:pPr>
          </w:p>
        </w:tc>
        <w:tc>
          <w:tcPr>
            <w:tcW w:w="7860" w:type="dxa"/>
            <w:vAlign w:val="bottom"/>
            <w:gridSpan w:val="12"/>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5"/>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1A.</w:t>
            </w:r>
          </w:p>
        </w:tc>
        <w:tc>
          <w:tcPr>
            <w:tcW w:w="900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
        </w:trPr>
        <w:tc>
          <w:tcPr>
            <w:tcW w:w="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0000FF"/>
                <w:w w:val="80"/>
              </w:rPr>
              <w:t>Item 2.</w:t>
            </w:r>
          </w:p>
        </w:tc>
        <w:tc>
          <w:tcPr>
            <w:tcW w:w="140" w:type="dxa"/>
            <w:vAlign w:val="bottom"/>
            <w:gridSpan w:val="2"/>
          </w:tcPr>
          <w:p>
            <w:pPr>
              <w:spacing w:after="0"/>
              <w:rPr>
                <w:sz w:val="21"/>
                <w:szCs w:val="21"/>
                <w:color w:val="auto"/>
              </w:rPr>
            </w:pPr>
          </w:p>
        </w:tc>
        <w:tc>
          <w:tcPr>
            <w:tcW w:w="860" w:type="dxa"/>
            <w:vAlign w:val="bottom"/>
            <w:gridSpan w:val="3"/>
          </w:tcPr>
          <w:p>
            <w:pPr>
              <w:spacing w:after="0"/>
              <w:rPr>
                <w:sz w:val="21"/>
                <w:szCs w:val="21"/>
                <w:color w:val="auto"/>
              </w:rPr>
            </w:pPr>
          </w:p>
        </w:tc>
        <w:tc>
          <w:tcPr>
            <w:tcW w:w="900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5"/>
        </w:trPr>
        <w:tc>
          <w:tcPr>
            <w:tcW w:w="20" w:type="dxa"/>
            <w:vAlign w:val="bottom"/>
          </w:tcPr>
          <w:p>
            <w:pPr>
              <w:spacing w:after="0"/>
              <w:rPr>
                <w:sz w:val="21"/>
                <w:szCs w:val="21"/>
                <w:color w:val="auto"/>
              </w:rPr>
            </w:pPr>
          </w:p>
        </w:tc>
        <w:tc>
          <w:tcPr>
            <w:tcW w:w="3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0"/>
              </w:rPr>
              <w:t>Item 3.</w:t>
            </w:r>
          </w:p>
        </w:tc>
        <w:tc>
          <w:tcPr>
            <w:tcW w:w="1000" w:type="dxa"/>
            <w:vAlign w:val="bottom"/>
            <w:gridSpan w:val="5"/>
          </w:tcPr>
          <w:p>
            <w:pPr>
              <w:spacing w:after="0"/>
              <w:rPr>
                <w:sz w:val="21"/>
                <w:szCs w:val="21"/>
                <w:color w:val="auto"/>
              </w:rPr>
            </w:pPr>
          </w:p>
        </w:tc>
        <w:tc>
          <w:tcPr>
            <w:tcW w:w="19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520" w:type="dxa"/>
            <w:vAlign w:val="bottom"/>
            <w:tcBorders>
              <w:top w:val="single" w:sz="8" w:color="0000FF"/>
            </w:tcBorders>
          </w:tcPr>
          <w:p>
            <w:pPr>
              <w:spacing w:after="0"/>
              <w:rPr>
                <w:sz w:val="21"/>
                <w:szCs w:val="21"/>
                <w:color w:val="auto"/>
              </w:rPr>
            </w:pPr>
          </w:p>
        </w:tc>
        <w:tc>
          <w:tcPr>
            <w:tcW w:w="5580" w:type="dxa"/>
            <w:vAlign w:val="bottom"/>
            <w:gridSpan w:val="8"/>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5"/>
        </w:trPr>
        <w:tc>
          <w:tcPr>
            <w:tcW w:w="20" w:type="dxa"/>
            <w:vAlign w:val="bottom"/>
          </w:tcPr>
          <w:p>
            <w:pPr>
              <w:spacing w:after="0"/>
              <w:rPr>
                <w:sz w:val="21"/>
                <w:szCs w:val="21"/>
                <w:color w:val="auto"/>
              </w:rPr>
            </w:pPr>
          </w:p>
        </w:tc>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Item 4.</w:t>
            </w:r>
          </w:p>
        </w:tc>
        <w:tc>
          <w:tcPr>
            <w:tcW w:w="760" w:type="dxa"/>
            <w:vAlign w:val="bottom"/>
            <w:gridSpan w:val="2"/>
          </w:tcPr>
          <w:p>
            <w:pPr>
              <w:spacing w:after="0"/>
              <w:rPr>
                <w:sz w:val="21"/>
                <w:szCs w:val="21"/>
                <w:color w:val="auto"/>
              </w:rPr>
            </w:pPr>
          </w:p>
        </w:tc>
        <w:tc>
          <w:tcPr>
            <w:tcW w:w="14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7600" w:type="dxa"/>
            <w:vAlign w:val="bottom"/>
            <w:gridSpan w:val="10"/>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5"/>
        </w:trPr>
        <w:tc>
          <w:tcPr>
            <w:tcW w:w="2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0000FF"/>
                <w:w w:val="80"/>
              </w:rPr>
              <w:t>Item 5.</w:t>
            </w:r>
          </w:p>
        </w:tc>
        <w:tc>
          <w:tcPr>
            <w:tcW w:w="1000" w:type="dxa"/>
            <w:vAlign w:val="bottom"/>
            <w:gridSpan w:val="5"/>
          </w:tcPr>
          <w:p>
            <w:pPr>
              <w:spacing w:after="0"/>
              <w:rPr>
                <w:sz w:val="21"/>
                <w:szCs w:val="21"/>
                <w:color w:val="auto"/>
              </w:rPr>
            </w:pPr>
          </w:p>
        </w:tc>
        <w:tc>
          <w:tcPr>
            <w:tcW w:w="900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45"/>
        </w:trPr>
        <w:tc>
          <w:tcPr>
            <w:tcW w:w="20" w:type="dxa"/>
            <w:vAlign w:val="bottom"/>
          </w:tcPr>
          <w:p>
            <w:pPr>
              <w:spacing w:after="0"/>
              <w:rPr>
                <w:sz w:val="21"/>
                <w:szCs w:val="21"/>
                <w:color w:val="auto"/>
              </w:rPr>
            </w:pPr>
          </w:p>
        </w:tc>
        <w:tc>
          <w:tcPr>
            <w:tcW w:w="3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0"/>
              </w:rPr>
              <w:t>Item 6.</w:t>
            </w:r>
          </w:p>
        </w:tc>
        <w:tc>
          <w:tcPr>
            <w:tcW w:w="1000" w:type="dxa"/>
            <w:vAlign w:val="bottom"/>
            <w:gridSpan w:val="5"/>
          </w:tcPr>
          <w:p>
            <w:pPr>
              <w:spacing w:after="0"/>
              <w:rPr>
                <w:sz w:val="21"/>
                <w:szCs w:val="21"/>
                <w:color w:val="auto"/>
              </w:rPr>
            </w:pPr>
          </w:p>
        </w:tc>
        <w:tc>
          <w:tcPr>
            <w:tcW w:w="4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Exhibits</w:t>
            </w:r>
          </w:p>
        </w:tc>
        <w:tc>
          <w:tcPr>
            <w:tcW w:w="560" w:type="dxa"/>
            <w:vAlign w:val="bottom"/>
            <w:tcBorders>
              <w:top w:val="single" w:sz="8" w:color="0000FF"/>
            </w:tcBorders>
            <w:gridSpan w:val="2"/>
          </w:tcPr>
          <w:p>
            <w:pPr>
              <w:spacing w:after="0"/>
              <w:rPr>
                <w:sz w:val="21"/>
                <w:szCs w:val="21"/>
                <w:color w:val="auto"/>
              </w:rPr>
            </w:pPr>
          </w:p>
        </w:tc>
        <w:tc>
          <w:tcPr>
            <w:tcW w:w="7960" w:type="dxa"/>
            <w:vAlign w:val="bottom"/>
            <w:gridSpan w:val="14"/>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45"/>
        </w:trPr>
        <w:tc>
          <w:tcPr>
            <w:tcW w:w="20" w:type="dxa"/>
            <w:vAlign w:val="bottom"/>
          </w:tcPr>
          <w:p>
            <w:pPr>
              <w:spacing w:after="0"/>
              <w:rPr>
                <w:sz w:val="21"/>
                <w:szCs w:val="21"/>
                <w:color w:val="auto"/>
              </w:rPr>
            </w:pPr>
          </w:p>
        </w:tc>
        <w:tc>
          <w:tcPr>
            <w:tcW w:w="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Exhibit Index</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45"/>
        </w:trPr>
        <w:tc>
          <w:tcPr>
            <w:tcW w:w="20" w:type="dxa"/>
            <w:vAlign w:val="bottom"/>
          </w:tcPr>
          <w:p>
            <w:pPr>
              <w:spacing w:after="0"/>
              <w:rPr>
                <w:sz w:val="21"/>
                <w:szCs w:val="21"/>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722"/>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80" w:type="dxa"/>
            <w:vAlign w:val="bottom"/>
            <w:gridSpan w:val="11"/>
          </w:tcPr>
          <w:p>
            <w:pPr>
              <w:ind w:left="422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InnovAge Holding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Cautionary Note on Forward-Looking Statements</w:t>
      </w:r>
    </w:p>
    <w:p>
      <w:pPr>
        <w:spacing w:after="0" w:line="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212529"/>
        </w:rPr>
        <w:t xml:space="preserve">Throughout this Quarterly Report on Form 10-Q, we make “forward-looking statements” within the meaning of the U.S. Private Securities Litigation Reform Act of </w:t>
      </w:r>
      <w:r>
        <w:rPr>
          <w:rFonts w:ascii="Times New Roman" w:cs="Times New Roman" w:eastAsia="Times New Roman" w:hAnsi="Times New Roman"/>
          <w:sz w:val="14"/>
          <w:szCs w:val="14"/>
          <w:color w:val="000000"/>
        </w:rPr>
        <w:t>1995, Section 27A of the</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Securities Act of 1933, as amended (the “Securities Act”) and Section 21E of the Securities Exchange Act of 1934, as amended (the “Exchange Act”). This Quarterly Report contains forward-looking statements that are subject to risks and uncertainties. All statements other than statements of historical fact included in this Quarterly Report on Form 10-Q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147" w:lineRule="exact"/>
        <w:rPr>
          <w:sz w:val="20"/>
          <w:szCs w:val="20"/>
          <w:color w:val="auto"/>
        </w:rPr>
      </w:pPr>
    </w:p>
    <w:p>
      <w:pPr>
        <w:ind w:left="520" w:hanging="260"/>
        <w:spacing w:after="0" w:line="26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viability of our growth strategy, including our ability to obtain licenses to open our de novo centers in Downey and Bakersfield, California, and our ability to ramp up our de novo centers in Florida;</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successfully complete and integrate acquisitions, joint ventures and strategic partnerships;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participants and retain existing participants and grow our revenue throughout our new and existing centers;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our business from ongoing macroeconomic related challenges, including labor shortages, labor competition and inflation;</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periodic inspections, reviews, audits and investigations under the federal and state government programs, and our ability to sufficiently cure any deficiencies identified by the respective federal and state government programs;</w:t>
      </w: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adverse impact of inspections, reviews, audits, investigations, legal proceedings, enforcement actions and litigation, including the current civil investigative demands initiated by federal and state agencies, as well as the litigation and other proceedings initiated by, or on behalf, of our stockholders;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the cost of providing services will exceed our compensation under the Program of All Inclusive Care for the Elderly (“PACE”);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increased costs and expenditures in the future and our inability to execute or realize the benefits of our clinical value initiatives and operational value initiatives;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revenues and operations upon a limited number of government payors;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our submissions to government payors may contain inaccurate or unsupportable information, including regarding risk adjustment scores of participants;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our business of renegotiation, non-renewal or termination of capitation agreements with government payors;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state and federal efforts to reduce healthcare spending;</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concentration of our presence in Colorado;</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in the healthcare industry, including as a result of new or growing market participants;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difficulty to predict our future results, which could cause such results to fall below any guidance we provide;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our senior management team and other key employees;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failures by our suppliers or limitations on our ability to access new technology or medical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our operations effectively, execute our business plan, maintain effective levels of service and participant satisfaction and adequately address competitive challenges;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 presence in new geographic markets;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our business of security breaches, loss of data or other disruptions causing the compromise of sensitive information or preventing us from accessing critical information;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accurately estimate incurred but not reported medical expense or the risk scores of our participants;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our business of the termination of our leases, increases in rent or inability to renew or extend leases;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 pandemic, epidemic or outbreak of an infectious disease, such as COVID-19, as well as weather and other factors beyond our control;</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76" w:lineRule="exact"/>
        <w:rPr>
          <w:sz w:val="20"/>
          <w:szCs w:val="20"/>
          <w:color w:val="auto"/>
        </w:rPr>
      </w:pPr>
    </w:p>
    <w:p>
      <w:pPr>
        <w:jc w:val="both"/>
        <w:ind w:left="520" w:hanging="260"/>
        <w:spacing w:after="0" w:line="26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and other privacy laws and regulations in the healthcare industry;</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status as a “controlled company”;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our share repurchase program;</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enhanced requirements of being a public company;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our business of disruptions in our disaster recovery systems or business continuity planning; and</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disclosed in the section entitled “Risk Factors” in our Annual Report for the year ended June 30, 2024 filed with the Securities and Exchange Commission (the “SEC”) on September 10, 2024 ("2024 10-K"), and our subsequent filings with the SEC.</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212529"/>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212529"/>
        </w:rPr>
        <w:t>Unless otherwise specified or unless the context requires otherwise, all references in this Quarterly Report on Form 10-Q to “InnovAge,” “the Company,” “we,” “us,” and “our,” or similar references, refer to InnovAge Holding Corp. and our consolidated subsidiaries.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 I —FINANCIAL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INNOVAGE HOLDING CORP. AND SUBSIDIARIES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Pr>
          <w:p>
            <w:pPr>
              <w:spacing w:after="0"/>
              <w:rPr>
                <w:sz w:val="12"/>
                <w:szCs w:val="12"/>
                <w:color w:val="auto"/>
              </w:rPr>
            </w:pPr>
          </w:p>
        </w:tc>
        <w:tc>
          <w:tcPr>
            <w:tcW w:w="1200" w:type="dxa"/>
            <w:vAlign w:val="bottom"/>
          </w:tcPr>
          <w:p>
            <w:pPr>
              <w:jc w:val="right"/>
              <w:ind w:right="466"/>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6"/>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30"/>
        </w:trPr>
        <w:tc>
          <w:tcPr>
            <w:tcW w:w="82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Assets</w:t>
            </w: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2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Current Assets</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46,078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56,946</w:t>
            </w:r>
          </w:p>
        </w:tc>
        <w:tc>
          <w:tcPr>
            <w:tcW w:w="0" w:type="dxa"/>
            <w:vAlign w:val="bottom"/>
          </w:tcPr>
          <w:p>
            <w:pPr>
              <w:spacing w:after="0"/>
              <w:rPr>
                <w:sz w:val="1"/>
                <w:szCs w:val="1"/>
                <w:color w:val="auto"/>
              </w:rPr>
            </w:pPr>
          </w:p>
        </w:tc>
      </w:tr>
      <w:tr>
        <w:trPr>
          <w:trHeight w:val="144"/>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Short-term investments</w:t>
            </w: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40,775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45,833</w:t>
            </w:r>
          </w:p>
        </w:tc>
        <w:tc>
          <w:tcPr>
            <w:tcW w:w="0" w:type="dxa"/>
            <w:vAlign w:val="bottom"/>
          </w:tcPr>
          <w:p>
            <w:pPr>
              <w:spacing w:after="0"/>
              <w:rPr>
                <w:sz w:val="1"/>
                <w:szCs w:val="1"/>
                <w:color w:val="auto"/>
              </w:rPr>
            </w:pPr>
          </w:p>
        </w:tc>
      </w:tr>
      <w:tr>
        <w:trPr>
          <w:trHeight w:val="154"/>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Restricted cash</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44"/>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Accounts receivable, net of allowance ($756 – December 31, 2024 and $6,729 – June 30, 2024)</w:t>
            </w: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49,759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48,106</w:t>
            </w:r>
          </w:p>
        </w:tc>
        <w:tc>
          <w:tcPr>
            <w:tcW w:w="0" w:type="dxa"/>
            <w:vAlign w:val="bottom"/>
          </w:tcPr>
          <w:p>
            <w:pPr>
              <w:spacing w:after="0"/>
              <w:rPr>
                <w:sz w:val="1"/>
                <w:szCs w:val="1"/>
                <w:color w:val="auto"/>
              </w:rPr>
            </w:pPr>
          </w:p>
        </w:tc>
      </w:tr>
      <w:tr>
        <w:trPr>
          <w:trHeight w:val="154"/>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Prepaid expenses</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28,003</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18,919</w:t>
            </w:r>
          </w:p>
        </w:tc>
        <w:tc>
          <w:tcPr>
            <w:tcW w:w="0" w:type="dxa"/>
            <w:vAlign w:val="bottom"/>
          </w:tcPr>
          <w:p>
            <w:pPr>
              <w:spacing w:after="0"/>
              <w:rPr>
                <w:sz w:val="1"/>
                <w:szCs w:val="1"/>
                <w:color w:val="auto"/>
              </w:rPr>
            </w:pPr>
          </w:p>
        </w:tc>
      </w:tr>
      <w:tr>
        <w:trPr>
          <w:trHeight w:val="144"/>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Income tax receivable</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3,324</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3,324</w:t>
            </w:r>
          </w:p>
        </w:tc>
        <w:tc>
          <w:tcPr>
            <w:tcW w:w="0" w:type="dxa"/>
            <w:vAlign w:val="bottom"/>
          </w:tcPr>
          <w:p>
            <w:pPr>
              <w:spacing w:after="0"/>
              <w:rPr>
                <w:sz w:val="1"/>
                <w:szCs w:val="1"/>
                <w:color w:val="auto"/>
              </w:rPr>
            </w:pPr>
          </w:p>
        </w:tc>
      </w:tr>
      <w:tr>
        <w:trPr>
          <w:trHeight w:val="144"/>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current assets</w:t>
            </w:r>
          </w:p>
        </w:tc>
        <w:tc>
          <w:tcPr>
            <w:tcW w:w="22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167,952</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173,142</w:t>
            </w:r>
          </w:p>
        </w:tc>
        <w:tc>
          <w:tcPr>
            <w:tcW w:w="0" w:type="dxa"/>
            <w:vAlign w:val="bottom"/>
          </w:tcPr>
          <w:p>
            <w:pPr>
              <w:spacing w:after="0"/>
              <w:rPr>
                <w:sz w:val="1"/>
                <w:szCs w:val="1"/>
                <w:color w:val="auto"/>
              </w:rPr>
            </w:pPr>
          </w:p>
        </w:tc>
      </w:tr>
      <w:tr>
        <w:trPr>
          <w:trHeight w:val="134"/>
        </w:trPr>
        <w:tc>
          <w:tcPr>
            <w:tcW w:w="82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Noncurrent Assets</w:t>
            </w: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179,024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193,022</w:t>
            </w:r>
          </w:p>
        </w:tc>
        <w:tc>
          <w:tcPr>
            <w:tcW w:w="0" w:type="dxa"/>
            <w:vAlign w:val="bottom"/>
          </w:tcPr>
          <w:p>
            <w:pPr>
              <w:spacing w:after="0"/>
              <w:rPr>
                <w:sz w:val="1"/>
                <w:szCs w:val="1"/>
                <w:color w:val="auto"/>
              </w:rPr>
            </w:pPr>
          </w:p>
        </w:tc>
      </w:tr>
      <w:tr>
        <w:trPr>
          <w:trHeight w:val="144"/>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Operating lease assets</w:t>
            </w: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25,293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28,416</w:t>
            </w:r>
          </w:p>
        </w:tc>
        <w:tc>
          <w:tcPr>
            <w:tcW w:w="0" w:type="dxa"/>
            <w:vAlign w:val="bottom"/>
          </w:tcPr>
          <w:p>
            <w:pPr>
              <w:spacing w:after="0"/>
              <w:rPr>
                <w:sz w:val="1"/>
                <w:szCs w:val="1"/>
                <w:color w:val="auto"/>
              </w:rPr>
            </w:pPr>
          </w:p>
        </w:tc>
      </w:tr>
      <w:tr>
        <w:trPr>
          <w:trHeight w:val="154"/>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Investments</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2,645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2,645</w:t>
            </w:r>
          </w:p>
        </w:tc>
        <w:tc>
          <w:tcPr>
            <w:tcW w:w="0" w:type="dxa"/>
            <w:vAlign w:val="bottom"/>
          </w:tcPr>
          <w:p>
            <w:pPr>
              <w:spacing w:after="0"/>
              <w:rPr>
                <w:sz w:val="1"/>
                <w:szCs w:val="1"/>
                <w:color w:val="auto"/>
              </w:rPr>
            </w:pPr>
          </w:p>
        </w:tc>
      </w:tr>
      <w:tr>
        <w:trPr>
          <w:trHeight w:val="144"/>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Deposits and other</w:t>
            </w: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5,713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5,949</w:t>
            </w:r>
          </w:p>
        </w:tc>
        <w:tc>
          <w:tcPr>
            <w:tcW w:w="0" w:type="dxa"/>
            <w:vAlign w:val="bottom"/>
          </w:tcPr>
          <w:p>
            <w:pPr>
              <w:spacing w:after="0"/>
              <w:rPr>
                <w:sz w:val="1"/>
                <w:szCs w:val="1"/>
                <w:color w:val="auto"/>
              </w:rPr>
            </w:pPr>
          </w:p>
        </w:tc>
      </w:tr>
      <w:tr>
        <w:trPr>
          <w:trHeight w:val="154"/>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Goodwill</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139,949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139,949</w:t>
            </w:r>
          </w:p>
        </w:tc>
        <w:tc>
          <w:tcPr>
            <w:tcW w:w="0" w:type="dxa"/>
            <w:vAlign w:val="bottom"/>
          </w:tcPr>
          <w:p>
            <w:pPr>
              <w:spacing w:after="0"/>
              <w:rPr>
                <w:sz w:val="1"/>
                <w:szCs w:val="1"/>
                <w:color w:val="auto"/>
              </w:rPr>
            </w:pPr>
          </w:p>
        </w:tc>
      </w:tr>
      <w:tr>
        <w:trPr>
          <w:trHeight w:val="144"/>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Other intangible assets, net</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4,208</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4,538</w:t>
            </w:r>
          </w:p>
        </w:tc>
        <w:tc>
          <w:tcPr>
            <w:tcW w:w="0" w:type="dxa"/>
            <w:vAlign w:val="bottom"/>
          </w:tcPr>
          <w:p>
            <w:pPr>
              <w:spacing w:after="0"/>
              <w:rPr>
                <w:sz w:val="1"/>
                <w:szCs w:val="1"/>
                <w:color w:val="auto"/>
              </w:rPr>
            </w:pPr>
          </w:p>
        </w:tc>
      </w:tr>
      <w:tr>
        <w:trPr>
          <w:trHeight w:val="139"/>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noncurrent assets</w:t>
            </w:r>
          </w:p>
        </w:tc>
        <w:tc>
          <w:tcPr>
            <w:tcW w:w="22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356,832</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374,519</w:t>
            </w:r>
          </w:p>
        </w:tc>
        <w:tc>
          <w:tcPr>
            <w:tcW w:w="0" w:type="dxa"/>
            <w:vAlign w:val="bottom"/>
          </w:tcPr>
          <w:p>
            <w:pPr>
              <w:spacing w:after="0"/>
              <w:rPr>
                <w:sz w:val="1"/>
                <w:szCs w:val="1"/>
                <w:color w:val="auto"/>
              </w:rPr>
            </w:pPr>
          </w:p>
        </w:tc>
      </w:tr>
      <w:tr>
        <w:trPr>
          <w:trHeight w:val="144"/>
        </w:trPr>
        <w:tc>
          <w:tcPr>
            <w:tcW w:w="82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assets</w:t>
            </w:r>
          </w:p>
        </w:tc>
        <w:tc>
          <w:tcPr>
            <w:tcW w:w="2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524,784</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547,661</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2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2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Current Liabilities</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Accounts payable and accrued expenses</w:t>
            </w:r>
          </w:p>
        </w:tc>
        <w:tc>
          <w:tcPr>
            <w:tcW w:w="2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58,048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55,459</w:t>
            </w:r>
          </w:p>
        </w:tc>
        <w:tc>
          <w:tcPr>
            <w:tcW w:w="0" w:type="dxa"/>
            <w:vAlign w:val="bottom"/>
          </w:tcPr>
          <w:p>
            <w:pPr>
              <w:spacing w:after="0"/>
              <w:rPr>
                <w:sz w:val="1"/>
                <w:szCs w:val="1"/>
                <w:color w:val="auto"/>
              </w:rPr>
            </w:pPr>
          </w:p>
        </w:tc>
      </w:tr>
      <w:tr>
        <w:trPr>
          <w:trHeight w:val="144"/>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Reported and estimated claims</w:t>
            </w: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59,268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55,404</w:t>
            </w:r>
          </w:p>
        </w:tc>
        <w:tc>
          <w:tcPr>
            <w:tcW w:w="0" w:type="dxa"/>
            <w:vAlign w:val="bottom"/>
          </w:tcPr>
          <w:p>
            <w:pPr>
              <w:spacing w:after="0"/>
              <w:rPr>
                <w:sz w:val="1"/>
                <w:szCs w:val="1"/>
                <w:color w:val="auto"/>
              </w:rPr>
            </w:pPr>
          </w:p>
        </w:tc>
      </w:tr>
      <w:tr>
        <w:trPr>
          <w:trHeight w:val="154"/>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Due to Medicaid and Medicare</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13,857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15,197</w:t>
            </w:r>
          </w:p>
        </w:tc>
        <w:tc>
          <w:tcPr>
            <w:tcW w:w="0" w:type="dxa"/>
            <w:vAlign w:val="bottom"/>
          </w:tcPr>
          <w:p>
            <w:pPr>
              <w:spacing w:after="0"/>
              <w:rPr>
                <w:sz w:val="1"/>
                <w:szCs w:val="1"/>
                <w:color w:val="auto"/>
              </w:rPr>
            </w:pPr>
          </w:p>
        </w:tc>
      </w:tr>
      <w:tr>
        <w:trPr>
          <w:trHeight w:val="144"/>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Current portion of long-term debt</w:t>
            </w: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3,795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3,795</w:t>
            </w:r>
          </w:p>
        </w:tc>
        <w:tc>
          <w:tcPr>
            <w:tcW w:w="0" w:type="dxa"/>
            <w:vAlign w:val="bottom"/>
          </w:tcPr>
          <w:p>
            <w:pPr>
              <w:spacing w:after="0"/>
              <w:rPr>
                <w:sz w:val="1"/>
                <w:szCs w:val="1"/>
                <w:color w:val="auto"/>
              </w:rPr>
            </w:pPr>
          </w:p>
        </w:tc>
      </w:tr>
      <w:tr>
        <w:trPr>
          <w:trHeight w:val="154"/>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Current portion of finance lease obligations</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5,246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4,599</w:t>
            </w:r>
          </w:p>
        </w:tc>
        <w:tc>
          <w:tcPr>
            <w:tcW w:w="0" w:type="dxa"/>
            <w:vAlign w:val="bottom"/>
          </w:tcPr>
          <w:p>
            <w:pPr>
              <w:spacing w:after="0"/>
              <w:rPr>
                <w:sz w:val="1"/>
                <w:szCs w:val="1"/>
                <w:color w:val="auto"/>
              </w:rPr>
            </w:pPr>
          </w:p>
        </w:tc>
      </w:tr>
      <w:tr>
        <w:trPr>
          <w:trHeight w:val="144"/>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Current portion of operating lease obligations</w:t>
            </w: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4,759</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4,145</w:t>
            </w:r>
          </w:p>
        </w:tc>
        <w:tc>
          <w:tcPr>
            <w:tcW w:w="0" w:type="dxa"/>
            <w:vAlign w:val="bottom"/>
          </w:tcPr>
          <w:p>
            <w:pPr>
              <w:spacing w:after="0"/>
              <w:rPr>
                <w:sz w:val="1"/>
                <w:szCs w:val="1"/>
                <w:color w:val="auto"/>
              </w:rPr>
            </w:pPr>
          </w:p>
        </w:tc>
      </w:tr>
      <w:tr>
        <w:trPr>
          <w:trHeight w:val="144"/>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2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144,973</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138,599</w:t>
            </w:r>
          </w:p>
        </w:tc>
        <w:tc>
          <w:tcPr>
            <w:tcW w:w="0" w:type="dxa"/>
            <w:vAlign w:val="bottom"/>
          </w:tcPr>
          <w:p>
            <w:pPr>
              <w:spacing w:after="0"/>
              <w:rPr>
                <w:sz w:val="1"/>
                <w:szCs w:val="1"/>
                <w:color w:val="auto"/>
              </w:rPr>
            </w:pPr>
          </w:p>
        </w:tc>
      </w:tr>
      <w:tr>
        <w:trPr>
          <w:trHeight w:val="134"/>
        </w:trPr>
        <w:tc>
          <w:tcPr>
            <w:tcW w:w="82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Noncurrent Liabilities</w:t>
            </w: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Deferred tax liability, net</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7,896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7,460</w:t>
            </w:r>
          </w:p>
        </w:tc>
        <w:tc>
          <w:tcPr>
            <w:tcW w:w="0" w:type="dxa"/>
            <w:vAlign w:val="bottom"/>
          </w:tcPr>
          <w:p>
            <w:pPr>
              <w:spacing w:after="0"/>
              <w:rPr>
                <w:sz w:val="1"/>
                <w:szCs w:val="1"/>
                <w:color w:val="auto"/>
              </w:rPr>
            </w:pPr>
          </w:p>
        </w:tc>
      </w:tr>
      <w:tr>
        <w:trPr>
          <w:trHeight w:val="144"/>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Finance lease obligations</w:t>
            </w: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8,965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12,743</w:t>
            </w:r>
          </w:p>
        </w:tc>
        <w:tc>
          <w:tcPr>
            <w:tcW w:w="0" w:type="dxa"/>
            <w:vAlign w:val="bottom"/>
          </w:tcPr>
          <w:p>
            <w:pPr>
              <w:spacing w:after="0"/>
              <w:rPr>
                <w:sz w:val="1"/>
                <w:szCs w:val="1"/>
                <w:color w:val="auto"/>
              </w:rPr>
            </w:pPr>
          </w:p>
        </w:tc>
      </w:tr>
      <w:tr>
        <w:trPr>
          <w:trHeight w:val="154"/>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Operating lease obligations</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23,849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26,275</w:t>
            </w:r>
          </w:p>
        </w:tc>
        <w:tc>
          <w:tcPr>
            <w:tcW w:w="0" w:type="dxa"/>
            <w:vAlign w:val="bottom"/>
          </w:tcPr>
          <w:p>
            <w:pPr>
              <w:spacing w:after="0"/>
              <w:rPr>
                <w:sz w:val="1"/>
                <w:szCs w:val="1"/>
                <w:color w:val="auto"/>
              </w:rPr>
            </w:pPr>
          </w:p>
        </w:tc>
      </w:tr>
      <w:tr>
        <w:trPr>
          <w:trHeight w:val="144"/>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1,353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1,298</w:t>
            </w:r>
          </w:p>
        </w:tc>
        <w:tc>
          <w:tcPr>
            <w:tcW w:w="0" w:type="dxa"/>
            <w:vAlign w:val="bottom"/>
          </w:tcPr>
          <w:p>
            <w:pPr>
              <w:spacing w:after="0"/>
              <w:rPr>
                <w:sz w:val="1"/>
                <w:szCs w:val="1"/>
                <w:color w:val="auto"/>
              </w:rPr>
            </w:pPr>
          </w:p>
        </w:tc>
      </w:tr>
      <w:tr>
        <w:trPr>
          <w:trHeight w:val="154"/>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Long-term debt, net of debt issuance costs</w:t>
            </w:r>
          </w:p>
        </w:tc>
        <w:tc>
          <w:tcPr>
            <w:tcW w:w="2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59,795</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61,478</w:t>
            </w:r>
          </w:p>
        </w:tc>
        <w:tc>
          <w:tcPr>
            <w:tcW w:w="0" w:type="dxa"/>
            <w:vAlign w:val="bottom"/>
          </w:tcPr>
          <w:p>
            <w:pPr>
              <w:spacing w:after="0"/>
              <w:rPr>
                <w:sz w:val="1"/>
                <w:szCs w:val="1"/>
                <w:color w:val="auto"/>
              </w:rPr>
            </w:pPr>
          </w:p>
        </w:tc>
      </w:tr>
      <w:tr>
        <w:trPr>
          <w:trHeight w:val="134"/>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Total liabilities</w:t>
            </w:r>
          </w:p>
        </w:tc>
        <w:tc>
          <w:tcPr>
            <w:tcW w:w="2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246,831</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247,853</w:t>
            </w:r>
          </w:p>
        </w:tc>
        <w:tc>
          <w:tcPr>
            <w:tcW w:w="0" w:type="dxa"/>
            <w:vAlign w:val="bottom"/>
          </w:tcPr>
          <w:p>
            <w:pPr>
              <w:spacing w:after="0"/>
              <w:rPr>
                <w:sz w:val="1"/>
                <w:szCs w:val="1"/>
                <w:color w:val="auto"/>
              </w:rPr>
            </w:pPr>
          </w:p>
        </w:tc>
      </w:tr>
      <w:tr>
        <w:trPr>
          <w:trHeight w:val="14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Commitments and Contingencies (See Note 9)</w:t>
            </w: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Redeemable Noncontrolling Interests (See Note 4)</w:t>
            </w: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21,611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22,200</w:t>
            </w:r>
          </w:p>
        </w:tc>
        <w:tc>
          <w:tcPr>
            <w:tcW w:w="0" w:type="dxa"/>
            <w:vAlign w:val="bottom"/>
          </w:tcPr>
          <w:p>
            <w:pPr>
              <w:spacing w:after="0"/>
              <w:rPr>
                <w:sz w:val="1"/>
                <w:szCs w:val="1"/>
                <w:color w:val="auto"/>
              </w:rPr>
            </w:pPr>
          </w:p>
        </w:tc>
      </w:tr>
      <w:tr>
        <w:trPr>
          <w:trHeight w:val="1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8220" w:type="dxa"/>
            <w:vAlign w:val="bottom"/>
          </w:tcPr>
          <w:p>
            <w:pPr>
              <w:ind w:left="180"/>
              <w:spacing w:after="0" w:line="106" w:lineRule="exact"/>
              <w:rPr>
                <w:sz w:val="20"/>
                <w:szCs w:val="20"/>
                <w:color w:val="auto"/>
              </w:rPr>
            </w:pPr>
            <w:r>
              <w:rPr>
                <w:rFonts w:ascii="Times New Roman" w:cs="Times New Roman" w:eastAsia="Times New Roman" w:hAnsi="Times New Roman"/>
                <w:sz w:val="11"/>
                <w:szCs w:val="11"/>
                <w:color w:val="auto"/>
                <w:w w:val="99"/>
              </w:rPr>
              <w:t>Common stock, $0.001 par value; 500,000,000 authorized as of December 31, 2024 and June 30, 2024; 136,395,383 issued and 135,349,150 outstanding as of December 31, 2024 and</w:t>
            </w:r>
          </w:p>
        </w:tc>
        <w:tc>
          <w:tcPr>
            <w:tcW w:w="220" w:type="dxa"/>
            <w:vAlign w:val="bottom"/>
          </w:tcPr>
          <w:p>
            <w:pPr>
              <w:spacing w:after="0"/>
              <w:rPr>
                <w:sz w:val="9"/>
                <w:szCs w:val="9"/>
                <w:color w:val="auto"/>
              </w:rPr>
            </w:pPr>
          </w:p>
        </w:tc>
        <w:tc>
          <w:tcPr>
            <w:tcW w:w="128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0" w:type="dxa"/>
            <w:vAlign w:val="bottom"/>
          </w:tcPr>
          <w:p>
            <w:pPr>
              <w:spacing w:after="0"/>
              <w:rPr>
                <w:sz w:val="1"/>
                <w:szCs w:val="1"/>
                <w:color w:val="auto"/>
              </w:rPr>
            </w:pPr>
          </w:p>
        </w:tc>
      </w:tr>
      <w:tr>
        <w:trPr>
          <w:trHeight w:val="144"/>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136,152,858 issued and 136,116,299 outstanding as of June 30, 2024</w:t>
            </w:r>
          </w:p>
        </w:tc>
        <w:tc>
          <w:tcPr>
            <w:tcW w:w="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Treasury stock at cost, 1,046,233 and 36,559 shares as of December 31, 2024 and June 30, 2024, respectively</w:t>
            </w: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(6,092)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0" w:type="dxa"/>
            <w:vAlign w:val="bottom"/>
          </w:tcPr>
          <w:p>
            <w:pPr>
              <w:spacing w:after="0"/>
              <w:rPr>
                <w:sz w:val="1"/>
                <w:szCs w:val="1"/>
                <w:color w:val="auto"/>
              </w:rPr>
            </w:pPr>
          </w:p>
        </w:tc>
      </w:tr>
      <w:tr>
        <w:trPr>
          <w:trHeight w:val="144"/>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20" w:type="dxa"/>
            <w:vAlign w:val="bottom"/>
          </w:tcPr>
          <w:p>
            <w:pPr>
              <w:spacing w:after="0"/>
              <w:rPr>
                <w:sz w:val="12"/>
                <w:szCs w:val="12"/>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340,874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337,615</w:t>
            </w:r>
          </w:p>
        </w:tc>
        <w:tc>
          <w:tcPr>
            <w:tcW w:w="0" w:type="dxa"/>
            <w:vAlign w:val="bottom"/>
          </w:tcPr>
          <w:p>
            <w:pPr>
              <w:spacing w:after="0"/>
              <w:rPr>
                <w:sz w:val="1"/>
                <w:szCs w:val="1"/>
                <w:color w:val="auto"/>
              </w:rPr>
            </w:pPr>
          </w:p>
        </w:tc>
      </w:tr>
      <w:tr>
        <w:trPr>
          <w:trHeight w:val="154"/>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Retained deficit</w:t>
            </w:r>
          </w:p>
        </w:tc>
        <w:tc>
          <w:tcPr>
            <w:tcW w:w="2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(86,461)</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(68,311)</w:t>
            </w:r>
          </w:p>
        </w:tc>
        <w:tc>
          <w:tcPr>
            <w:tcW w:w="0" w:type="dxa"/>
            <w:vAlign w:val="bottom"/>
          </w:tcPr>
          <w:p>
            <w:pPr>
              <w:spacing w:after="0"/>
              <w:rPr>
                <w:sz w:val="1"/>
                <w:szCs w:val="1"/>
                <w:color w:val="auto"/>
              </w:rPr>
            </w:pPr>
          </w:p>
        </w:tc>
      </w:tr>
      <w:tr>
        <w:trPr>
          <w:trHeight w:val="134"/>
        </w:trPr>
        <w:tc>
          <w:tcPr>
            <w:tcW w:w="82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 InnovAge Holding Corp.</w:t>
            </w:r>
          </w:p>
        </w:tc>
        <w:tc>
          <w:tcPr>
            <w:tcW w:w="220" w:type="dxa"/>
            <w:vAlign w:val="bottom"/>
          </w:tcPr>
          <w:p>
            <w:pPr>
              <w:spacing w:after="0"/>
              <w:rPr>
                <w:sz w:val="11"/>
                <w:szCs w:val="11"/>
                <w:color w:val="auto"/>
              </w:rPr>
            </w:pPr>
          </w:p>
        </w:tc>
        <w:tc>
          <w:tcPr>
            <w:tcW w:w="1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248,457</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269,261</w:t>
            </w:r>
          </w:p>
        </w:tc>
        <w:tc>
          <w:tcPr>
            <w:tcW w:w="0" w:type="dxa"/>
            <w:vAlign w:val="bottom"/>
          </w:tcPr>
          <w:p>
            <w:pPr>
              <w:spacing w:after="0"/>
              <w:rPr>
                <w:sz w:val="1"/>
                <w:szCs w:val="1"/>
                <w:color w:val="auto"/>
              </w:rPr>
            </w:pPr>
          </w:p>
        </w:tc>
      </w:tr>
      <w:tr>
        <w:trPr>
          <w:trHeight w:val="154"/>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Noncontrolling interests</w:t>
            </w:r>
          </w:p>
        </w:tc>
        <w:tc>
          <w:tcPr>
            <w:tcW w:w="22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7,885</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8,347</w:t>
            </w:r>
          </w:p>
        </w:tc>
        <w:tc>
          <w:tcPr>
            <w:tcW w:w="0" w:type="dxa"/>
            <w:vAlign w:val="bottom"/>
          </w:tcPr>
          <w:p>
            <w:pPr>
              <w:spacing w:after="0"/>
              <w:rPr>
                <w:sz w:val="1"/>
                <w:szCs w:val="1"/>
                <w:color w:val="auto"/>
              </w:rPr>
            </w:pPr>
          </w:p>
        </w:tc>
      </w:tr>
      <w:tr>
        <w:trPr>
          <w:trHeight w:val="134"/>
        </w:trPr>
        <w:tc>
          <w:tcPr>
            <w:tcW w:w="82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256,342</w:t>
            </w:r>
          </w:p>
        </w:tc>
        <w:tc>
          <w:tcPr>
            <w:tcW w:w="8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277,608</w:t>
            </w:r>
          </w:p>
        </w:tc>
        <w:tc>
          <w:tcPr>
            <w:tcW w:w="0" w:type="dxa"/>
            <w:vAlign w:val="bottom"/>
          </w:tcPr>
          <w:p>
            <w:pPr>
              <w:spacing w:after="0"/>
              <w:rPr>
                <w:sz w:val="1"/>
                <w:szCs w:val="1"/>
                <w:color w:val="auto"/>
              </w:rPr>
            </w:pPr>
          </w:p>
        </w:tc>
      </w:tr>
      <w:tr>
        <w:trPr>
          <w:trHeight w:val="169"/>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22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524,784</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547,661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INNOVAGE HOLDING CORP. AND SUBSIDIARIES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number of shares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 December 31,</w:t>
            </w:r>
          </w:p>
        </w:tc>
        <w:tc>
          <w:tcPr>
            <w:tcW w:w="1080" w:type="dxa"/>
            <w:vAlign w:val="bottom"/>
            <w:tcBorders>
              <w:bottom w:val="single" w:sz="8" w:color="auto"/>
            </w:tcBorders>
          </w:tcPr>
          <w:p>
            <w:pPr>
              <w:spacing w:after="0"/>
              <w:rPr>
                <w:sz w:val="13"/>
                <w:szCs w:val="13"/>
                <w:color w:val="auto"/>
              </w:rPr>
            </w:pPr>
          </w:p>
        </w:tc>
      </w:tr>
      <w:tr>
        <w:trPr>
          <w:trHeight w:val="154"/>
        </w:trPr>
        <w:tc>
          <w:tcPr>
            <w:tcW w:w="36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Capitation revenue</w:t>
            </w:r>
          </w:p>
        </w:tc>
        <w:tc>
          <w:tcPr>
            <w:tcW w:w="1040" w:type="dxa"/>
            <w:vAlign w:val="bottom"/>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208,674</w:t>
            </w:r>
          </w:p>
        </w:tc>
        <w:tc>
          <w:tcPr>
            <w:tcW w:w="80" w:type="dxa"/>
            <w:vAlign w:val="bottom"/>
          </w:tcPr>
          <w:p>
            <w:pPr>
              <w:spacing w:after="0"/>
              <w:rPr>
                <w:sz w:val="15"/>
                <w:szCs w:val="15"/>
                <w:color w:val="auto"/>
              </w:rPr>
            </w:pPr>
          </w:p>
        </w:tc>
        <w:tc>
          <w:tcPr>
            <w:tcW w:w="82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188,561</w:t>
            </w:r>
          </w:p>
        </w:tc>
        <w:tc>
          <w:tcPr>
            <w:tcW w:w="8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413,474</w:t>
            </w:r>
          </w:p>
        </w:tc>
        <w:tc>
          <w:tcPr>
            <w:tcW w:w="80" w:type="dxa"/>
            <w:vAlign w:val="bottom"/>
          </w:tcPr>
          <w:p>
            <w:pPr>
              <w:spacing w:after="0"/>
              <w:rPr>
                <w:sz w:val="15"/>
                <w:szCs w:val="15"/>
                <w:color w:val="auto"/>
              </w:rPr>
            </w:pPr>
          </w:p>
        </w:tc>
        <w:tc>
          <w:tcPr>
            <w:tcW w:w="78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370,734</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service revenue</w:t>
            </w:r>
          </w:p>
        </w:tc>
        <w:tc>
          <w:tcPr>
            <w:tcW w:w="10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r>
      <w:tr>
        <w:trPr>
          <w:trHeight w:val="171"/>
        </w:trPr>
        <w:tc>
          <w:tcPr>
            <w:tcW w:w="3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10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208,999</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188,898</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414,141</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371,382</w:t>
            </w:r>
          </w:p>
        </w:tc>
      </w:tr>
      <w:tr>
        <w:trPr>
          <w:trHeight w:val="17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External provider costs</w:t>
            </w:r>
          </w:p>
        </w:tc>
        <w:tc>
          <w:tcPr>
            <w:tcW w:w="10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107,873</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100,964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215,087</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200,322</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care, excluding depreciation and amortization</w:t>
            </w: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64,061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127,447</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109,570</w:t>
            </w: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10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7,704</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14,196</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11,237</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 general and administrative</w:t>
            </w: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28,103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55,638</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54,197</w:t>
            </w: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5,319</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10,730</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8,559</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of right-of-use asset and construction in progress</w:t>
            </w: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expenses</w:t>
            </w:r>
          </w:p>
        </w:tc>
        <w:tc>
          <w:tcPr>
            <w:tcW w:w="10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221,555</w:t>
            </w:r>
          </w:p>
        </w:tc>
        <w:tc>
          <w:tcPr>
            <w:tcW w:w="8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190,683</w:t>
            </w:r>
          </w:p>
        </w:tc>
        <w:tc>
          <w:tcPr>
            <w:tcW w:w="8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431,593</w:t>
            </w:r>
          </w:p>
        </w:tc>
        <w:tc>
          <w:tcPr>
            <w:tcW w:w="8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383,885</w:t>
            </w:r>
          </w:p>
        </w:tc>
      </w:tr>
      <w:tr>
        <w:trPr>
          <w:trHeight w:val="17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10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(12,556)</w:t>
            </w: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(17,452)</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(12,503)</w:t>
            </w:r>
          </w:p>
        </w:tc>
      </w:tr>
      <w:tr>
        <w:trPr>
          <w:trHeight w:val="192"/>
        </w:trPr>
        <w:tc>
          <w:tcPr>
            <w:tcW w:w="3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3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 net</w:t>
            </w:r>
          </w:p>
        </w:tc>
        <w:tc>
          <w:tcPr>
            <w:tcW w:w="10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w:t>
            </w:r>
          </w:p>
        </w:tc>
      </w:tr>
      <w:tr>
        <w:trPr>
          <w:trHeight w:val="180"/>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(expense)</w:t>
            </w: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r>
      <w:tr>
        <w:trPr>
          <w:trHeight w:val="180"/>
        </w:trPr>
        <w:tc>
          <w:tcPr>
            <w:tcW w:w="3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Gain (loss) on equity method investment</w:t>
            </w:r>
          </w:p>
        </w:tc>
        <w:tc>
          <w:tcPr>
            <w:tcW w:w="10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w:t>
            </w:r>
          </w:p>
        </w:tc>
      </w:tr>
      <w:tr>
        <w:trPr>
          <w:trHeight w:val="171"/>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expense</w:t>
            </w:r>
          </w:p>
        </w:tc>
        <w:tc>
          <w:tcPr>
            <w:tcW w:w="10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w:t>
            </w:r>
          </w:p>
        </w:tc>
      </w:tr>
      <w:tr>
        <w:trPr>
          <w:trHeight w:val="171"/>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(18,764)</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(14,464)</w:t>
            </w:r>
          </w:p>
        </w:tc>
      </w:t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Provision for Income Taxes</w:t>
            </w:r>
          </w:p>
        </w:tc>
        <w:tc>
          <w:tcPr>
            <w:tcW w:w="10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171"/>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0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(13,491)</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(19,201)</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(14,783)</w:t>
            </w:r>
          </w:p>
        </w:tc>
      </w:tr>
      <w:tr>
        <w:trPr>
          <w:trHeight w:val="171"/>
        </w:trPr>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10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r>
      <w:tr>
        <w:trPr>
          <w:trHeight w:val="171"/>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InnovAge Holding Corp.</w:t>
            </w:r>
          </w:p>
        </w:tc>
        <w:tc>
          <w:tcPr>
            <w:tcW w:w="104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(13,221)</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(3,447)</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(18,150)</w:t>
            </w:r>
          </w:p>
        </w:tc>
        <w:tc>
          <w:tcPr>
            <w:tcW w:w="80" w:type="dxa"/>
            <w:vAlign w:val="bottom"/>
          </w:tcPr>
          <w:p>
            <w:pPr>
              <w:spacing w:after="0"/>
              <w:rPr>
                <w:sz w:val="14"/>
                <w:szCs w:val="14"/>
                <w:color w:val="auto"/>
              </w:rPr>
            </w:pPr>
          </w:p>
        </w:tc>
        <w:tc>
          <w:tcPr>
            <w:tcW w:w="7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(13,751)</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3"/>
        </w:trPr>
        <w:tc>
          <w:tcPr>
            <w:tcW w:w="36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80"/>
          </w:cols>
          <w:pgMar w:left="300" w:top="125" w:right="319" w:bottom="1440" w:gutter="0" w:footer="0" w:header="0"/>
        </w:sectPr>
      </w:pPr>
    </w:p>
    <w:p>
      <w:pPr>
        <w:ind w:left="20"/>
        <w:spacing w:after="0" w:line="236" w:lineRule="auto"/>
        <w:rPr>
          <w:sz w:val="20"/>
          <w:szCs w:val="20"/>
          <w:color w:val="auto"/>
        </w:rPr>
      </w:pPr>
      <w:r>
        <w:rPr>
          <w:rFonts w:ascii="Times New Roman" w:cs="Times New Roman" w:eastAsia="Times New Roman" w:hAnsi="Times New Roman"/>
          <w:sz w:val="14"/>
          <w:szCs w:val="14"/>
          <w:b w:val="1"/>
          <w:bCs w:val="1"/>
          <w:color w:val="auto"/>
        </w:rPr>
        <w:t>Weighted-average number of common shares outstanding - basic</w:t>
      </w:r>
    </w:p>
    <w:p>
      <w:pPr>
        <w:spacing w:after="0" w:line="6" w:lineRule="exact"/>
        <w:rPr>
          <w:sz w:val="20"/>
          <w:szCs w:val="20"/>
          <w:color w:val="auto"/>
        </w:rPr>
      </w:pPr>
    </w:p>
    <w:p>
      <w:pPr>
        <w:ind w:left="20"/>
        <w:spacing w:after="0" w:line="242" w:lineRule="auto"/>
        <w:rPr>
          <w:sz w:val="20"/>
          <w:szCs w:val="20"/>
          <w:color w:val="auto"/>
        </w:rPr>
      </w:pPr>
      <w:r>
        <w:rPr>
          <w:rFonts w:ascii="Times New Roman" w:cs="Times New Roman" w:eastAsia="Times New Roman" w:hAnsi="Times New Roman"/>
          <w:sz w:val="14"/>
          <w:szCs w:val="14"/>
          <w:b w:val="1"/>
          <w:bCs w:val="1"/>
          <w:color w:val="auto"/>
        </w:rPr>
        <w:t>Weighted-average number of common shares outstanding - diluted</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135,439,668</w:t>
            </w:r>
          </w:p>
        </w:tc>
        <w:tc>
          <w:tcPr>
            <w:tcW w:w="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135,887,613</w:t>
            </w:r>
          </w:p>
        </w:tc>
        <w:tc>
          <w:tcPr>
            <w:tcW w:w="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135,604,751</w:t>
            </w:r>
          </w:p>
        </w:tc>
        <w:tc>
          <w:tcPr>
            <w:tcW w:w="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135,839,007</w:t>
            </w:r>
          </w:p>
        </w:tc>
      </w:tr>
      <w:tr>
        <w:trPr>
          <w:trHeight w:val="329"/>
        </w:trPr>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135,439,668</w:t>
            </w:r>
          </w:p>
        </w:tc>
        <w:tc>
          <w:tcPr>
            <w:tcW w:w="80" w:type="dxa"/>
            <w:vAlign w:val="bottom"/>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135,887,613</w:t>
            </w:r>
          </w:p>
        </w:tc>
        <w:tc>
          <w:tcPr>
            <w:tcW w:w="80" w:type="dxa"/>
            <w:vAlign w:val="bottom"/>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135,604,751</w:t>
            </w:r>
          </w:p>
        </w:tc>
        <w:tc>
          <w:tcPr>
            <w:tcW w:w="80" w:type="dxa"/>
            <w:vAlign w:val="bottom"/>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135,839,007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-2282190</wp:posOffset>
            </wp:positionH>
            <wp:positionV relativeFrom="paragraph">
              <wp:posOffset>-215265</wp:posOffset>
            </wp:positionV>
            <wp:extent cx="7161530" cy="208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2089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20"/>
            <w:col w:w="7680"/>
          </w:cols>
          <w:pgMar w:left="300" w:top="125" w:right="31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 - basic</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(0.10)</w:t>
            </w:r>
          </w:p>
        </w:tc>
      </w:tr>
      <w:tr>
        <w:trPr>
          <w:trHeight w:val="180"/>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 - diluted</w:t>
            </w: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(0.10)</w:t>
            </w: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Balances, September 30, 2024</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Stock-based compensation</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Tax withholding related to net share</w:t>
      </w:r>
    </w:p>
    <w:p>
      <w:pPr>
        <w:spacing w:after="0" w:line="2" w:lineRule="exact"/>
        <w:rPr>
          <w:sz w:val="20"/>
          <w:szCs w:val="20"/>
          <w:color w:val="auto"/>
        </w:rPr>
      </w:pPr>
    </w:p>
    <w:p>
      <w:pPr>
        <w:ind w:left="20" w:right="420"/>
        <w:spacing w:after="0" w:line="228" w:lineRule="auto"/>
        <w:rPr>
          <w:sz w:val="20"/>
          <w:szCs w:val="20"/>
          <w:color w:val="auto"/>
        </w:rPr>
      </w:pPr>
      <w:r>
        <w:rPr>
          <w:rFonts w:ascii="Times New Roman" w:cs="Times New Roman" w:eastAsia="Times New Roman" w:hAnsi="Times New Roman"/>
          <w:sz w:val="11"/>
          <w:szCs w:val="11"/>
          <w:color w:val="auto"/>
        </w:rPr>
        <w:t>settlements of stock-based compensation awards</w:t>
      </w:r>
    </w:p>
    <w:p>
      <w:pPr>
        <w:spacing w:after="0" w:line="13" w:lineRule="exact"/>
        <w:rPr>
          <w:sz w:val="20"/>
          <w:szCs w:val="20"/>
          <w:color w:val="auto"/>
        </w:rPr>
      </w:pPr>
    </w:p>
    <w:p>
      <w:pPr>
        <w:ind w:left="20" w:right="420"/>
        <w:spacing w:after="0" w:line="330" w:lineRule="auto"/>
        <w:rPr>
          <w:sz w:val="20"/>
          <w:szCs w:val="20"/>
          <w:color w:val="auto"/>
        </w:rPr>
      </w:pPr>
      <w:r>
        <w:rPr>
          <w:rFonts w:ascii="Times New Roman" w:cs="Times New Roman" w:eastAsia="Times New Roman" w:hAnsi="Times New Roman"/>
          <w:sz w:val="11"/>
          <w:szCs w:val="11"/>
          <w:color w:val="auto"/>
        </w:rPr>
        <w:t>Shares repurchased at cost Net loss</w:t>
      </w:r>
    </w:p>
    <w:p>
      <w:pPr>
        <w:ind w:left="20"/>
        <w:spacing w:after="0"/>
        <w:rPr>
          <w:sz w:val="20"/>
          <w:szCs w:val="20"/>
          <w:color w:val="auto"/>
        </w:rPr>
      </w:pPr>
      <w:r>
        <w:rPr>
          <w:rFonts w:ascii="Times New Roman" w:cs="Times New Roman" w:eastAsia="Times New Roman" w:hAnsi="Times New Roman"/>
          <w:sz w:val="11"/>
          <w:szCs w:val="11"/>
          <w:b w:val="1"/>
          <w:bCs w:val="1"/>
          <w:color w:val="auto"/>
        </w:rPr>
        <w:t>Balances,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Balances, June 30, 2024</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Stock-based compensation</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Tax withholding related to net share</w:t>
      </w:r>
    </w:p>
    <w:p>
      <w:pPr>
        <w:spacing w:after="0" w:line="2" w:lineRule="exact"/>
        <w:rPr>
          <w:sz w:val="20"/>
          <w:szCs w:val="20"/>
          <w:color w:val="auto"/>
        </w:rPr>
      </w:pPr>
    </w:p>
    <w:p>
      <w:pPr>
        <w:ind w:left="20" w:right="420"/>
        <w:spacing w:after="0" w:line="228" w:lineRule="auto"/>
        <w:rPr>
          <w:sz w:val="20"/>
          <w:szCs w:val="20"/>
          <w:color w:val="auto"/>
        </w:rPr>
      </w:pPr>
      <w:r>
        <w:rPr>
          <w:rFonts w:ascii="Times New Roman" w:cs="Times New Roman" w:eastAsia="Times New Roman" w:hAnsi="Times New Roman"/>
          <w:sz w:val="11"/>
          <w:szCs w:val="11"/>
          <w:color w:val="auto"/>
        </w:rPr>
        <w:t>settlements of stock-based compensation awards</w:t>
      </w:r>
    </w:p>
    <w:p>
      <w:pPr>
        <w:spacing w:after="0" w:line="13" w:lineRule="exact"/>
        <w:rPr>
          <w:sz w:val="20"/>
          <w:szCs w:val="20"/>
          <w:color w:val="auto"/>
        </w:rPr>
      </w:pPr>
    </w:p>
    <w:p>
      <w:pPr>
        <w:ind w:left="20" w:right="420"/>
        <w:spacing w:after="0" w:line="330" w:lineRule="auto"/>
        <w:rPr>
          <w:sz w:val="20"/>
          <w:szCs w:val="20"/>
          <w:color w:val="auto"/>
        </w:rPr>
      </w:pPr>
      <w:r>
        <w:rPr>
          <w:rFonts w:ascii="Times New Roman" w:cs="Times New Roman" w:eastAsia="Times New Roman" w:hAnsi="Times New Roman"/>
          <w:sz w:val="11"/>
          <w:szCs w:val="11"/>
          <w:color w:val="auto"/>
        </w:rPr>
        <w:t>Shares repurchased at cost Net loss</w:t>
      </w:r>
    </w:p>
    <w:p>
      <w:pPr>
        <w:ind w:left="20"/>
        <w:spacing w:after="0"/>
        <w:rPr>
          <w:sz w:val="20"/>
          <w:szCs w:val="20"/>
          <w:color w:val="auto"/>
        </w:rPr>
      </w:pPr>
      <w:r>
        <w:rPr>
          <w:rFonts w:ascii="Times New Roman" w:cs="Times New Roman" w:eastAsia="Times New Roman" w:hAnsi="Times New Roman"/>
          <w:sz w:val="11"/>
          <w:szCs w:val="11"/>
          <w:b w:val="1"/>
          <w:bCs w:val="1"/>
          <w:color w:val="auto"/>
        </w:rPr>
        <w:t>Balances,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INNOVAGE HOLDING CORP. AND SUBSIDIARIES</w:t>
      </w:r>
    </w:p>
    <w:p>
      <w:pPr>
        <w:spacing w:after="0" w:line="179"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25"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9"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 the Three Months Ended December 31, 2024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0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Capital Stock</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820" w:type="dxa"/>
            <w:vAlign w:val="bottom"/>
            <w:gridSpan w:val="4"/>
            <w:vMerge w:val="restart"/>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rPr>
              <w:t>Permanent</w:t>
            </w:r>
          </w:p>
        </w:tc>
        <w:tc>
          <w:tcPr>
            <w:tcW w:w="100" w:type="dxa"/>
            <w:vAlign w:val="bottom"/>
          </w:tcPr>
          <w:p>
            <w:pPr>
              <w:spacing w:after="0"/>
              <w:rPr>
                <w:sz w:val="9"/>
                <w:szCs w:val="9"/>
                <w:color w:val="auto"/>
              </w:rPr>
            </w:pPr>
          </w:p>
        </w:tc>
        <w:tc>
          <w:tcPr>
            <w:tcW w:w="94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rPr>
              <w:t>Interests</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600" w:type="dxa"/>
            <w:vAlign w:val="bottom"/>
            <w:tcBorders>
              <w:bottom w:val="single" w:sz="8" w:color="auto"/>
            </w:tcBorders>
            <w:gridSpan w:val="3"/>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40" w:type="dxa"/>
            <w:vAlign w:val="bottom"/>
          </w:tcPr>
          <w:p>
            <w:pPr>
              <w:spacing w:after="0"/>
              <w:rPr>
                <w:sz w:val="8"/>
                <w:szCs w:val="8"/>
                <w:color w:val="auto"/>
              </w:rPr>
            </w:pPr>
          </w:p>
        </w:tc>
        <w:tc>
          <w:tcPr>
            <w:tcW w:w="800" w:type="dxa"/>
            <w:vAlign w:val="bottom"/>
            <w:gridSpan w:val="2"/>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820" w:type="dxa"/>
            <w:vAlign w:val="bottom"/>
            <w:tcBorders>
              <w:bottom w:val="single" w:sz="8" w:color="auto"/>
            </w:tcBorders>
            <w:gridSpan w:val="4"/>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jc w:val="center"/>
              <w:ind w:right="160"/>
              <w:spacing w:after="0" w:line="97"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8"/>
                <w:szCs w:val="8"/>
                <w:color w:val="auto"/>
              </w:rPr>
            </w:pPr>
          </w:p>
        </w:tc>
        <w:tc>
          <w:tcPr>
            <w:tcW w:w="860" w:type="dxa"/>
            <w:vAlign w:val="bottom"/>
            <w:gridSpan w:val="2"/>
          </w:tcPr>
          <w:p>
            <w:pPr>
              <w:jc w:val="center"/>
              <w:ind w:right="160"/>
              <w:spacing w:after="0" w:line="9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100" w:type="dxa"/>
            <w:vAlign w:val="bottom"/>
          </w:tcPr>
          <w:p>
            <w:pPr>
              <w:spacing w:after="0"/>
              <w:rPr>
                <w:sz w:val="8"/>
                <w:szCs w:val="8"/>
                <w:color w:val="auto"/>
              </w:rPr>
            </w:pPr>
          </w:p>
        </w:tc>
        <w:tc>
          <w:tcPr>
            <w:tcW w:w="940" w:type="dxa"/>
            <w:vAlign w:val="bottom"/>
            <w:gridSpan w:val="2"/>
          </w:tcPr>
          <w:p>
            <w:pPr>
              <w:jc w:val="center"/>
              <w:ind w:right="160"/>
              <w:spacing w:after="0" w:line="97" w:lineRule="exact"/>
              <w:rPr>
                <w:sz w:val="20"/>
                <w:szCs w:val="20"/>
                <w:color w:val="auto"/>
              </w:rPr>
            </w:pPr>
            <w:r>
              <w:rPr>
                <w:rFonts w:ascii="Times New Roman" w:cs="Times New Roman" w:eastAsia="Times New Roman" w:hAnsi="Times New Roman"/>
                <w:sz w:val="11"/>
                <w:szCs w:val="11"/>
                <w:b w:val="1"/>
                <w:bCs w:val="1"/>
                <w:color w:val="auto"/>
              </w:rPr>
              <w:t>(Temporary</w:t>
            </w:r>
          </w:p>
        </w:tc>
        <w:tc>
          <w:tcPr>
            <w:tcW w:w="76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0" w:type="dxa"/>
            <w:vAlign w:val="bottom"/>
          </w:tcPr>
          <w:p>
            <w:pPr>
              <w:spacing w:after="0"/>
              <w:rPr>
                <w:sz w:val="1"/>
                <w:szCs w:val="1"/>
                <w:color w:val="auto"/>
              </w:rPr>
            </w:pPr>
          </w:p>
        </w:tc>
      </w:tr>
      <w:tr>
        <w:trPr>
          <w:trHeight w:val="155"/>
        </w:trPr>
        <w:tc>
          <w:tcPr>
            <w:tcW w:w="9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0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0" w:type="dxa"/>
            <w:vAlign w:val="bottom"/>
          </w:tcPr>
          <w:p>
            <w:pPr>
              <w:spacing w:after="0"/>
              <w:rPr>
                <w:sz w:val="1"/>
                <w:szCs w:val="1"/>
                <w:color w:val="auto"/>
              </w:rPr>
            </w:pPr>
          </w:p>
        </w:tc>
      </w:tr>
      <w:tr>
        <w:trPr>
          <w:trHeight w:val="148"/>
        </w:trPr>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135,538,698</w:t>
            </w: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136</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339,048</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(73,240)</w:t>
            </w:r>
          </w:p>
        </w:tc>
        <w:tc>
          <w:tcPr>
            <w:tcW w:w="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837,372</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8,109</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269,053</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21,657</w:t>
            </w:r>
          </w:p>
        </w:tc>
        <w:tc>
          <w:tcPr>
            <w:tcW w:w="60" w:type="dxa"/>
            <w:vAlign w:val="bottom"/>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29,344</w:t>
            </w: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1,873</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1,873</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75"/>
        </w:trPr>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(10,031)</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(208,861)</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208,861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(13,221)</w:t>
            </w:r>
          </w:p>
        </w:tc>
        <w:tc>
          <w:tcPr>
            <w:tcW w:w="6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(13,445)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(13,491)</w:t>
            </w:r>
          </w:p>
        </w:tc>
        <w:tc>
          <w:tcPr>
            <w:tcW w:w="0" w:type="dxa"/>
            <w:vAlign w:val="bottom"/>
          </w:tcPr>
          <w:p>
            <w:pPr>
              <w:spacing w:after="0"/>
              <w:rPr>
                <w:sz w:val="1"/>
                <w:szCs w:val="1"/>
                <w:color w:val="auto"/>
              </w:rPr>
            </w:pPr>
          </w:p>
        </w:tc>
      </w:tr>
      <w:tr>
        <w:trPr>
          <w:trHeight w:val="153"/>
        </w:trPr>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135,349,150</w:t>
            </w:r>
          </w:p>
        </w:tc>
        <w:tc>
          <w:tcPr>
            <w:tcW w:w="60" w:type="dxa"/>
            <w:vAlign w:val="bottom"/>
            <w:tcBorders>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136</w:t>
            </w:r>
          </w:p>
        </w:tc>
        <w:tc>
          <w:tcPr>
            <w:tcW w:w="6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340,874</w:t>
            </w: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(86,461)</w:t>
            </w:r>
          </w:p>
        </w:tc>
        <w:tc>
          <w:tcPr>
            <w:tcW w:w="60" w:type="dxa"/>
            <w:vAlign w:val="bottom"/>
            <w:tcBorders>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1,046,233</w:t>
            </w:r>
          </w:p>
        </w:tc>
        <w:tc>
          <w:tcPr>
            <w:tcW w:w="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(6,092)</w:t>
            </w:r>
          </w:p>
        </w:tc>
        <w:tc>
          <w:tcPr>
            <w:tcW w:w="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7,885</w:t>
            </w:r>
          </w:p>
        </w:tc>
        <w:tc>
          <w:tcPr>
            <w:tcW w:w="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256,342</w:t>
            </w:r>
          </w:p>
        </w:tc>
        <w:tc>
          <w:tcPr>
            <w:tcW w:w="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21,611</w:t>
            </w:r>
          </w:p>
        </w:tc>
        <w:tc>
          <w:tcPr>
            <w:tcW w:w="6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gridSpan w:val="10"/>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0"/>
          </w:tcPr>
          <w:p>
            <w:pPr>
              <w:ind w:left="640"/>
              <w:spacing w:after="0"/>
              <w:rPr>
                <w:sz w:val="20"/>
                <w:szCs w:val="20"/>
                <w:color w:val="auto"/>
              </w:rPr>
            </w:pPr>
            <w:r>
              <w:rPr>
                <w:rFonts w:ascii="Times New Roman" w:cs="Times New Roman" w:eastAsia="Times New Roman" w:hAnsi="Times New Roman"/>
                <w:sz w:val="11"/>
                <w:szCs w:val="11"/>
                <w:b w:val="1"/>
                <w:bCs w:val="1"/>
                <w:color w:val="auto"/>
              </w:rPr>
              <w:t>For the Six Months Ended December 31, 2024</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0"/>
                <w:szCs w:val="10"/>
                <w:color w:val="auto"/>
              </w:rPr>
            </w:pPr>
          </w:p>
        </w:tc>
        <w:tc>
          <w:tcPr>
            <w:tcW w:w="940" w:type="dxa"/>
            <w:vAlign w:val="bottom"/>
            <w:gridSpan w:val="2"/>
          </w:tcPr>
          <w:p>
            <w:pPr>
              <w:jc w:val="center"/>
              <w:ind w:right="160"/>
              <w:spacing w:after="0" w:line="119" w:lineRule="exact"/>
              <w:rPr>
                <w:sz w:val="20"/>
                <w:szCs w:val="20"/>
                <w:color w:val="auto"/>
              </w:rPr>
            </w:pPr>
            <w:r>
              <w:rPr>
                <w:rFonts w:ascii="Times New Roman" w:cs="Times New Roman" w:eastAsia="Times New Roman" w:hAnsi="Times New Roman"/>
                <w:sz w:val="11"/>
                <w:szCs w:val="11"/>
                <w:b w:val="1"/>
                <w:bCs w:val="1"/>
                <w:color w:val="auto"/>
              </w:rPr>
              <w:t>Redeemable</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0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Capital Stock</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820" w:type="dxa"/>
            <w:vAlign w:val="bottom"/>
            <w:gridSpan w:val="4"/>
            <w:vMerge w:val="restart"/>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rPr>
              <w:t>Permanent</w:t>
            </w:r>
          </w:p>
        </w:tc>
        <w:tc>
          <w:tcPr>
            <w:tcW w:w="100" w:type="dxa"/>
            <w:vAlign w:val="bottom"/>
          </w:tcPr>
          <w:p>
            <w:pPr>
              <w:spacing w:after="0"/>
              <w:rPr>
                <w:sz w:val="9"/>
                <w:szCs w:val="9"/>
                <w:color w:val="auto"/>
              </w:rPr>
            </w:pPr>
          </w:p>
        </w:tc>
        <w:tc>
          <w:tcPr>
            <w:tcW w:w="94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rPr>
              <w:t>Interests</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600" w:type="dxa"/>
            <w:vAlign w:val="bottom"/>
            <w:tcBorders>
              <w:bottom w:val="single" w:sz="8" w:color="auto"/>
            </w:tcBorders>
            <w:gridSpan w:val="3"/>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40" w:type="dxa"/>
            <w:vAlign w:val="bottom"/>
          </w:tcPr>
          <w:p>
            <w:pPr>
              <w:spacing w:after="0"/>
              <w:rPr>
                <w:sz w:val="8"/>
                <w:szCs w:val="8"/>
                <w:color w:val="auto"/>
              </w:rPr>
            </w:pPr>
          </w:p>
        </w:tc>
        <w:tc>
          <w:tcPr>
            <w:tcW w:w="800" w:type="dxa"/>
            <w:vAlign w:val="bottom"/>
            <w:gridSpan w:val="2"/>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820" w:type="dxa"/>
            <w:vAlign w:val="bottom"/>
            <w:tcBorders>
              <w:bottom w:val="single" w:sz="8" w:color="auto"/>
            </w:tcBorders>
            <w:gridSpan w:val="4"/>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jc w:val="center"/>
              <w:ind w:right="160"/>
              <w:spacing w:after="0" w:line="97"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8"/>
                <w:szCs w:val="8"/>
                <w:color w:val="auto"/>
              </w:rPr>
            </w:pPr>
          </w:p>
        </w:tc>
        <w:tc>
          <w:tcPr>
            <w:tcW w:w="860" w:type="dxa"/>
            <w:vAlign w:val="bottom"/>
            <w:gridSpan w:val="2"/>
          </w:tcPr>
          <w:p>
            <w:pPr>
              <w:jc w:val="center"/>
              <w:ind w:right="160"/>
              <w:spacing w:after="0" w:line="9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100" w:type="dxa"/>
            <w:vAlign w:val="bottom"/>
          </w:tcPr>
          <w:p>
            <w:pPr>
              <w:spacing w:after="0"/>
              <w:rPr>
                <w:sz w:val="8"/>
                <w:szCs w:val="8"/>
                <w:color w:val="auto"/>
              </w:rPr>
            </w:pPr>
          </w:p>
        </w:tc>
        <w:tc>
          <w:tcPr>
            <w:tcW w:w="940" w:type="dxa"/>
            <w:vAlign w:val="bottom"/>
            <w:gridSpan w:val="2"/>
          </w:tcPr>
          <w:p>
            <w:pPr>
              <w:jc w:val="center"/>
              <w:ind w:right="160"/>
              <w:spacing w:after="0" w:line="97" w:lineRule="exact"/>
              <w:rPr>
                <w:sz w:val="20"/>
                <w:szCs w:val="20"/>
                <w:color w:val="auto"/>
              </w:rPr>
            </w:pPr>
            <w:r>
              <w:rPr>
                <w:rFonts w:ascii="Times New Roman" w:cs="Times New Roman" w:eastAsia="Times New Roman" w:hAnsi="Times New Roman"/>
                <w:sz w:val="11"/>
                <w:szCs w:val="11"/>
                <w:b w:val="1"/>
                <w:bCs w:val="1"/>
                <w:color w:val="auto"/>
              </w:rPr>
              <w:t>(Temporary</w:t>
            </w:r>
          </w:p>
        </w:tc>
        <w:tc>
          <w:tcPr>
            <w:tcW w:w="76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0" w:type="dxa"/>
            <w:vAlign w:val="bottom"/>
          </w:tcPr>
          <w:p>
            <w:pPr>
              <w:spacing w:after="0"/>
              <w:rPr>
                <w:sz w:val="1"/>
                <w:szCs w:val="1"/>
                <w:color w:val="auto"/>
              </w:rPr>
            </w:pPr>
          </w:p>
        </w:tc>
      </w:tr>
      <w:tr>
        <w:trPr>
          <w:trHeight w:val="155"/>
        </w:trPr>
        <w:tc>
          <w:tcPr>
            <w:tcW w:w="9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0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0" w:type="dxa"/>
            <w:vAlign w:val="bottom"/>
          </w:tcPr>
          <w:p>
            <w:pPr>
              <w:spacing w:after="0"/>
              <w:rPr>
                <w:sz w:val="1"/>
                <w:szCs w:val="1"/>
                <w:color w:val="auto"/>
              </w:rPr>
            </w:pPr>
          </w:p>
        </w:tc>
      </w:tr>
      <w:tr>
        <w:trPr>
          <w:trHeight w:val="155"/>
        </w:trPr>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136,116,299</w:t>
            </w: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136</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337,615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(68,311)</w:t>
            </w:r>
          </w:p>
        </w:tc>
        <w:tc>
          <w:tcPr>
            <w:tcW w:w="6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36,559</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8,347</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277,608</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22,200</w:t>
            </w:r>
          </w:p>
        </w:tc>
        <w:tc>
          <w:tcPr>
            <w:tcW w:w="60" w:type="dxa"/>
            <w:vAlign w:val="bottom"/>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370,963</w:t>
            </w: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4,035</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4,035</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75"/>
        </w:trPr>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(128,438)</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(1,009,674)</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1,009,674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(5,913)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(18,150)</w:t>
            </w:r>
          </w:p>
        </w:tc>
        <w:tc>
          <w:tcPr>
            <w:tcW w:w="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(18,612)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(589)</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(19,201)</w:t>
            </w:r>
          </w:p>
        </w:tc>
        <w:tc>
          <w:tcPr>
            <w:tcW w:w="0" w:type="dxa"/>
            <w:vAlign w:val="bottom"/>
          </w:tcPr>
          <w:p>
            <w:pPr>
              <w:spacing w:after="0"/>
              <w:rPr>
                <w:sz w:val="1"/>
                <w:szCs w:val="1"/>
                <w:color w:val="auto"/>
              </w:rPr>
            </w:pPr>
          </w:p>
        </w:tc>
      </w:tr>
      <w:tr>
        <w:trPr>
          <w:trHeight w:val="153"/>
        </w:trPr>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135,349,150</w:t>
            </w: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136</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340,874</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(86,461)</w:t>
            </w:r>
          </w:p>
        </w:tc>
        <w:tc>
          <w:tcPr>
            <w:tcW w:w="6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1,046,233</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(6,092)</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7,885</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256,342</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21,611</w:t>
            </w:r>
          </w:p>
        </w:tc>
        <w:tc>
          <w:tcPr>
            <w:tcW w:w="60" w:type="dxa"/>
            <w:vAlign w:val="bottom"/>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-2256155</wp:posOffset>
            </wp:positionV>
            <wp:extent cx="7161530"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-2020570</wp:posOffset>
            </wp:positionV>
            <wp:extent cx="7161530" cy="242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242570"/>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-1677035</wp:posOffset>
            </wp:positionV>
            <wp:extent cx="7161530" cy="100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-821055</wp:posOffset>
            </wp:positionV>
            <wp:extent cx="7161530"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-578485</wp:posOffset>
            </wp:positionV>
            <wp:extent cx="7161530" cy="2425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242570"/>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-234950</wp:posOffset>
            </wp:positionV>
            <wp:extent cx="7161530" cy="100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640" w:space="200"/>
            <w:col w:w="944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Balances, September 30, 2023</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Stock-based compensation</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Tax withholding related to net share</w:t>
      </w:r>
    </w:p>
    <w:p>
      <w:pPr>
        <w:spacing w:after="0" w:line="2" w:lineRule="exact"/>
        <w:rPr>
          <w:sz w:val="20"/>
          <w:szCs w:val="20"/>
          <w:color w:val="auto"/>
        </w:rPr>
      </w:pPr>
    </w:p>
    <w:p>
      <w:pPr>
        <w:ind w:left="20" w:right="420"/>
        <w:spacing w:after="0" w:line="228" w:lineRule="auto"/>
        <w:rPr>
          <w:sz w:val="20"/>
          <w:szCs w:val="20"/>
          <w:color w:val="auto"/>
        </w:rPr>
      </w:pPr>
      <w:r>
        <w:rPr>
          <w:rFonts w:ascii="Times New Roman" w:cs="Times New Roman" w:eastAsia="Times New Roman" w:hAnsi="Times New Roman"/>
          <w:sz w:val="11"/>
          <w:szCs w:val="11"/>
          <w:color w:val="auto"/>
        </w:rPr>
        <w:t>settlements of stock-based compensation awards</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Net loss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Balances,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Balances, June 30, 2023</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Stock-based compensation</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Tax withholding related to net share</w:t>
      </w:r>
    </w:p>
    <w:p>
      <w:pPr>
        <w:spacing w:after="0" w:line="2" w:lineRule="exact"/>
        <w:rPr>
          <w:sz w:val="20"/>
          <w:szCs w:val="20"/>
          <w:color w:val="auto"/>
        </w:rPr>
      </w:pPr>
    </w:p>
    <w:p>
      <w:pPr>
        <w:ind w:left="20" w:right="420"/>
        <w:spacing w:after="0" w:line="228" w:lineRule="auto"/>
        <w:rPr>
          <w:sz w:val="20"/>
          <w:szCs w:val="20"/>
          <w:color w:val="auto"/>
        </w:rPr>
      </w:pPr>
      <w:r>
        <w:rPr>
          <w:rFonts w:ascii="Times New Roman" w:cs="Times New Roman" w:eastAsia="Times New Roman" w:hAnsi="Times New Roman"/>
          <w:sz w:val="11"/>
          <w:szCs w:val="11"/>
          <w:color w:val="auto"/>
        </w:rPr>
        <w:t>settlements of stock-based compensation awards</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Net loss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Balances,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 the Three Months Ended December 31, 2023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9"/>
                <w:szCs w:val="9"/>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0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Capital Stock</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820" w:type="dxa"/>
            <w:vAlign w:val="bottom"/>
            <w:gridSpan w:val="4"/>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rPr>
              <w:t>Permanent</w:t>
            </w:r>
          </w:p>
        </w:tc>
        <w:tc>
          <w:tcPr>
            <w:tcW w:w="100" w:type="dxa"/>
            <w:vAlign w:val="bottom"/>
          </w:tcPr>
          <w:p>
            <w:pPr>
              <w:spacing w:after="0"/>
              <w:rPr>
                <w:sz w:val="9"/>
                <w:szCs w:val="9"/>
                <w:color w:val="auto"/>
              </w:rPr>
            </w:pPr>
          </w:p>
        </w:tc>
        <w:tc>
          <w:tcPr>
            <w:tcW w:w="94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Interests</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600" w:type="dxa"/>
            <w:vAlign w:val="bottom"/>
            <w:tcBorders>
              <w:bottom w:val="single" w:sz="8" w:color="auto"/>
            </w:tcBorders>
            <w:gridSpan w:val="3"/>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40" w:type="dxa"/>
            <w:vAlign w:val="bottom"/>
          </w:tcPr>
          <w:p>
            <w:pPr>
              <w:spacing w:after="0"/>
              <w:rPr>
                <w:sz w:val="8"/>
                <w:szCs w:val="8"/>
                <w:color w:val="auto"/>
              </w:rPr>
            </w:pPr>
          </w:p>
        </w:tc>
        <w:tc>
          <w:tcPr>
            <w:tcW w:w="800" w:type="dxa"/>
            <w:vAlign w:val="bottom"/>
            <w:gridSpan w:val="2"/>
          </w:tcPr>
          <w:p>
            <w:pPr>
              <w:jc w:val="center"/>
              <w:ind w:right="200"/>
              <w:spacing w:after="0" w:line="97"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820" w:type="dxa"/>
            <w:vAlign w:val="bottom"/>
            <w:tcBorders>
              <w:bottom w:val="single" w:sz="8" w:color="auto"/>
            </w:tcBorders>
            <w:gridSpan w:val="4"/>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jc w:val="center"/>
              <w:ind w:right="160"/>
              <w:spacing w:after="0" w:line="97"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8"/>
                <w:szCs w:val="8"/>
                <w:color w:val="auto"/>
              </w:rPr>
            </w:pPr>
          </w:p>
        </w:tc>
        <w:tc>
          <w:tcPr>
            <w:tcW w:w="860" w:type="dxa"/>
            <w:vAlign w:val="bottom"/>
            <w:gridSpan w:val="2"/>
          </w:tcPr>
          <w:p>
            <w:pPr>
              <w:jc w:val="center"/>
              <w:ind w:right="160"/>
              <w:spacing w:after="0" w:line="9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100" w:type="dxa"/>
            <w:vAlign w:val="bottom"/>
          </w:tcPr>
          <w:p>
            <w:pPr>
              <w:spacing w:after="0"/>
              <w:rPr>
                <w:sz w:val="8"/>
                <w:szCs w:val="8"/>
                <w:color w:val="auto"/>
              </w:rPr>
            </w:pPr>
          </w:p>
        </w:tc>
        <w:tc>
          <w:tcPr>
            <w:tcW w:w="940" w:type="dxa"/>
            <w:vAlign w:val="bottom"/>
            <w:gridSpan w:val="2"/>
          </w:tcPr>
          <w:p>
            <w:pPr>
              <w:jc w:val="center"/>
              <w:ind w:right="160"/>
              <w:spacing w:after="0" w:line="97" w:lineRule="exact"/>
              <w:rPr>
                <w:sz w:val="20"/>
                <w:szCs w:val="20"/>
                <w:color w:val="auto"/>
              </w:rPr>
            </w:pPr>
            <w:r>
              <w:rPr>
                <w:rFonts w:ascii="Times New Roman" w:cs="Times New Roman" w:eastAsia="Times New Roman" w:hAnsi="Times New Roman"/>
                <w:sz w:val="11"/>
                <w:szCs w:val="11"/>
                <w:b w:val="1"/>
                <w:bCs w:val="1"/>
                <w:color w:val="auto"/>
              </w:rPr>
              <w:t>(Temporary</w:t>
            </w:r>
          </w:p>
        </w:tc>
        <w:tc>
          <w:tcPr>
            <w:tcW w:w="76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0" w:type="dxa"/>
            <w:vAlign w:val="bottom"/>
          </w:tcPr>
          <w:p>
            <w:pPr>
              <w:spacing w:after="0"/>
              <w:rPr>
                <w:sz w:val="1"/>
                <w:szCs w:val="1"/>
                <w:color w:val="auto"/>
              </w:rPr>
            </w:pPr>
          </w:p>
        </w:tc>
      </w:tr>
      <w:tr>
        <w:trPr>
          <w:trHeight w:val="155"/>
        </w:trPr>
        <w:tc>
          <w:tcPr>
            <w:tcW w:w="9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4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9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0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0" w:type="dxa"/>
            <w:vAlign w:val="bottom"/>
          </w:tcPr>
          <w:p>
            <w:pPr>
              <w:spacing w:after="0"/>
              <w:rPr>
                <w:sz w:val="1"/>
                <w:szCs w:val="1"/>
                <w:color w:val="auto"/>
              </w:rPr>
            </w:pPr>
          </w:p>
        </w:tc>
      </w:tr>
      <w:tr>
        <w:trPr>
          <w:trHeight w:val="148"/>
        </w:trPr>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135,884,840</w:t>
            </w:r>
          </w:p>
        </w:tc>
        <w:tc>
          <w:tcPr>
            <w:tcW w:w="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136</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333,316</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(46,248)</w:t>
            </w:r>
          </w:p>
        </w:tc>
        <w:tc>
          <w:tcPr>
            <w:tcW w:w="60" w:type="dxa"/>
            <w:vAlign w:val="bottom"/>
          </w:tcPr>
          <w:p>
            <w:pPr>
              <w:spacing w:after="0"/>
              <w:rPr>
                <w:sz w:val="12"/>
                <w:szCs w:val="12"/>
                <w:color w:val="auto"/>
              </w:rPr>
            </w:pPr>
          </w:p>
        </w:tc>
        <w:tc>
          <w:tcPr>
            <w:tcW w:w="88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5,705</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292,909</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12,138</w:t>
            </w:r>
          </w:p>
        </w:tc>
        <w:tc>
          <w:tcPr>
            <w:tcW w:w="60" w:type="dxa"/>
            <w:vAlign w:val="bottom"/>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11,552</w:t>
            </w: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1,766</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1,766</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75"/>
        </w:trPr>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(3,322)</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4"/>
                <w:szCs w:val="24"/>
                <w:color w:val="auto"/>
              </w:rPr>
            </w:pP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(3,447)</w:t>
            </w:r>
          </w:p>
        </w:tc>
        <w:tc>
          <w:tcPr>
            <w:tcW w:w="60" w:type="dxa"/>
            <w:vAlign w:val="bottom"/>
          </w:tcPr>
          <w:p>
            <w:pPr>
              <w:spacing w:after="0"/>
              <w:rPr>
                <w:sz w:val="14"/>
                <w:szCs w:val="1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(3,821)</w:t>
            </w:r>
          </w:p>
        </w:tc>
        <w:tc>
          <w:tcPr>
            <w:tcW w:w="0" w:type="dxa"/>
            <w:vAlign w:val="bottom"/>
          </w:tcPr>
          <w:p>
            <w:pPr>
              <w:spacing w:after="0"/>
              <w:rPr>
                <w:sz w:val="1"/>
                <w:szCs w:val="1"/>
                <w:color w:val="auto"/>
              </w:rPr>
            </w:pPr>
          </w:p>
        </w:tc>
      </w:tr>
      <w:tr>
        <w:trPr>
          <w:trHeight w:val="153"/>
        </w:trPr>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135,893,070</w:t>
            </w: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136</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335,062</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(49,695)</w:t>
            </w:r>
          </w:p>
        </w:tc>
        <w:tc>
          <w:tcPr>
            <w:tcW w:w="60" w:type="dxa"/>
            <w:vAlign w:val="bottom"/>
          </w:tcPr>
          <w:p>
            <w:pPr>
              <w:spacing w:after="0"/>
              <w:rPr>
                <w:sz w:val="13"/>
                <w:szCs w:val="13"/>
                <w:color w:val="auto"/>
              </w:rPr>
            </w:pPr>
          </w:p>
        </w:tc>
        <w:tc>
          <w:tcPr>
            <w:tcW w:w="88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5,638</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291,141</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11,831</w:t>
            </w:r>
          </w:p>
        </w:tc>
        <w:tc>
          <w:tcPr>
            <w:tcW w:w="60" w:type="dxa"/>
            <w:vAlign w:val="bottom"/>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10"/>
          </w:tcPr>
          <w:p>
            <w:pPr>
              <w:ind w:left="640"/>
              <w:spacing w:after="0"/>
              <w:rPr>
                <w:sz w:val="20"/>
                <w:szCs w:val="20"/>
                <w:color w:val="auto"/>
              </w:rPr>
            </w:pPr>
            <w:r>
              <w:rPr>
                <w:rFonts w:ascii="Times New Roman" w:cs="Times New Roman" w:eastAsia="Times New Roman" w:hAnsi="Times New Roman"/>
                <w:sz w:val="11"/>
                <w:szCs w:val="11"/>
                <w:b w:val="1"/>
                <w:bCs w:val="1"/>
                <w:color w:val="auto"/>
              </w:rPr>
              <w:t>For the Six Months Ended December 31, 2023</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600" w:type="dxa"/>
            <w:vAlign w:val="bottom"/>
            <w:gridSpan w:val="3"/>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Capital Stock</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880" w:type="dxa"/>
            <w:vAlign w:val="bottom"/>
            <w:gridSpan w:val="5"/>
          </w:tcPr>
          <w:p>
            <w:pPr>
              <w:ind w:left="500"/>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Permanent</w:t>
            </w:r>
          </w:p>
        </w:tc>
        <w:tc>
          <w:tcPr>
            <w:tcW w:w="100" w:type="dxa"/>
            <w:vAlign w:val="bottom"/>
          </w:tcPr>
          <w:p>
            <w:pPr>
              <w:spacing w:after="0"/>
              <w:rPr>
                <w:sz w:val="11"/>
                <w:szCs w:val="11"/>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restart"/>
          </w:tcPr>
          <w:p>
            <w:pPr>
              <w:jc w:val="center"/>
              <w:ind w:right="200"/>
              <w:spacing w:after="0" w:line="96"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40" w:type="dxa"/>
            <w:vAlign w:val="bottom"/>
          </w:tcPr>
          <w:p>
            <w:pPr>
              <w:spacing w:after="0"/>
              <w:rPr>
                <w:sz w:val="3"/>
                <w:szCs w:val="3"/>
                <w:color w:val="auto"/>
              </w:rPr>
            </w:pPr>
          </w:p>
        </w:tc>
        <w:tc>
          <w:tcPr>
            <w:tcW w:w="800" w:type="dxa"/>
            <w:vAlign w:val="bottom"/>
            <w:gridSpan w:val="2"/>
            <w:vMerge w:val="restart"/>
          </w:tcPr>
          <w:p>
            <w:pPr>
              <w:jc w:val="center"/>
              <w:ind w:right="200"/>
              <w:spacing w:after="0" w:line="96"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restart"/>
          </w:tcPr>
          <w:p>
            <w:pPr>
              <w:jc w:val="center"/>
              <w:ind w:right="160"/>
              <w:spacing w:after="0" w:line="96"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3"/>
                <w:szCs w:val="3"/>
                <w:color w:val="auto"/>
              </w:rPr>
            </w:pPr>
          </w:p>
        </w:tc>
        <w:tc>
          <w:tcPr>
            <w:tcW w:w="860" w:type="dxa"/>
            <w:vAlign w:val="bottom"/>
            <w:gridSpan w:val="2"/>
            <w:vMerge w:val="restart"/>
          </w:tcPr>
          <w:p>
            <w:pPr>
              <w:jc w:val="center"/>
              <w:ind w:right="160"/>
              <w:spacing w:after="0" w:line="96"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100" w:type="dxa"/>
            <w:vAlign w:val="bottom"/>
          </w:tcPr>
          <w:p>
            <w:pPr>
              <w:spacing w:after="0"/>
              <w:rPr>
                <w:sz w:val="3"/>
                <w:szCs w:val="3"/>
                <w:color w:val="auto"/>
              </w:rPr>
            </w:pPr>
          </w:p>
        </w:tc>
        <w:tc>
          <w:tcPr>
            <w:tcW w:w="940" w:type="dxa"/>
            <w:vAlign w:val="bottom"/>
            <w:gridSpan w:val="2"/>
            <w:vMerge w:val="restart"/>
          </w:tcPr>
          <w:p>
            <w:pPr>
              <w:jc w:val="center"/>
              <w:ind w:right="160"/>
              <w:spacing w:after="0" w:line="96" w:lineRule="exact"/>
              <w:rPr>
                <w:sz w:val="20"/>
                <w:szCs w:val="20"/>
                <w:color w:val="auto"/>
              </w:rPr>
            </w:pPr>
            <w:r>
              <w:rPr>
                <w:rFonts w:ascii="Times New Roman" w:cs="Times New Roman" w:eastAsia="Times New Roman" w:hAnsi="Times New Roman"/>
                <w:sz w:val="11"/>
                <w:szCs w:val="11"/>
                <w:b w:val="1"/>
                <w:bCs w:val="1"/>
                <w:color w:val="auto"/>
              </w:rPr>
              <w:t>(Temporary</w:t>
            </w:r>
          </w:p>
        </w:tc>
        <w:tc>
          <w:tcPr>
            <w:tcW w:w="760" w:type="dxa"/>
            <w:vAlign w:val="bottom"/>
            <w:vMerge w:val="restart"/>
          </w:tcPr>
          <w:p>
            <w:pPr>
              <w:jc w:val="center"/>
              <w:spacing w:after="0" w:line="96"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0" w:type="dxa"/>
            <w:vAlign w:val="bottom"/>
          </w:tcPr>
          <w:p>
            <w:pPr>
              <w:spacing w:after="0"/>
              <w:rPr>
                <w:sz w:val="1"/>
                <w:szCs w:val="1"/>
                <w:color w:val="auto"/>
              </w:rPr>
            </w:pPr>
          </w:p>
        </w:tc>
      </w:tr>
      <w:tr>
        <w:trPr>
          <w:trHeight w:val="33"/>
        </w:trPr>
        <w:tc>
          <w:tcPr>
            <w:tcW w:w="8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vMerge w:val="restart"/>
          </w:tcPr>
          <w:p>
            <w:pPr>
              <w:spacing w:after="0"/>
              <w:rPr>
                <w:sz w:val="2"/>
                <w:szCs w:val="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8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Shares</w:t>
            </w:r>
          </w:p>
        </w:tc>
        <w:tc>
          <w:tcPr>
            <w:tcW w:w="6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880" w:type="dxa"/>
            <w:vAlign w:val="bottom"/>
            <w:tcBorders>
              <w:bottom w:val="single" w:sz="8" w:color="auto"/>
            </w:tcBorders>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0" w:type="dxa"/>
            <w:vAlign w:val="bottom"/>
          </w:tcPr>
          <w:p>
            <w:pPr>
              <w:spacing w:after="0"/>
              <w:rPr>
                <w:sz w:val="1"/>
                <w:szCs w:val="1"/>
                <w:color w:val="auto"/>
              </w:rPr>
            </w:pPr>
          </w:p>
        </w:tc>
      </w:tr>
      <w:tr>
        <w:trPr>
          <w:trHeight w:val="151"/>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135,639,845</w:t>
            </w:r>
          </w:p>
        </w:tc>
        <w:tc>
          <w:tcPr>
            <w:tcW w:w="60" w:type="dxa"/>
            <w:vAlign w:val="bottom"/>
          </w:tcPr>
          <w:p>
            <w:pPr>
              <w:spacing w:after="0"/>
              <w:rPr>
                <w:sz w:val="13"/>
                <w:szCs w:val="13"/>
                <w:color w:val="auto"/>
              </w:rPr>
            </w:pPr>
          </w:p>
        </w:tc>
        <w:tc>
          <w:tcPr>
            <w:tcW w:w="6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136</w:t>
            </w:r>
          </w:p>
        </w:tc>
        <w:tc>
          <w:tcPr>
            <w:tcW w:w="6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332,107</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(35,944)</w:t>
            </w:r>
          </w:p>
        </w:tc>
        <w:tc>
          <w:tcPr>
            <w:tcW w:w="60" w:type="dxa"/>
            <w:vAlign w:val="bottom"/>
          </w:tcPr>
          <w:p>
            <w:pPr>
              <w:spacing w:after="0"/>
              <w:rPr>
                <w:sz w:val="13"/>
                <w:szCs w:val="13"/>
                <w:color w:val="auto"/>
              </w:rPr>
            </w:pPr>
          </w:p>
        </w:tc>
        <w:tc>
          <w:tcPr>
            <w:tcW w:w="8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5,793</w:t>
            </w:r>
          </w:p>
        </w:tc>
        <w:tc>
          <w:tcPr>
            <w:tcW w:w="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302,092</w:t>
            </w:r>
          </w:p>
        </w:tc>
        <w:tc>
          <w:tcPr>
            <w:tcW w:w="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12,708</w:t>
            </w:r>
          </w:p>
        </w:tc>
        <w:tc>
          <w:tcPr>
            <w:tcW w:w="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359,401</w:t>
            </w:r>
          </w:p>
        </w:tc>
        <w:tc>
          <w:tcPr>
            <w:tcW w:w="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3,589</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3,589</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75"/>
        </w:trPr>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(106,176)</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24"/>
                <w:szCs w:val="24"/>
                <w:color w:val="auto"/>
              </w:rPr>
            </w:pP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(13,751)</w:t>
            </w:r>
          </w:p>
        </w:tc>
        <w:tc>
          <w:tcPr>
            <w:tcW w:w="60" w:type="dxa"/>
            <w:vAlign w:val="bottom"/>
          </w:tcPr>
          <w:p>
            <w:pPr>
              <w:spacing w:after="0"/>
              <w:rPr>
                <w:sz w:val="14"/>
                <w:szCs w:val="14"/>
                <w:color w:val="auto"/>
              </w:rPr>
            </w:pPr>
          </w:p>
        </w:tc>
        <w:tc>
          <w:tcPr>
            <w:tcW w:w="94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4"/>
                <w:szCs w:val="14"/>
                <w:color w:val="auto"/>
              </w:rPr>
            </w:pP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(13,906)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(877)</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(14,783)</w:t>
            </w:r>
          </w:p>
        </w:tc>
        <w:tc>
          <w:tcPr>
            <w:tcW w:w="0" w:type="dxa"/>
            <w:vAlign w:val="bottom"/>
          </w:tcPr>
          <w:p>
            <w:pPr>
              <w:spacing w:after="0"/>
              <w:rPr>
                <w:sz w:val="1"/>
                <w:szCs w:val="1"/>
                <w:color w:val="auto"/>
              </w:rPr>
            </w:pPr>
          </w:p>
        </w:tc>
      </w:tr>
      <w:tr>
        <w:trPr>
          <w:trHeight w:val="153"/>
        </w:trPr>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135,893,070</w:t>
            </w: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136</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335,062</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(49,695)</w:t>
            </w:r>
          </w:p>
        </w:tc>
        <w:tc>
          <w:tcPr>
            <w:tcW w:w="60" w:type="dxa"/>
            <w:vAlign w:val="bottom"/>
          </w:tcPr>
          <w:p>
            <w:pPr>
              <w:spacing w:after="0"/>
              <w:rPr>
                <w:sz w:val="13"/>
                <w:szCs w:val="13"/>
                <w:color w:val="auto"/>
              </w:rPr>
            </w:pPr>
          </w:p>
        </w:tc>
        <w:tc>
          <w:tcPr>
            <w:tcW w:w="88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w w:val="90"/>
              </w:rPr>
              <w:t>—</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5,638</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291,141</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11,831</w:t>
            </w:r>
          </w:p>
        </w:tc>
        <w:tc>
          <w:tcPr>
            <w:tcW w:w="60" w:type="dxa"/>
            <w:vAlign w:val="bottom"/>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-1164590</wp:posOffset>
            </wp:positionH>
            <wp:positionV relativeFrom="paragraph">
              <wp:posOffset>-2054225</wp:posOffset>
            </wp:positionV>
            <wp:extent cx="7161530" cy="121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-1818640</wp:posOffset>
            </wp:positionV>
            <wp:extent cx="7161530" cy="242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242570"/>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-1475105</wp:posOffset>
            </wp:positionV>
            <wp:extent cx="7161530" cy="121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-720090</wp:posOffset>
            </wp:positionV>
            <wp:extent cx="7161530"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-477520</wp:posOffset>
            </wp:positionV>
            <wp:extent cx="7161530" cy="2425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242570"/>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-133985</wp:posOffset>
            </wp:positionV>
            <wp:extent cx="7161530" cy="121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640" w:space="200"/>
            <w:col w:w="944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INNOVAGE HOLDING CORP. AND SUBSIDIARIES</w:t>
      </w:r>
    </w:p>
    <w:p>
      <w:pPr>
        <w:spacing w:after="0" w:line="13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258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For the Six Months Ended December 31,</w:t>
            </w:r>
          </w:p>
        </w:tc>
        <w:tc>
          <w:tcPr>
            <w:tcW w:w="480" w:type="dxa"/>
            <w:vAlign w:val="bottom"/>
            <w:tcBorders>
              <w:bottom w:val="single" w:sz="8" w:color="auto"/>
            </w:tcBorders>
          </w:tcPr>
          <w:p>
            <w:pPr>
              <w:spacing w:after="0"/>
              <w:rPr>
                <w:sz w:val="13"/>
                <w:szCs w:val="13"/>
                <w:color w:val="auto"/>
              </w:rPr>
            </w:pPr>
          </w:p>
        </w:tc>
      </w:tr>
      <w:tr>
        <w:trPr>
          <w:trHeight w:val="169"/>
        </w:trPr>
        <w:tc>
          <w:tcPr>
            <w:tcW w:w="82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r>
      <w:tr>
        <w:trPr>
          <w:trHeight w:val="14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9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53"/>
        </w:trPr>
        <w:tc>
          <w:tcPr>
            <w:tcW w:w="8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980" w:type="dxa"/>
            <w:vAlign w:val="bottom"/>
          </w:tcPr>
          <w:p>
            <w:pPr>
              <w:jc w:val="right"/>
              <w:ind w:right="84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(19,201)</w:t>
            </w:r>
          </w:p>
        </w:tc>
        <w:tc>
          <w:tcPr>
            <w:tcW w:w="80" w:type="dxa"/>
            <w:vAlign w:val="bottom"/>
          </w:tcPr>
          <w:p>
            <w:pPr>
              <w:spacing w:after="0"/>
              <w:rPr>
                <w:sz w:val="13"/>
                <w:szCs w:val="13"/>
                <w:color w:val="auto"/>
              </w:rPr>
            </w:pPr>
          </w:p>
        </w:tc>
        <w:tc>
          <w:tcPr>
            <w:tcW w:w="1000" w:type="dxa"/>
            <w:vAlign w:val="bottom"/>
          </w:tcPr>
          <w:p>
            <w:pPr>
              <w:jc w:val="right"/>
              <w:ind w:right="8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(14,783)</w:t>
            </w:r>
          </w:p>
        </w:tc>
      </w:tr>
      <w:tr>
        <w:trPr>
          <w:trHeight w:val="165"/>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Gain (loss) on disposal of assets</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Provision for uncollectible accounts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524</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2,881</w:t>
            </w: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10,730</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8,559</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Operating lease rentals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3,107</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2,346</w:t>
            </w: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Impairment of right-of-use asset and construction in progress</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8,495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 of deferred financing costs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215</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w:t>
            </w: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Stock-based compensation</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4,035</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3,589</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Loss on minority equity interest investment</w:t>
            </w:r>
          </w:p>
        </w:tc>
        <w:tc>
          <w:tcPr>
            <w:tcW w:w="9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1,882</w:t>
            </w: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Deferred income taxes</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437</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net</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709</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53"/>
        </w:trPr>
        <w:tc>
          <w:tcPr>
            <w:tcW w:w="8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Changes in operating assets and liabilities, net of acquisitions</w:t>
            </w: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Accounts receivable, net</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(2,176)</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(21,430)</w:t>
            </w: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Prepaid expenses</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(9,084)</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3,014</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Deposits and other</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(1,396)</w:t>
            </w: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Accounts payable and accrued expenses</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2,717</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(2,245)</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Reported and estimated claims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3,864</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4,137</w:t>
            </w: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Due to Medicaid and Medicare</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(1,340)</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1,122</w:t>
            </w:r>
          </w:p>
        </w:tc>
      </w:tr>
      <w:tr>
        <w:trPr>
          <w:trHeight w:val="16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(3,181)</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(2,362)</w:t>
            </w:r>
          </w:p>
        </w:tc>
      </w:tr>
      <w:tr>
        <w:trPr>
          <w:trHeight w:val="153"/>
        </w:trPr>
        <w:tc>
          <w:tcPr>
            <w:tcW w:w="8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Deferred revenue</w:t>
            </w:r>
          </w:p>
        </w:tc>
        <w:tc>
          <w:tcPr>
            <w:tcW w:w="9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(28,115)</w:t>
            </w:r>
          </w:p>
        </w:tc>
      </w:tr>
      <w:tr>
        <w:trPr>
          <w:trHeight w:val="156"/>
        </w:trPr>
        <w:tc>
          <w:tcPr>
            <w:tcW w:w="82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Net cash used in operating activities</w:t>
            </w:r>
          </w:p>
        </w:tc>
        <w:tc>
          <w:tcPr>
            <w:tcW w:w="9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(763)</w:t>
            </w: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(42,279)</w:t>
            </w:r>
          </w:p>
        </w:tc>
      </w:tr>
      <w:tr>
        <w:trPr>
          <w:trHeight w:val="140"/>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69"/>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(3,543)</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(4,157)</w:t>
            </w:r>
          </w:p>
        </w:tc>
      </w:tr>
      <w:tr>
        <w:trPr>
          <w:trHeight w:val="153"/>
        </w:trPr>
        <w:tc>
          <w:tcPr>
            <w:tcW w:w="8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Purchases of short-term investments</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(1,179)</w:t>
            </w:r>
          </w:p>
        </w:tc>
      </w:tr>
      <w:tr>
        <w:trPr>
          <w:trHeight w:val="165"/>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Proceeds from sale of short-term investments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6,300</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w:t>
            </w:r>
          </w:p>
        </w:tc>
      </w:tr>
      <w:tr>
        <w:trPr>
          <w:trHeight w:val="153"/>
        </w:trPr>
        <w:tc>
          <w:tcPr>
            <w:tcW w:w="8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Acquisition of business</w:t>
            </w:r>
          </w:p>
        </w:tc>
        <w:tc>
          <w:tcPr>
            <w:tcW w:w="9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(23,916)</w:t>
            </w:r>
          </w:p>
        </w:tc>
      </w:tr>
      <w:tr>
        <w:trPr>
          <w:trHeight w:val="156"/>
        </w:trPr>
        <w:tc>
          <w:tcPr>
            <w:tcW w:w="82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9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1,610</w:t>
            </w: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(26,252)</w:t>
            </w:r>
          </w:p>
        </w:tc>
      </w:tr>
      <w:tr>
        <w:trPr>
          <w:trHeight w:val="134"/>
        </w:trPr>
        <w:tc>
          <w:tcPr>
            <w:tcW w:w="8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64"/>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Payments for finance lease obligations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(3,130)</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(2,107)</w:t>
            </w:r>
          </w:p>
        </w:tc>
      </w:tr>
      <w:tr>
        <w:trPr>
          <w:trHeight w:val="153"/>
        </w:trPr>
        <w:tc>
          <w:tcPr>
            <w:tcW w:w="8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Principal payments on long-term debt</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(1,898)</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(1,897)</w:t>
            </w:r>
          </w:p>
        </w:tc>
      </w:tr>
      <w:tr>
        <w:trPr>
          <w:trHeight w:val="165"/>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Repurchase of equity securities</w:t>
            </w:r>
          </w:p>
        </w:tc>
        <w:tc>
          <w:tcPr>
            <w:tcW w:w="9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(5,912)</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Taxes paid related to net settlements of stock-based compensation awards</w:t>
            </w:r>
          </w:p>
        </w:tc>
        <w:tc>
          <w:tcPr>
            <w:tcW w:w="9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(776)</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(634)</w:t>
            </w:r>
          </w:p>
        </w:tc>
      </w:tr>
      <w:tr>
        <w:trPr>
          <w:trHeight w:val="15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9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(11,716)</w:t>
            </w:r>
          </w:p>
        </w:tc>
        <w:tc>
          <w:tcPr>
            <w:tcW w:w="8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(4,638)</w:t>
            </w:r>
          </w:p>
        </w:tc>
      </w:tr>
      <w:tr>
        <w:trPr>
          <w:trHeight w:val="156"/>
        </w:trPr>
        <w:tc>
          <w:tcPr>
            <w:tcW w:w="8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5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DECREASE IN CASH, CASH EQUIVALENTS &amp; RESTRICTED CASH</w:t>
            </w: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(10,869)</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(73,169)</w:t>
            </w:r>
          </w:p>
        </w:tc>
      </w:tr>
      <w:tr>
        <w:trPr>
          <w:trHeight w:val="15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&amp; RESTRICTED CASH, BEGINNING OF PERIOD</w:t>
            </w:r>
          </w:p>
        </w:tc>
        <w:tc>
          <w:tcPr>
            <w:tcW w:w="9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56,960</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127,265</w:t>
            </w:r>
          </w:p>
        </w:tc>
      </w:tr>
      <w:tr>
        <w:trPr>
          <w:trHeight w:val="18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&amp; RESTRICTED CASH, END OF PERIOD</w:t>
            </w:r>
          </w:p>
        </w:tc>
        <w:tc>
          <w:tcPr>
            <w:tcW w:w="980" w:type="dxa"/>
            <w:vAlign w:val="bottom"/>
            <w:tcBorders>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46,091</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54,096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8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15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Cash Flows Information</w:t>
            </w:r>
          </w:p>
        </w:tc>
        <w:tc>
          <w:tcPr>
            <w:tcW w:w="9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53"/>
        </w:trPr>
        <w:tc>
          <w:tcPr>
            <w:tcW w:w="8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 paid</w:t>
            </w:r>
          </w:p>
        </w:tc>
        <w:tc>
          <w:tcPr>
            <w:tcW w:w="980" w:type="dxa"/>
            <w:vAlign w:val="bottom"/>
          </w:tcPr>
          <w:p>
            <w:pPr>
              <w:jc w:val="right"/>
              <w:ind w:right="84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2,305</w:t>
            </w:r>
          </w:p>
        </w:tc>
        <w:tc>
          <w:tcPr>
            <w:tcW w:w="80" w:type="dxa"/>
            <w:vAlign w:val="bottom"/>
          </w:tcPr>
          <w:p>
            <w:pPr>
              <w:spacing w:after="0"/>
              <w:rPr>
                <w:sz w:val="13"/>
                <w:szCs w:val="13"/>
                <w:color w:val="auto"/>
              </w:rPr>
            </w:pPr>
          </w:p>
        </w:tc>
        <w:tc>
          <w:tcPr>
            <w:tcW w:w="1000" w:type="dxa"/>
            <w:vAlign w:val="bottom"/>
          </w:tcPr>
          <w:p>
            <w:pPr>
              <w:jc w:val="right"/>
              <w:ind w:right="8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1,254</w:t>
            </w:r>
          </w:p>
        </w:tc>
      </w:tr>
      <w:tr>
        <w:trPr>
          <w:trHeight w:val="165"/>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Income taxes paid</w:t>
            </w:r>
          </w:p>
        </w:tc>
        <w:tc>
          <w:tcPr>
            <w:tcW w:w="98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Property and equipment included in accounts payable</w:t>
            </w:r>
          </w:p>
        </w:tc>
        <w:tc>
          <w:tcPr>
            <w:tcW w:w="980" w:type="dxa"/>
            <w:vAlign w:val="bottom"/>
          </w:tcPr>
          <w:p>
            <w:pPr>
              <w:jc w:val="right"/>
              <w:ind w:right="84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tcPr>
          <w:p>
            <w:pPr>
              <w:spacing w:after="0"/>
              <w:rPr>
                <w:sz w:val="13"/>
                <w:szCs w:val="13"/>
                <w:color w:val="auto"/>
              </w:rPr>
            </w:pPr>
          </w:p>
        </w:tc>
        <w:tc>
          <w:tcPr>
            <w:tcW w:w="1000" w:type="dxa"/>
            <w:vAlign w:val="bottom"/>
          </w:tcPr>
          <w:p>
            <w:pPr>
              <w:jc w:val="right"/>
              <w:ind w:right="8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w:t>
            </w:r>
          </w:p>
        </w:tc>
      </w:tr>
      <w:tr>
        <w:trPr>
          <w:trHeight w:val="165"/>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Property and equipment purchased under finance leases</w:t>
            </w:r>
          </w:p>
        </w:tc>
        <w:tc>
          <w:tcPr>
            <w:tcW w:w="98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r>
    </w:tbl>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INNOVAGE HOLDING CORP. AND SUBSIDIARIES</w:t>
      </w:r>
    </w:p>
    <w:p>
      <w:pPr>
        <w:spacing w:after="0" w:line="17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Notes to Condensed Consolidated Financial Statements</w:t>
      </w:r>
    </w:p>
    <w:p>
      <w:pPr>
        <w:spacing w:after="0" w:line="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Business</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InnovAge Holding Corp. and its subsidiaries (“InnovAge” or the "Company") are headquartered in Denver, Colorado. The Company’s participant-centered care delivery approach is designed to improve the quality of care the Company’s participants receive, while keeping them in their homes for as long as safely possible. Through the Company’s Program of All-Inclusive Care for the Elderly (“PACE”) program, the Company fulfills a broad range of medical and ancillary services for seniors, including in-center services such as primary care, physical therapy, occupational therapy, speech therapy, dental services, mental health and psychiatric services, meals, and activities; transportation to and from the PACE center and third-party medical appointments; and care management. The Company manages its business as one reportable segment, PACE.</w:t>
      </w:r>
    </w:p>
    <w:p>
      <w:pPr>
        <w:spacing w:after="0" w:line="14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the Company served approximately 7,480 PACE participants, making it the largest PACE provider in the United States of America (the “U.S.”) based upon participants served, and operated 20 PACE centers across California, Colorado, Florida, New Mexico, Pennsylvania and Virginia.</w:t>
      </w:r>
    </w:p>
    <w:p>
      <w:pPr>
        <w:spacing w:after="0" w:line="12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common stock is traded on the Nasdaq Stock Market LLC under the ticker symbol “INNV”.</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described its significant accounting policies in Note 2, “Summary of Significant Accounting Policies” of the Notes to Consolidated Financial Statements in its Annual Report on Form 10-K for the year ended June 30, 2024 (“2024 10-K”). There were no significant changes to those accounting policies during the six months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Preparation and Principles of Consolidation</w:t>
      </w:r>
    </w:p>
    <w:p>
      <w:pPr>
        <w:spacing w:after="0" w:line="18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unaudited interim condensed consolidated financial statements and accompanying notes have been prepared in accordance with accounting principles generally accepted in the U.S. (“U.S. GAAP”) for interim financial information and with the instructions to Form 10-Q and Article 10 of Regulation S-X. Accordingly, certain information and footnote disclosures normally included in financial statements prepared in accordance with U.S. GAAP have been omitted pursuant to such regulations. These financial statements have been prepared on a basis consistent with the accounting principles applied for the fiscal year ended June 30, 2024. In the opinion of management, all adjustments (consisting of all normal and recurring adjustments) considered necessary for a fair presentation have been included. The condensed consolidated financial statements include the accounts of the Company, its wholly owned subsidiaries and variable interest entities (“VIEs”) for which it is the primary beneficiary and entities for which it is the controlling interest. All intercompany accounts and transactions have been eliminated in consolidation.</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does not have any components of comprehensive income and comprehensive income is equal to net loss reported in the statements of operations for all periods presented.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Property and equipment were comprised of the following as of December 31, 2024 and June 30,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260" w:type="dxa"/>
            <w:vAlign w:val="bottom"/>
          </w:tcPr>
          <w:p>
            <w:pPr>
              <w:spacing w:after="0"/>
              <w:rPr>
                <w:sz w:val="11"/>
                <w:szCs w:val="11"/>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20" w:type="dxa"/>
            <w:vAlign w:val="bottom"/>
          </w:tcPr>
          <w:p>
            <w:pPr>
              <w:spacing w:after="0"/>
              <w:rPr>
                <w:sz w:val="11"/>
                <w:szCs w:val="11"/>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0" w:type="dxa"/>
            <w:vAlign w:val="bottom"/>
          </w:tcPr>
          <w:p>
            <w:pPr>
              <w:spacing w:after="0"/>
              <w:rPr>
                <w:sz w:val="1"/>
                <w:szCs w:val="1"/>
                <w:color w:val="auto"/>
              </w:rPr>
            </w:pPr>
          </w:p>
        </w:tc>
      </w:tr>
      <w:tr>
        <w:trPr>
          <w:trHeight w:val="153"/>
        </w:trPr>
        <w:tc>
          <w:tcPr>
            <w:tcW w:w="6660" w:type="dxa"/>
            <w:vAlign w:val="bottom"/>
            <w:vMerge w:val="continue"/>
          </w:tcPr>
          <w:p>
            <w:pPr>
              <w:spacing w:after="0"/>
              <w:rPr>
                <w:sz w:val="13"/>
                <w:szCs w:val="13"/>
                <w:color w:val="auto"/>
              </w:rPr>
            </w:pP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Useful Lives</w:t>
            </w:r>
          </w:p>
        </w:tc>
        <w:tc>
          <w:tcPr>
            <w:tcW w:w="260" w:type="dxa"/>
            <w:vAlign w:val="bottom"/>
          </w:tcPr>
          <w:p>
            <w:pPr>
              <w:spacing w:after="0"/>
              <w:rPr>
                <w:sz w:val="13"/>
                <w:szCs w:val="13"/>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5"/>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5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center"/>
              <w:ind w:right="469"/>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11,970</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11,970</w:t>
            </w:r>
          </w:p>
        </w:tc>
        <w:tc>
          <w:tcPr>
            <w:tcW w:w="0" w:type="dxa"/>
            <w:vAlign w:val="bottom"/>
          </w:tcPr>
          <w:p>
            <w:pPr>
              <w:spacing w:after="0"/>
              <w:rPr>
                <w:sz w:val="1"/>
                <w:szCs w:val="1"/>
                <w:color w:val="auto"/>
              </w:rPr>
            </w:pP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leasehold improvements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- 40 years</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156,158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156,064</w:t>
            </w:r>
          </w:p>
        </w:tc>
        <w:tc>
          <w:tcPr>
            <w:tcW w:w="0" w:type="dxa"/>
            <w:vAlign w:val="bottom"/>
          </w:tcPr>
          <w:p>
            <w:pPr>
              <w:spacing w:after="0"/>
              <w:rPr>
                <w:sz w:val="1"/>
                <w:szCs w:val="1"/>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- 5 years</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30,678</w:t>
            </w:r>
          </w:p>
        </w:tc>
        <w:tc>
          <w:tcPr>
            <w:tcW w:w="0" w:type="dxa"/>
            <w:vAlign w:val="bottom"/>
          </w:tcPr>
          <w:p>
            <w:pPr>
              <w:spacing w:after="0"/>
              <w:rPr>
                <w:sz w:val="1"/>
                <w:szCs w:val="1"/>
                <w:color w:val="auto"/>
              </w:rPr>
            </w:pP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 and vehicles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- 7 years</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70,161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69,495</w:t>
            </w:r>
          </w:p>
        </w:tc>
        <w:tc>
          <w:tcPr>
            <w:tcW w:w="0" w:type="dxa"/>
            <w:vAlign w:val="bottom"/>
          </w:tcPr>
          <w:p>
            <w:pPr>
              <w:spacing w:after="0"/>
              <w:rPr>
                <w:sz w:val="1"/>
                <w:szCs w:val="1"/>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5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620"/>
              <w:spacing w:after="0"/>
              <w:rPr>
                <w:sz w:val="20"/>
                <w:szCs w:val="20"/>
                <w:color w:val="auto"/>
              </w:rPr>
            </w:pPr>
            <w:r>
              <w:rPr>
                <w:rFonts w:ascii="Times New Roman" w:cs="Times New Roman" w:eastAsia="Times New Roman" w:hAnsi="Times New Roman"/>
                <w:sz w:val="14"/>
                <w:szCs w:val="14"/>
                <w:color w:val="auto"/>
                <w:w w:val="99"/>
              </w:rPr>
              <w:t>N/A</w:t>
            </w: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12,234</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276,157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280,441</w:t>
            </w:r>
          </w:p>
        </w:tc>
        <w:tc>
          <w:tcPr>
            <w:tcW w:w="0" w:type="dxa"/>
            <w:vAlign w:val="bottom"/>
          </w:tcPr>
          <w:p>
            <w:pPr>
              <w:spacing w:after="0"/>
              <w:rPr>
                <w:sz w:val="1"/>
                <w:szCs w:val="1"/>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(97,133)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(87,419)</w:t>
            </w:r>
          </w:p>
        </w:tc>
        <w:tc>
          <w:tcPr>
            <w:tcW w:w="0" w:type="dxa"/>
            <w:vAlign w:val="bottom"/>
          </w:tcPr>
          <w:p>
            <w:pPr>
              <w:spacing w:after="0"/>
              <w:rPr>
                <w:sz w:val="1"/>
                <w:szCs w:val="1"/>
                <w:color w:val="auto"/>
              </w:rPr>
            </w:pPr>
          </w:p>
        </w:tc>
      </w:tr>
      <w:tr>
        <w:trPr>
          <w:trHeight w:val="171"/>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property and equipment, net</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179,024</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193,022</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Depreciation of $5.2 million and $4.1 million was recorded during the three months ended December 31, 2024 and 2023, respectively. Depreciation of $10.4 million and $8.2 million was recorded during the six months ended December 31, 2024 and 2023, respectively.</w:t>
      </w:r>
    </w:p>
    <w:p>
      <w:pPr>
        <w:spacing w:after="0" w:line="12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recorded a $1.4 million impairment of operating lease right-of-use ("ROU") assets and a $7.1 million impairment of construction in progress during the three and six months ended December 31, 2024, related to halting developments to a previously planned de novo center in Louisville, Kentucky that the Company is no longer pursuing. There were no impairments recorded during the three and six months ended December 31,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 Not Yet Adopted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Reporting</w:t>
      </w:r>
    </w:p>
    <w:p>
      <w:pPr>
        <w:spacing w:after="0" w:line="179"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 xml:space="preserve">In November 2023, the Financial Accounting Standards Board ("FASB") issued Accounting Standards Update ("ASU") 2023-07, </w:t>
      </w:r>
      <w:r>
        <w:rPr>
          <w:rFonts w:ascii="Times New Roman" w:cs="Times New Roman" w:eastAsia="Times New Roman" w:hAnsi="Times New Roman"/>
          <w:sz w:val="14"/>
          <w:szCs w:val="14"/>
          <w:i w:val="1"/>
          <w:iCs w:val="1"/>
          <w:color w:val="auto"/>
        </w:rPr>
        <w:t>Segment Reporting (Topic 280): Improvements to Reportable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Segment Disclosures</w:t>
      </w:r>
      <w:r>
        <w:rPr>
          <w:rFonts w:ascii="Times New Roman" w:cs="Times New Roman" w:eastAsia="Times New Roman" w:hAnsi="Times New Roman"/>
          <w:sz w:val="14"/>
          <w:szCs w:val="14"/>
          <w:color w:val="auto"/>
        </w:rPr>
        <w:t>. ASU 2023-07 improves reportable segment disclosure requirements, primarily through enhanced disclosures about significant segment expenses that are regularly provided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chief operating decision maker. Additionally, ASU 2023-07 requires that all existing annual segment disclosures be provided on an interim basis and clarifies that single reportable segment entities are subject to the disclosure requirement under Topic 280 in its entirety. ASU 2023-07 will be applied retrospectively and is effective for fiscal years beginning after December 15, 2023 and for interim periods in fiscal years beginning after December 15, 2024. The Company is evaluating the impact of ASU 2023-07 on its condensed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79"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ASU 2023-09 requires additional disclosures related to rate reconciliation, income taxes paid, and other disclosures. ASU 2023-09 requires public companies to annually (i) disclose specific categories in the rate reconciliation and (ii) provide additional information for reconciling items that meet a quantitative threshold. Additionally, ASU 2023-09 requires public companies to annually disclose the amount of income taxes paid, disaggregated by federal, state, and foreign taxes, as well as the amount of income taxes paid by individual jurisdiction. For smaller reporting companies, such as the Company, ASU 2023-09 is effective for annual periods beginning after December 15, 2025. The Company is currently evaluating the impact of ASU 2023-09 on its condensed consolidated financial statements.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does not expect that any other recently issued accounting guidance will have a significant effect on its condensed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Revenue Recognition</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Under ASC 606, revenue is recognized when a customer obtains control of promised goods or services, in an amount that reflects the consideration which the entity expects to receive in exchange for those goods or services. To determine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 recognition,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Capitation Revenue and Accounts Receivable</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Medicare and Medicaid on a per member, per month (“PMPM”) basis. We receive 100% of the pooled capitated payment to directly provide or manage the healthcare needs of our participants.</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spacing w:after="0" w:line="12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over time as the Company provides comprehensive care to its participants.</w:t>
      </w:r>
    </w:p>
    <w:p>
      <w:pPr>
        <w:spacing w:after="0" w:line="13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revenues are based on the estimated PMPM amounts we expect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 Costs to obtain contracts consist of sales commissions for new enrollees and are included in Deposits and other on our condensed consolidated balance sheets. These costs are amortized over a three-year period which corresponds to the average time a participant is enrolled in the PACE program. As of December 31, 2024 and June 30, 2024, contract assets included within deposits and other were $1.9 million and $2.8 million, respectively.</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disaggregates capitation revenue from the following sources for the six months ended:</w:t>
      </w:r>
    </w:p>
    <w:p>
      <w:pPr>
        <w:spacing w:after="0" w:line="206"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4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Medicaid</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r>
      <w:tr>
        <w:trPr>
          <w:trHeight w:val="18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Medicare</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191"/>
        </w:trPr>
        <w:tc>
          <w:tcPr>
            <w:tcW w:w="9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determined the transaction price for these contracts is the amount we expect to be entitled to, which is the most likely amount. For certain capitation payments, the Company is subject to retroactive premium risk adjustment payments according to the CMS risk adjustment payment timeline. Specifically, there is a midyear true up payment based on updated risk score calculations and a final true up payment to allow for complete diagnosis submission. The Company estimates the amount of the adjustment and records it monthly on a straight-line basis. These adjustments are not expected to be material.</w:t>
      </w:r>
    </w:p>
    <w:p>
      <w:pPr>
        <w:spacing w:after="0" w:line="1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capitation revenues are recognized based on the estimated PMPM transaction price to transfer the service for a distinct increment of the series (i.e. month). We recognize revenue over time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and records a monthly adjustment to Medicare Part D revenues associated with these risk-sharing corridor provisions. Medicare Part D comprised 14% and 12% of capitation revenues for the three months ended December 31, 2024 and 2023, respectively. Medicare Part D comprised 14% and 12% of capitation revenues for the six months ended December 31, 2024 and 2023, respectively.</w:t>
      </w:r>
    </w:p>
    <w:p>
      <w:pPr>
        <w:spacing w:after="0" w:line="12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provides comprehensive healthcare services to participants on the basis of capitated or fixed fees per participant that are paid monthly by Medicare, Medicaid, the VA and private pay sources. Our accounts receivable as of December 31, 2024 and June 30, 2024 were primarily from capitation revenue arrangements. The concentration of net receivables from participants and third-party payers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40" w:type="dxa"/>
            <w:vAlign w:val="bottom"/>
          </w:tcPr>
          <w:p>
            <w:pPr>
              <w:spacing w:after="0"/>
              <w:rPr>
                <w:sz w:val="11"/>
                <w:szCs w:val="11"/>
                <w:color w:val="auto"/>
              </w:rPr>
            </w:pPr>
          </w:p>
        </w:tc>
        <w:tc>
          <w:tcPr>
            <w:tcW w:w="1160" w:type="dxa"/>
            <w:vAlign w:val="bottom"/>
          </w:tcPr>
          <w:p>
            <w:pPr>
              <w:jc w:val="center"/>
              <w:ind w:left="36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June 30,</w:t>
            </w:r>
          </w:p>
        </w:tc>
      </w:tr>
      <w:tr>
        <w:trPr>
          <w:trHeight w:val="153"/>
        </w:trPr>
        <w:tc>
          <w:tcPr>
            <w:tcW w:w="9200" w:type="dxa"/>
            <w:vAlign w:val="bottom"/>
            <w:gridSpan w:val="2"/>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5"/>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Medicaid</w:t>
            </w:r>
          </w:p>
        </w:tc>
        <w:tc>
          <w:tcPr>
            <w:tcW w:w="11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71 %</w:t>
            </w:r>
          </w:p>
        </w:tc>
      </w:tr>
      <w:tr>
        <w:trPr>
          <w:trHeight w:val="18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Medicare</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pay and other</w:t>
            </w:r>
          </w:p>
        </w:tc>
        <w:tc>
          <w:tcPr>
            <w:tcW w:w="11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8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71"/>
        </w:trPr>
        <w:tc>
          <w:tcPr>
            <w:tcW w:w="92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80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records accounts receivable at net realizable value based upon the estimated amounts the Company expects to be entitled to receive from Medicare, Medicaid, the VA and private pay sources. Estimated reimbursement amounts are adjusted in future periods as final settlements are determined. Accounts are written off as bad debts when they are deemed uncollectible based upon individual credit evaluations and specific circumstances underlying the accounts.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Service Revenue and Accounts Receivable</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Other service revenue primarily consists of revenues derived from state food grants and rent revenues. Accounts receivable related to other service revenue were not significant as of both December 31, 2024 and June 30, 2024.</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Cost and Equity Method Investments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held cost method investments of $2.6 million as of both December 31, 2024 and June 30,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Nonconsolidated Entities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Method Investments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maintains one investment that is accounted for using the cost method. The Company's ownership interest is less than 20% of the voting stock of the investment and the Company does not have the ability to exercise significant influence over the operating and financial policies of the investments. The investment does not have a readily determinable fair value and the Company has elected to record the investments at cost, less impairment, if any, plus or minus any changes resulting from observable price changes in orderly transactions for the identical or similar investment of the same issuer. During the three and six months ended December 31, 2024 and 2023, there were no observable price changes or impairment recorded.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Jetdoc</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August 2021, the Company acquired a minority interest equal to 806,481 shares of the outstanding common stock of Jetdoc, Inc. (“Jetdoc”), a telehealth and virtual urgent care app dedicated to effectively connecting users with medical professionals, for cash consideration of $2.0 million. We determined that indicators of impairment were present as of December 31, 2023, and recognized an impairment loss of $1.9 million during the three months then ended. During the three months ended March 31, 2024, we determined that the remaining balance of our investment in Jetdoc was impaired and recognized an additional impairment loss of $0.1 million. During the three and six months ended December 31, 2023, there were no observable price changes or impairments recorded. As of December 31, 2024, the Company did not have any ownership interest in Jetdoc.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DispatchHealth</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June 14, 2019, the Company invested $1.5 million in DispatchHealth Holdings, Inc. ("DispatchHealth"), through the purchase of a portion of its outstanding Series B Preferred Stock. On April 2, 2020, the Company invested an additional $1.1 million through the purchase of a portion of its outstanding Series C Preferred Stock. As of December 31, 2024, the balance of the Company’s investment was $2.6 million, which represents the maximum exposure to loss. The investment does not have a readily determinable fair value and the Company has elected to record the investment at cost, less impairment, if any, plus or minus any changes resulting from observable price changes in orderly transactions for the identical or similar investment of the same issuer. During the three and six months ended December 31, 2024 and 2023, there were no observable price changes or impairments.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Method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Pinewood Lodge</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Through May 2, 2024, the Company’s operations included a Senior Housing unit that primarily included the accounts of Continental Community Housing (“CCH”), a wholly-owned subsidiary of the Company and the general partner of Pinewood Lodge, LLLP (“PWD”), which was organized to develop, construct, own, maintain, and operate certain apartment complexes intended for rental to low-income elderly individuals aged 62 or older.</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PWD was accounted for using the equity method of accounting. As of December 31, 2023, the balance of the Company’s investment in PWD was $0.8 million, which represented the maximum exposure to loss.</w:t>
      </w:r>
    </w:p>
    <w:p>
      <w:pPr>
        <w:spacing w:after="0" w:line="12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March 13, 2024, PWD entered into a Purchase and Sale Agreement for the sale of all of PWD's property, including the Senior Housing unit. On May 2, 2024, PWD closed on the sale of its Senior Housing property for $9.5 million. Upon completion of the sale, PWD ceased providing senior housing services and in June 2024 was dissolved. Following the dissolution, the remaining proceeds from the sale were distributed in accordance with the partnership agreement and as otherwise agreed by the partners.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Entities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Controlling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InnovAge Florida PACE – Orlando</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May 28, 2024, the Company entered into a joint venture with Orlando Health (“OHI”) to develop and manage PACE centers to serve communities in Orlando, Florida. In connection with the joint venture, OHI, InnovAge Orlando PACE II, LLC ("InnovAge Orlando"), the joint venture, and the Company entered into a Contribution Agreement pursuant to which OHI made a cash contribution of $2.9 million to InnovAge Orlando for a proportionate 10% interest ownership. The Company's total contribution was $26.1 million for its controlling membership interest of 90%. As a result, the joint venture’s results are consolidated in the Company’s condensed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Noncontrolling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Senior Housing</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Company’s operations include a 0.01% partnership interest in InnovAge Senior Housing Thornton, LLC (“SH1”), which was organized to develop, construct, own, maintain, and operate certain apartment complexes intended for rental to low-income elderly individuals aged 62 or older.</w:t>
      </w:r>
    </w:p>
    <w:p>
      <w:pPr>
        <w:spacing w:after="0" w:line="12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SH1 is a Variable Interest Entity ("VIE"). The Company is the primary beneficiary of SH1 and consolidates SH1 as it has the power to direct the activities that are most significant to SH1 and has an obligation to absorb losses or the right to receive benefits from SH1. The most significant activity of SH1 is the operation of the senior housing facility. The Company has provided a subordinated loan to SH1 and has provided a guarantee for a convertible term loan held by SH1.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Redeemable Noncontrolling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InnovAge Sacramento</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Adventist contributed $5.8 million in cash and Eskaton contributed $3.0 million in cash for membership interests of 26.4% and 13.7%, respectively. In fiscal year 2021, the Company made an additional contribution of $0.1 million and obtained an additional 0.1% membership interest in the joint venture, which resulted in the Company obtaining control and consolidating InnovAge Sacramento as of January 1, 2021.</w:t>
      </w:r>
    </w:p>
    <w:p>
      <w:pPr>
        <w:spacing w:after="0" w:line="14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of December 31, 2024, none of the conditions specified in the JV Agreement had been met. Accordingly, these put rights held by the noncontrolling interests of the joint venture are required to be presented as temporary equity and are recorded as redeemable noncontrolling interests on our condensed consolidated balance sheets. As of December 31, 2024 and June 30, 2024, the Company's redeemable noncontrolling interest was recorded at fair value of $21.6 million and $22.2 million,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Fair Value Measurements</w:t>
      </w:r>
    </w:p>
    <w:p>
      <w:pPr>
        <w:spacing w:after="0" w:line="18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three levels of inputs that may be used to measure fair value are:</w:t>
      </w:r>
    </w:p>
    <w:p>
      <w:pPr>
        <w:spacing w:after="0" w:line="177"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color w:val="auto"/>
        </w:rPr>
        <w:t>Unadjusted quoted prices in active markets for identical assets or liabilities that the entity has the ability to access at the measurement date</w:t>
      </w:r>
    </w:p>
    <w:p>
      <w:pPr>
        <w:spacing w:after="0" w:line="17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color w:val="auto"/>
        </w:rPr>
        <w:t>Quoted prices in markets that are not active or inputs that are observable, either directly or indirectly, for substantially the full term of the assets or liabilities</w:t>
      </w:r>
    </w:p>
    <w:p>
      <w:pPr>
        <w:spacing w:after="0" w:line="179"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4"/>
          <w:szCs w:val="14"/>
          <w:b w:val="1"/>
          <w:bCs w:val="1"/>
          <w:color w:val="auto"/>
        </w:rPr>
        <w:t>Level 3</w:t>
      </w:r>
      <w:r>
        <w:rPr>
          <w:sz w:val="20"/>
          <w:szCs w:val="20"/>
          <w:color w:val="auto"/>
        </w:rPr>
        <w:tab/>
      </w:r>
      <w:r>
        <w:rPr>
          <w:rFonts w:ascii="Times New Roman" w:cs="Times New Roman" w:eastAsia="Times New Roman" w:hAnsi="Times New Roman"/>
          <w:sz w:val="14"/>
          <w:szCs w:val="14"/>
          <w:color w:val="auto"/>
        </w:rPr>
        <w:t>Unobservable inputs to the valuation techniques that are significant to the fair value measurements of the assets or liabilities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shows the Company’s cash, cash equivalents and marketable securities by significant investment category as of December 31, 2024 and June 30,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300" w:type="dxa"/>
            <w:vAlign w:val="bottom"/>
          </w:tcPr>
          <w:p>
            <w:pPr>
              <w:spacing w:after="0"/>
              <w:rPr>
                <w:sz w:val="9"/>
                <w:szCs w:val="9"/>
                <w:color w:val="auto"/>
              </w:rPr>
            </w:pPr>
          </w:p>
        </w:tc>
        <w:tc>
          <w:tcPr>
            <w:tcW w:w="10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Fair</w:t>
            </w:r>
          </w:p>
        </w:tc>
        <w:tc>
          <w:tcPr>
            <w:tcW w:w="300" w:type="dxa"/>
            <w:vAlign w:val="bottom"/>
          </w:tcPr>
          <w:p>
            <w:pPr>
              <w:spacing w:after="0"/>
              <w:rPr>
                <w:sz w:val="9"/>
                <w:szCs w:val="9"/>
                <w:color w:val="auto"/>
              </w:rPr>
            </w:pPr>
          </w:p>
        </w:tc>
        <w:tc>
          <w:tcPr>
            <w:tcW w:w="1020" w:type="dxa"/>
            <w:vAlign w:val="bottom"/>
            <w:gridSpan w:val="2"/>
          </w:tcPr>
          <w:p>
            <w:pPr>
              <w:jc w:val="center"/>
              <w:ind w:right="400"/>
              <w:spacing w:after="0" w:line="108" w:lineRule="exact"/>
              <w:rPr>
                <w:sz w:val="20"/>
                <w:szCs w:val="20"/>
                <w:color w:val="auto"/>
              </w:rPr>
            </w:pPr>
            <w:r>
              <w:rPr>
                <w:rFonts w:ascii="Times New Roman" w:cs="Times New Roman" w:eastAsia="Times New Roman" w:hAnsi="Times New Roman"/>
                <w:sz w:val="11"/>
                <w:szCs w:val="11"/>
                <w:b w:val="1"/>
                <w:bCs w:val="1"/>
                <w:color w:val="auto"/>
              </w:rPr>
              <w:t>Cash and</w:t>
            </w:r>
          </w:p>
        </w:tc>
        <w:tc>
          <w:tcPr>
            <w:tcW w:w="200" w:type="dxa"/>
            <w:vAlign w:val="bottom"/>
          </w:tcPr>
          <w:p>
            <w:pPr>
              <w:spacing w:after="0"/>
              <w:rPr>
                <w:sz w:val="9"/>
                <w:szCs w:val="9"/>
                <w:color w:val="auto"/>
              </w:rPr>
            </w:pPr>
          </w:p>
        </w:tc>
        <w:tc>
          <w:tcPr>
            <w:tcW w:w="1040" w:type="dxa"/>
            <w:vAlign w:val="bottom"/>
          </w:tcPr>
          <w:p>
            <w:pPr>
              <w:jc w:val="center"/>
              <w:ind w:right="135"/>
              <w:spacing w:after="0" w:line="108" w:lineRule="exact"/>
              <w:rPr>
                <w:sz w:val="20"/>
                <w:szCs w:val="20"/>
                <w:color w:val="auto"/>
              </w:rPr>
            </w:pPr>
            <w:r>
              <w:rPr>
                <w:rFonts w:ascii="Times New Roman" w:cs="Times New Roman" w:eastAsia="Times New Roman" w:hAnsi="Times New Roman"/>
                <w:sz w:val="11"/>
                <w:szCs w:val="11"/>
                <w:b w:val="1"/>
                <w:bCs w:val="1"/>
                <w:color w:val="auto"/>
              </w:rPr>
              <w:t>Short-</w:t>
            </w:r>
          </w:p>
        </w:tc>
        <w:tc>
          <w:tcPr>
            <w:tcW w:w="0" w:type="dxa"/>
            <w:vAlign w:val="bottom"/>
          </w:tcPr>
          <w:p>
            <w:pPr>
              <w:spacing w:after="0"/>
              <w:rPr>
                <w:sz w:val="1"/>
                <w:szCs w:val="1"/>
                <w:color w:val="auto"/>
              </w:rPr>
            </w:pPr>
          </w:p>
        </w:tc>
      </w:tr>
      <w:tr>
        <w:trPr>
          <w:trHeight w:val="115"/>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gridSpan w:val="2"/>
          </w:tcPr>
          <w:p>
            <w:pPr>
              <w:jc w:val="center"/>
              <w:ind w:right="380"/>
              <w:spacing w:after="0" w:line="115" w:lineRule="exact"/>
              <w:rPr>
                <w:sz w:val="20"/>
                <w:szCs w:val="20"/>
                <w:color w:val="auto"/>
              </w:rPr>
            </w:pPr>
            <w:r>
              <w:rPr>
                <w:rFonts w:ascii="Times New Roman" w:cs="Times New Roman" w:eastAsia="Times New Roman" w:hAnsi="Times New Roman"/>
                <w:sz w:val="11"/>
                <w:szCs w:val="11"/>
                <w:b w:val="1"/>
                <w:bCs w:val="1"/>
                <w:color w:val="auto"/>
              </w:rPr>
              <w:t>Cash</w:t>
            </w:r>
          </w:p>
        </w:tc>
        <w:tc>
          <w:tcPr>
            <w:tcW w:w="200" w:type="dxa"/>
            <w:vAlign w:val="bottom"/>
          </w:tcPr>
          <w:p>
            <w:pPr>
              <w:spacing w:after="0"/>
              <w:rPr>
                <w:sz w:val="9"/>
                <w:szCs w:val="9"/>
                <w:color w:val="auto"/>
              </w:rPr>
            </w:pPr>
          </w:p>
        </w:tc>
        <w:tc>
          <w:tcPr>
            <w:tcW w:w="1040" w:type="dxa"/>
            <w:vAlign w:val="bottom"/>
          </w:tcPr>
          <w:p>
            <w:pPr>
              <w:jc w:val="center"/>
              <w:ind w:right="135"/>
              <w:spacing w:after="0" w:line="115" w:lineRule="exact"/>
              <w:rPr>
                <w:sz w:val="20"/>
                <w:szCs w:val="20"/>
                <w:color w:val="auto"/>
              </w:rPr>
            </w:pPr>
            <w:r>
              <w:rPr>
                <w:rFonts w:ascii="Times New Roman" w:cs="Times New Roman" w:eastAsia="Times New Roman" w:hAnsi="Times New Roman"/>
                <w:sz w:val="11"/>
                <w:szCs w:val="11"/>
                <w:b w:val="1"/>
                <w:bCs w:val="1"/>
                <w:color w:val="auto"/>
              </w:rPr>
              <w:t>term</w:t>
            </w:r>
          </w:p>
        </w:tc>
        <w:tc>
          <w:tcPr>
            <w:tcW w:w="0" w:type="dxa"/>
            <w:vAlign w:val="bottom"/>
          </w:tcPr>
          <w:p>
            <w:pPr>
              <w:spacing w:after="0"/>
              <w:rPr>
                <w:sz w:val="1"/>
                <w:szCs w:val="1"/>
                <w:color w:val="auto"/>
              </w:rPr>
            </w:pPr>
          </w:p>
        </w:tc>
      </w:tr>
      <w:tr>
        <w:trPr>
          <w:trHeight w:val="155"/>
        </w:trPr>
        <w:tc>
          <w:tcPr>
            <w:tcW w:w="6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300" w:type="dxa"/>
            <w:vAlign w:val="bottom"/>
          </w:tcPr>
          <w:p>
            <w:pPr>
              <w:spacing w:after="0"/>
              <w:rPr>
                <w:sz w:val="13"/>
                <w:szCs w:val="13"/>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30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Equivalents</w:t>
            </w:r>
          </w:p>
        </w:tc>
        <w:tc>
          <w:tcPr>
            <w:tcW w:w="200" w:type="dxa"/>
            <w:vAlign w:val="bottom"/>
          </w:tcPr>
          <w:p>
            <w:pPr>
              <w:spacing w:after="0"/>
              <w:rPr>
                <w:sz w:val="13"/>
                <w:szCs w:val="13"/>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0" w:type="dxa"/>
            <w:vAlign w:val="bottom"/>
          </w:tcPr>
          <w:p>
            <w:pPr>
              <w:spacing w:after="0"/>
              <w:rPr>
                <w:sz w:val="1"/>
                <w:szCs w:val="1"/>
                <w:color w:val="auto"/>
              </w:rPr>
            </w:pPr>
          </w:p>
        </w:tc>
      </w:tr>
      <w:tr>
        <w:trPr>
          <w:trHeight w:val="175"/>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44,187</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44,187</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44,187</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Level 1</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Money market funds</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Mutual funds</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40,408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40,775</w:t>
            </w: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6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June 30, 2024</w:t>
            </w: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300" w:type="dxa"/>
            <w:vAlign w:val="bottom"/>
          </w:tcPr>
          <w:p>
            <w:pPr>
              <w:spacing w:after="0"/>
              <w:rPr>
                <w:sz w:val="9"/>
                <w:szCs w:val="9"/>
                <w:color w:val="auto"/>
              </w:rPr>
            </w:pPr>
          </w:p>
        </w:tc>
        <w:tc>
          <w:tcPr>
            <w:tcW w:w="10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Fair</w:t>
            </w:r>
          </w:p>
        </w:tc>
        <w:tc>
          <w:tcPr>
            <w:tcW w:w="300" w:type="dxa"/>
            <w:vAlign w:val="bottom"/>
          </w:tcPr>
          <w:p>
            <w:pPr>
              <w:spacing w:after="0"/>
              <w:rPr>
                <w:sz w:val="9"/>
                <w:szCs w:val="9"/>
                <w:color w:val="auto"/>
              </w:rPr>
            </w:pPr>
          </w:p>
        </w:tc>
        <w:tc>
          <w:tcPr>
            <w:tcW w:w="1020" w:type="dxa"/>
            <w:vAlign w:val="bottom"/>
            <w:gridSpan w:val="2"/>
          </w:tcPr>
          <w:p>
            <w:pPr>
              <w:jc w:val="center"/>
              <w:ind w:right="400"/>
              <w:spacing w:after="0" w:line="108" w:lineRule="exact"/>
              <w:rPr>
                <w:sz w:val="20"/>
                <w:szCs w:val="20"/>
                <w:color w:val="auto"/>
              </w:rPr>
            </w:pPr>
            <w:r>
              <w:rPr>
                <w:rFonts w:ascii="Times New Roman" w:cs="Times New Roman" w:eastAsia="Times New Roman" w:hAnsi="Times New Roman"/>
                <w:sz w:val="11"/>
                <w:szCs w:val="11"/>
                <w:b w:val="1"/>
                <w:bCs w:val="1"/>
                <w:color w:val="auto"/>
              </w:rPr>
              <w:t>Cash and</w:t>
            </w:r>
          </w:p>
        </w:tc>
        <w:tc>
          <w:tcPr>
            <w:tcW w:w="200" w:type="dxa"/>
            <w:vAlign w:val="bottom"/>
          </w:tcPr>
          <w:p>
            <w:pPr>
              <w:spacing w:after="0"/>
              <w:rPr>
                <w:sz w:val="9"/>
                <w:szCs w:val="9"/>
                <w:color w:val="auto"/>
              </w:rPr>
            </w:pPr>
          </w:p>
        </w:tc>
        <w:tc>
          <w:tcPr>
            <w:tcW w:w="1040" w:type="dxa"/>
            <w:vAlign w:val="bottom"/>
          </w:tcPr>
          <w:p>
            <w:pPr>
              <w:jc w:val="center"/>
              <w:ind w:right="135"/>
              <w:spacing w:after="0" w:line="108" w:lineRule="exact"/>
              <w:rPr>
                <w:sz w:val="20"/>
                <w:szCs w:val="20"/>
                <w:color w:val="auto"/>
              </w:rPr>
            </w:pPr>
            <w:r>
              <w:rPr>
                <w:rFonts w:ascii="Times New Roman" w:cs="Times New Roman" w:eastAsia="Times New Roman" w:hAnsi="Times New Roman"/>
                <w:sz w:val="11"/>
                <w:szCs w:val="11"/>
                <w:b w:val="1"/>
                <w:bCs w:val="1"/>
                <w:color w:val="auto"/>
              </w:rPr>
              <w:t>Short-</w:t>
            </w:r>
          </w:p>
        </w:tc>
        <w:tc>
          <w:tcPr>
            <w:tcW w:w="0" w:type="dxa"/>
            <w:vAlign w:val="bottom"/>
          </w:tcPr>
          <w:p>
            <w:pPr>
              <w:spacing w:after="0"/>
              <w:rPr>
                <w:sz w:val="1"/>
                <w:szCs w:val="1"/>
                <w:color w:val="auto"/>
              </w:rPr>
            </w:pPr>
          </w:p>
        </w:tc>
      </w:tr>
      <w:tr>
        <w:trPr>
          <w:trHeight w:val="115"/>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gridSpan w:val="2"/>
          </w:tcPr>
          <w:p>
            <w:pPr>
              <w:jc w:val="center"/>
              <w:ind w:right="380"/>
              <w:spacing w:after="0" w:line="115" w:lineRule="exact"/>
              <w:rPr>
                <w:sz w:val="20"/>
                <w:szCs w:val="20"/>
                <w:color w:val="auto"/>
              </w:rPr>
            </w:pPr>
            <w:r>
              <w:rPr>
                <w:rFonts w:ascii="Times New Roman" w:cs="Times New Roman" w:eastAsia="Times New Roman" w:hAnsi="Times New Roman"/>
                <w:sz w:val="11"/>
                <w:szCs w:val="11"/>
                <w:b w:val="1"/>
                <w:bCs w:val="1"/>
                <w:color w:val="auto"/>
              </w:rPr>
              <w:t>Cash</w:t>
            </w:r>
          </w:p>
        </w:tc>
        <w:tc>
          <w:tcPr>
            <w:tcW w:w="200" w:type="dxa"/>
            <w:vAlign w:val="bottom"/>
          </w:tcPr>
          <w:p>
            <w:pPr>
              <w:spacing w:after="0"/>
              <w:rPr>
                <w:sz w:val="9"/>
                <w:szCs w:val="9"/>
                <w:color w:val="auto"/>
              </w:rPr>
            </w:pPr>
          </w:p>
        </w:tc>
        <w:tc>
          <w:tcPr>
            <w:tcW w:w="1040" w:type="dxa"/>
            <w:vAlign w:val="bottom"/>
          </w:tcPr>
          <w:p>
            <w:pPr>
              <w:jc w:val="center"/>
              <w:ind w:right="135"/>
              <w:spacing w:after="0" w:line="115" w:lineRule="exact"/>
              <w:rPr>
                <w:sz w:val="20"/>
                <w:szCs w:val="20"/>
                <w:color w:val="auto"/>
              </w:rPr>
            </w:pPr>
            <w:r>
              <w:rPr>
                <w:rFonts w:ascii="Times New Roman" w:cs="Times New Roman" w:eastAsia="Times New Roman" w:hAnsi="Times New Roman"/>
                <w:sz w:val="11"/>
                <w:szCs w:val="11"/>
                <w:b w:val="1"/>
                <w:bCs w:val="1"/>
                <w:color w:val="auto"/>
              </w:rPr>
              <w:t>term</w:t>
            </w:r>
          </w:p>
        </w:tc>
        <w:tc>
          <w:tcPr>
            <w:tcW w:w="0" w:type="dxa"/>
            <w:vAlign w:val="bottom"/>
          </w:tcPr>
          <w:p>
            <w:pPr>
              <w:spacing w:after="0"/>
              <w:rPr>
                <w:sz w:val="1"/>
                <w:szCs w:val="1"/>
                <w:color w:val="auto"/>
              </w:rPr>
            </w:pPr>
          </w:p>
        </w:tc>
      </w:tr>
      <w:tr>
        <w:trPr>
          <w:trHeight w:val="155"/>
        </w:trPr>
        <w:tc>
          <w:tcPr>
            <w:tcW w:w="60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300" w:type="dxa"/>
            <w:vAlign w:val="bottom"/>
          </w:tcPr>
          <w:p>
            <w:pPr>
              <w:spacing w:after="0"/>
              <w:rPr>
                <w:sz w:val="13"/>
                <w:szCs w:val="13"/>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30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Equivalents</w:t>
            </w:r>
          </w:p>
        </w:tc>
        <w:tc>
          <w:tcPr>
            <w:tcW w:w="200" w:type="dxa"/>
            <w:vAlign w:val="bottom"/>
          </w:tcPr>
          <w:p>
            <w:pPr>
              <w:spacing w:after="0"/>
              <w:rPr>
                <w:sz w:val="13"/>
                <w:szCs w:val="13"/>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1"/>
                <w:szCs w:val="11"/>
                <w:b w:val="1"/>
                <w:bCs w:val="1"/>
                <w:color w:val="auto"/>
              </w:rPr>
              <w:t>Investments</w:t>
            </w:r>
          </w:p>
        </w:tc>
        <w:tc>
          <w:tcPr>
            <w:tcW w:w="0" w:type="dxa"/>
            <w:vAlign w:val="bottom"/>
          </w:tcPr>
          <w:p>
            <w:pPr>
              <w:spacing w:after="0"/>
              <w:rPr>
                <w:sz w:val="1"/>
                <w:szCs w:val="1"/>
                <w:color w:val="auto"/>
              </w:rPr>
            </w:pPr>
          </w:p>
        </w:tc>
      </w:tr>
      <w:tr>
        <w:trPr>
          <w:trHeight w:val="175"/>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25,793</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25,793</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25,793</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Level 1</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Money market funds</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Mutual funds</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45,556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45,833</w:t>
            </w: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102,502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102,779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Measurements</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The fair value of the redeemable noncontrolling interest is determined utilizing a discounted cash flow model. As of December 31, 2024 and June 30, 2024, the Company’s redeemable noncontrolling interest was recorded at fair value of $21.6 million and $22.2 million, respectively.</w:t>
      </w:r>
    </w:p>
    <w:p>
      <w:pPr>
        <w:spacing w:after="0" w:line="143"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There were no transfers in and out of Level 3 during the six months ended December 31, 2024 and 2023. The Company’s policy is to recognize transfers as of the actual date of the event or change in circumstances.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Goodwill and Intangible Assets</w:t>
      </w:r>
    </w:p>
    <w:p>
      <w:pPr>
        <w:spacing w:after="0" w:line="181"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Goodwill represents the excess of cost over the fair value of net assets acquired. Goodwill amounted to $139.9 million at each of December 31, 2024 and June 30, 2024. Goodwill is not amortized.</w:t>
      </w:r>
    </w:p>
    <w:p>
      <w:pPr>
        <w:spacing w:after="0" w:line="33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Pursuant to ASC 350, “</w:t>
      </w:r>
      <w:r>
        <w:rPr>
          <w:rFonts w:ascii="Times New Roman" w:cs="Times New Roman" w:eastAsia="Times New Roman" w:hAnsi="Times New Roman"/>
          <w:sz w:val="14"/>
          <w:szCs w:val="14"/>
          <w:i w:val="1"/>
          <w:iCs w:val="1"/>
          <w:color w:val="auto"/>
        </w:rPr>
        <w:t>Intangibles – Goodwill and Other</w:t>
      </w:r>
      <w:r>
        <w:rPr>
          <w:rFonts w:ascii="Times New Roman" w:cs="Times New Roman" w:eastAsia="Times New Roman" w:hAnsi="Times New Roman"/>
          <w:sz w:val="14"/>
          <w:szCs w:val="14"/>
          <w:color w:val="auto"/>
        </w:rPr>
        <w:t>,” we review the recoverability of goodwill annually as of April 1 or whenever significant events or changes occur which might impair the recovery of recorded amounts. For purposes of the annual goodwill impairment assessment, the Company identified two reporting units, East and West. There were no indicators of impairment identified and no goodwill impairment recorded during the six months ended December 31, 2024 and 2023.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Intangible assets consisted of the following as of:</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60" w:type="dxa"/>
            <w:vAlign w:val="bottom"/>
          </w:tcPr>
          <w:p>
            <w:pPr>
              <w:spacing w:after="0"/>
              <w:rPr>
                <w:sz w:val="11"/>
                <w:szCs w:val="11"/>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20" w:type="dxa"/>
            <w:vAlign w:val="bottom"/>
          </w:tcPr>
          <w:p>
            <w:pPr>
              <w:spacing w:after="0"/>
              <w:rPr>
                <w:sz w:val="11"/>
                <w:szCs w:val="11"/>
                <w:color w:val="auto"/>
              </w:rPr>
            </w:pPr>
          </w:p>
        </w:tc>
        <w:tc>
          <w:tcPr>
            <w:tcW w:w="1160" w:type="dxa"/>
            <w:vAlign w:val="bottom"/>
          </w:tcPr>
          <w:p>
            <w:pPr>
              <w:jc w:val="center"/>
              <w:ind w:right="253"/>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0" w:type="dxa"/>
            <w:vAlign w:val="bottom"/>
          </w:tcPr>
          <w:p>
            <w:pPr>
              <w:spacing w:after="0"/>
              <w:rPr>
                <w:sz w:val="1"/>
                <w:szCs w:val="1"/>
                <w:color w:val="auto"/>
              </w:rPr>
            </w:pPr>
          </w:p>
        </w:tc>
      </w:tr>
      <w:tr>
        <w:trPr>
          <w:trHeight w:val="153"/>
        </w:trPr>
        <w:tc>
          <w:tcPr>
            <w:tcW w:w="822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Definite-lived intangible assets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4"/>
                <w:szCs w:val="14"/>
                <w:color w:val="auto"/>
              </w:rPr>
              <w:t>6,600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center"/>
              <w:ind w:left="653"/>
              <w:spacing w:after="0"/>
              <w:rPr>
                <w:sz w:val="20"/>
                <w:szCs w:val="20"/>
                <w:color w:val="auto"/>
              </w:rPr>
            </w:pPr>
            <w:r>
              <w:rPr>
                <w:rFonts w:ascii="Times New Roman" w:cs="Times New Roman" w:eastAsia="Times New Roman" w:hAnsi="Times New Roman"/>
                <w:sz w:val="14"/>
                <w:szCs w:val="14"/>
                <w:color w:val="auto"/>
              </w:rPr>
              <w:t>6,600</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Indefinite-lived intangible assets</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left="733"/>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left="653"/>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intangible assets</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4"/>
                <w:szCs w:val="14"/>
                <w:color w:val="auto"/>
              </w:rPr>
              <w:t>8,600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center"/>
              <w:ind w:left="653"/>
              <w:spacing w:after="0"/>
              <w:rPr>
                <w:sz w:val="20"/>
                <w:szCs w:val="20"/>
                <w:color w:val="auto"/>
              </w:rPr>
            </w:pPr>
            <w:r>
              <w:rPr>
                <w:rFonts w:ascii="Times New Roman" w:cs="Times New Roman" w:eastAsia="Times New Roman" w:hAnsi="Times New Roman"/>
                <w:sz w:val="14"/>
                <w:szCs w:val="14"/>
                <w:color w:val="auto"/>
              </w:rPr>
              <w:t>8,600</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Accumulated amortization</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left="713"/>
              <w:spacing w:after="0"/>
              <w:rPr>
                <w:sz w:val="20"/>
                <w:szCs w:val="20"/>
                <w:color w:val="auto"/>
              </w:rPr>
            </w:pPr>
            <w:r>
              <w:rPr>
                <w:rFonts w:ascii="Times New Roman" w:cs="Times New Roman" w:eastAsia="Times New Roman" w:hAnsi="Times New Roman"/>
                <w:sz w:val="14"/>
                <w:szCs w:val="14"/>
                <w:color w:val="auto"/>
              </w:rPr>
              <w:t>(4,392)</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left="633"/>
              <w:spacing w:after="0"/>
              <w:rPr>
                <w:sz w:val="20"/>
                <w:szCs w:val="20"/>
                <w:color w:val="auto"/>
              </w:rPr>
            </w:pPr>
            <w:r>
              <w:rPr>
                <w:rFonts w:ascii="Times New Roman" w:cs="Times New Roman" w:eastAsia="Times New Roman" w:hAnsi="Times New Roman"/>
                <w:sz w:val="14"/>
                <w:szCs w:val="14"/>
                <w:color w:val="auto"/>
              </w:rPr>
              <w:t>(4,062)</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Balance as of end of period</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center"/>
              <w:ind w:left="733"/>
              <w:spacing w:after="0"/>
              <w:rPr>
                <w:sz w:val="20"/>
                <w:szCs w:val="20"/>
                <w:color w:val="auto"/>
              </w:rPr>
            </w:pPr>
            <w:r>
              <w:rPr>
                <w:rFonts w:ascii="Times New Roman" w:cs="Times New Roman" w:eastAsia="Times New Roman" w:hAnsi="Times New Roman"/>
                <w:sz w:val="14"/>
                <w:szCs w:val="14"/>
                <w:color w:val="auto"/>
              </w:rPr>
              <w:t>4,208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center"/>
              <w:ind w:left="653"/>
              <w:spacing w:after="0"/>
              <w:rPr>
                <w:sz w:val="20"/>
                <w:szCs w:val="20"/>
                <w:color w:val="auto"/>
              </w:rPr>
            </w:pPr>
            <w:r>
              <w:rPr>
                <w:rFonts w:ascii="Times New Roman" w:cs="Times New Roman" w:eastAsia="Times New Roman" w:hAnsi="Times New Roman"/>
                <w:sz w:val="14"/>
                <w:szCs w:val="14"/>
                <w:color w:val="auto"/>
              </w:rPr>
              <w:t>4,538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Intangible assets consist primarily of customer relationships acquired through business acquisitions. The Company recorded amortization expense of $0.2 million for each of the three month periods ended December 31, 2024 and 2023. The Company recorded amortization expense of $0.3 million for each of the six month periods ended December 31, 2024 and 2023.</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review the recoverability of other intangible assets in conjunction with long-lived assets whenever events or changes in circumstances indicate the carrying amount of such assets may not be recoverable. There were no intangible asset impairments recorded during the six months ended December 31, 2024 and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Leases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Leasing Arrangements as Lessee</w:t>
      </w:r>
    </w:p>
    <w:p>
      <w:pPr>
        <w:spacing w:after="0" w:line="18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Company leases certain property and equipment under various third-party operating and finance lease agreements.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 The leases are noncancelable and expire on various terms from 2025 through 2037. We determine if an arrangement is a lease upon commencement of the contract. If an arrangement is determined to be a long-term lease (greater than 12 months), we recognize an ROU asset and lease liability based on the present value of the future minimum lease payments over the lease term at the commencement date. As most of our leases do not provide an implicit rate, we use our incremental borrowing rate based on the information available at commencement date in determining the present value of future payments. Our lease terms may also include options to extend or terminate the lease when it is reasonably certain that we will exercise those options. Lease expense for minimum lease payments is recognized on a straight-line basis over the lease term.</w:t>
      </w:r>
    </w:p>
    <w:p>
      <w:pPr>
        <w:spacing w:after="0" w:line="14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have elected to apply the short-term lease exception for contracts that have a lease term of twelve months or less and do not include an option to purchase the underlying asset. Therefore, we do not recognize a ROU asset or lease liability for such contracts. We recognize short-term lease payments as expense on a straight-line basis over the lease term. Variable lease payments that do not depend on an index or rate are recognized as expense. Certain leases include escalations based on inflation indexes and fair market value adjustments. Operating lease liabilities are calculated using the prevailing index or rate at lease commencement for such leases.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components of our ROU assets and their classification in our Balance Sheet as of:</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 of Lease Balances</w:t>
            </w:r>
          </w:p>
        </w:tc>
        <w:tc>
          <w:tcPr>
            <w:tcW w:w="524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Line Items</w:t>
            </w:r>
          </w:p>
        </w:tc>
        <w:tc>
          <w:tcPr>
            <w:tcW w:w="24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Pr>
          <w:p>
            <w:pPr>
              <w:spacing w:after="0"/>
              <w:rPr>
                <w:sz w:val="13"/>
                <w:szCs w:val="13"/>
                <w:color w:val="auto"/>
              </w:rPr>
            </w:pP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0" w:type="dxa"/>
            <w:vAlign w:val="bottom"/>
          </w:tcPr>
          <w:p>
            <w:pPr>
              <w:spacing w:after="0"/>
              <w:rPr>
                <w:sz w:val="1"/>
                <w:szCs w:val="1"/>
                <w:color w:val="auto"/>
              </w:rPr>
            </w:pPr>
          </w:p>
        </w:tc>
      </w:tr>
      <w:tr>
        <w:trPr>
          <w:trHeight w:val="159"/>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0"/>
        </w:trPr>
        <w:tc>
          <w:tcPr>
            <w:tcW w:w="3000" w:type="dxa"/>
            <w:vAlign w:val="bottom"/>
            <w:vMerge w:val="continue"/>
          </w:tcPr>
          <w:p>
            <w:pPr>
              <w:spacing w:after="0"/>
              <w:rPr>
                <w:sz w:val="13"/>
                <w:szCs w:val="13"/>
                <w:color w:val="auto"/>
              </w:rPr>
            </w:pPr>
          </w:p>
        </w:tc>
        <w:tc>
          <w:tcPr>
            <w:tcW w:w="5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52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Operating lease assets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25,293</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28,416</w:t>
            </w:r>
          </w:p>
        </w:tc>
        <w:tc>
          <w:tcPr>
            <w:tcW w:w="0" w:type="dxa"/>
            <w:vAlign w:val="bottom"/>
          </w:tcPr>
          <w:p>
            <w:pPr>
              <w:spacing w:after="0"/>
              <w:rPr>
                <w:sz w:val="1"/>
                <w:szCs w:val="1"/>
                <w:color w:val="auto"/>
              </w:rPr>
            </w:pP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assets</w:t>
            </w:r>
          </w:p>
        </w:tc>
        <w:tc>
          <w:tcPr>
            <w:tcW w:w="52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15,908</w:t>
            </w:r>
          </w:p>
        </w:tc>
        <w:tc>
          <w:tcPr>
            <w:tcW w:w="0" w:type="dxa"/>
            <w:vAlign w:val="bottom"/>
          </w:tcPr>
          <w:p>
            <w:pPr>
              <w:spacing w:after="0"/>
              <w:rPr>
                <w:sz w:val="1"/>
                <w:szCs w:val="1"/>
                <w:color w:val="auto"/>
              </w:rPr>
            </w:pPr>
          </w:p>
        </w:tc>
      </w:tr>
      <w:tr>
        <w:trPr>
          <w:trHeight w:val="171"/>
        </w:trPr>
        <w:tc>
          <w:tcPr>
            <w:tcW w:w="30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 leased assets</w:t>
            </w:r>
          </w:p>
        </w:tc>
        <w:tc>
          <w:tcPr>
            <w:tcW w:w="524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39,475</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44,324</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5240" w:type="dxa"/>
            <w:vAlign w:val="bottom"/>
            <w:vMerge w:val="restart"/>
          </w:tcPr>
          <w:p>
            <w:pPr>
              <w:jc w:val="right"/>
              <w:ind w:right="2449"/>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300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000" w:type="dxa"/>
            <w:vAlign w:val="bottom"/>
            <w:tcBorders>
              <w:bottom w:val="single" w:sz="8" w:color="9A9A9A"/>
            </w:tcBorders>
          </w:tcPr>
          <w:p>
            <w:pPr>
              <w:spacing w:after="0"/>
              <w:rPr>
                <w:sz w:val="7"/>
                <w:szCs w:val="7"/>
                <w:color w:val="auto"/>
              </w:rPr>
            </w:pPr>
          </w:p>
        </w:tc>
        <w:tc>
          <w:tcPr>
            <w:tcW w:w="5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Company recorded a $1.4 million impairment of operating lease ROU assets and during each of the three and six months ended December 31, 2024. See Note 2, "Summary of Significant Accounting Policies".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components of our lease cost and the classification of such costs in our condensed consolidated statements of operations for the six months ended December 31:</w:t>
      </w:r>
    </w:p>
    <w:p>
      <w:pPr>
        <w:spacing w:after="0" w:line="212"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3"/>
          <w:szCs w:val="13"/>
          <w:b w:val="1"/>
          <w:bCs w:val="1"/>
          <w:color w:val="auto"/>
        </w:rPr>
        <w:t>Six Months Ended December 31,</w:t>
      </w:r>
    </w:p>
    <w:p>
      <w:pPr>
        <w:spacing w:after="0" w:line="18" w:lineRule="exact"/>
        <w:rPr>
          <w:sz w:val="20"/>
          <w:szCs w:val="20"/>
          <w:color w:val="auto"/>
        </w:rPr>
      </w:pPr>
    </w:p>
    <w:p>
      <w:pPr>
        <w:ind w:left="20"/>
        <w:spacing w:after="0"/>
        <w:tabs>
          <w:tab w:leader="none" w:pos="4020" w:val="left"/>
          <w:tab w:leader="none" w:pos="8720" w:val="left"/>
          <w:tab w:leader="none" w:pos="10280" w:val="left"/>
        </w:tabs>
        <w:rPr>
          <w:sz w:val="20"/>
          <w:szCs w:val="20"/>
          <w:color w:val="auto"/>
        </w:rPr>
      </w:pPr>
      <w:r>
        <w:rPr>
          <w:rFonts w:ascii="Times New Roman" w:cs="Times New Roman" w:eastAsia="Times New Roman" w:hAnsi="Times New Roman"/>
          <w:sz w:val="14"/>
          <w:szCs w:val="14"/>
          <w:b w:val="1"/>
          <w:bCs w:val="1"/>
          <w:color w:val="auto"/>
        </w:rPr>
        <w:t>Component of Lease Cost</w:t>
      </w:r>
      <w:r>
        <w:rPr>
          <w:sz w:val="20"/>
          <w:szCs w:val="20"/>
          <w:color w:val="auto"/>
        </w:rPr>
        <w:tab/>
      </w:r>
      <w:r>
        <w:rPr>
          <w:rFonts w:ascii="Times New Roman" w:cs="Times New Roman" w:eastAsia="Times New Roman" w:hAnsi="Times New Roman"/>
          <w:sz w:val="14"/>
          <w:szCs w:val="14"/>
          <w:b w:val="1"/>
          <w:bCs w:val="1"/>
          <w:color w:val="auto"/>
        </w:rPr>
        <w:t>Statements of Operations Line Items</w:t>
      </w:r>
      <w:r>
        <w:rPr>
          <w:sz w:val="20"/>
          <w:szCs w:val="20"/>
          <w:color w:val="auto"/>
        </w:rPr>
        <w:tab/>
      </w:r>
      <w:r>
        <w:rPr>
          <w:rFonts w:ascii="Times New Roman" w:cs="Times New Roman" w:eastAsia="Times New Roman" w:hAnsi="Times New Roman"/>
          <w:sz w:val="13"/>
          <w:szCs w:val="13"/>
          <w:b w:val="1"/>
          <w:bCs w:val="1"/>
          <w:color w:val="auto"/>
        </w:rPr>
        <w:t>2024</w:t>
      </w:r>
      <w:r>
        <w:rPr>
          <w:sz w:val="20"/>
          <w:szCs w:val="20"/>
          <w:color w:val="auto"/>
        </w:rPr>
        <w:tab/>
      </w:r>
      <w:r>
        <w:rPr>
          <w:rFonts w:ascii="Times New Roman" w:cs="Times New Roman" w:eastAsia="Times New Roman" w:hAnsi="Times New Roman"/>
          <w:sz w:val="13"/>
          <w:szCs w:val="13"/>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-99060</wp:posOffset>
            </wp:positionV>
            <wp:extent cx="194056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-93980</wp:posOffset>
            </wp:positionV>
            <wp:extent cx="194056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lease cost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Finance lease expense:</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Amortization of leased assets</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Interest on lease liabilities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Variable lease cost</w:t>
      </w:r>
    </w:p>
    <w:p>
      <w:pPr>
        <w:spacing w:after="0" w:line="168" w:lineRule="exact"/>
        <w:rPr>
          <w:sz w:val="20"/>
          <w:szCs w:val="20"/>
          <w:color w:val="auto"/>
        </w:rPr>
      </w:pPr>
    </w:p>
    <w:p>
      <w:pPr>
        <w:jc w:val="right"/>
        <w:ind w:right="2100"/>
        <w:spacing w:after="0"/>
        <w:rPr>
          <w:sz w:val="20"/>
          <w:szCs w:val="20"/>
          <w:color w:val="auto"/>
        </w:rPr>
      </w:pPr>
      <w:r>
        <w:rPr>
          <w:rFonts w:ascii="Times New Roman" w:cs="Times New Roman" w:eastAsia="Times New Roman" w:hAnsi="Times New Roman"/>
          <w:sz w:val="14"/>
          <w:szCs w:val="14"/>
          <w:color w:val="auto"/>
        </w:rPr>
        <w:t>Short-term lease cost</w:t>
      </w:r>
    </w:p>
    <w:p>
      <w:pPr>
        <w:spacing w:after="0" w:line="49" w:lineRule="exact"/>
        <w:rPr>
          <w:sz w:val="20"/>
          <w:szCs w:val="20"/>
          <w:color w:val="auto"/>
        </w:rPr>
      </w:pPr>
    </w:p>
    <w:p>
      <w:pPr>
        <w:jc w:val="right"/>
        <w:ind w:right="2080"/>
        <w:spacing w:after="0"/>
        <w:rPr>
          <w:sz w:val="20"/>
          <w:szCs w:val="20"/>
          <w:color w:val="auto"/>
        </w:rPr>
      </w:pPr>
      <w:r>
        <w:rPr>
          <w:rFonts w:ascii="Times New Roman" w:cs="Times New Roman" w:eastAsia="Times New Roman" w:hAnsi="Times New Roman"/>
          <w:sz w:val="14"/>
          <w:szCs w:val="14"/>
          <w:b w:val="1"/>
          <w:bCs w:val="1"/>
          <w:color w:val="auto"/>
        </w:rPr>
        <w:t>Total lease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40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Cost of care excluding depreciation and amortization and Corporate,</w:t>
            </w: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9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w:t>
            </w:r>
          </w:p>
        </w:tc>
        <w:tc>
          <w:tcPr>
            <w:tcW w:w="100" w:type="dxa"/>
            <w:vAlign w:val="bottom"/>
          </w:tcPr>
          <w:p>
            <w:pPr>
              <w:spacing w:after="0"/>
              <w:rPr>
                <w:sz w:val="16"/>
                <w:szCs w:val="16"/>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r>
      <w:tr>
        <w:trPr>
          <w:trHeight w:val="357"/>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6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w:t>
            </w:r>
          </w:p>
        </w:tc>
      </w:tr>
      <w:tr>
        <w:trPr>
          <w:trHeight w:val="180"/>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6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4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Cost of care excluding depreciation and amortization and Corporate,</w:t>
            </w: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87"/>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42"/>
        </w:trPr>
        <w:tc>
          <w:tcPr>
            <w:tcW w:w="40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Cost of care excluding depreciation and amortization and Corporate,</w:t>
            </w: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91"/>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71"/>
        </w:trPr>
        <w:tc>
          <w:tcPr>
            <w:tcW w:w="408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4,829</w:t>
            </w:r>
          </w:p>
        </w:tc>
      </w:tr>
      <w:tr>
        <w:trPr>
          <w:trHeight w:val="20"/>
        </w:trPr>
        <w:tc>
          <w:tcPr>
            <w:tcW w:w="40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-2561590</wp:posOffset>
            </wp:positionH>
            <wp:positionV relativeFrom="paragraph">
              <wp:posOffset>-1117600</wp:posOffset>
            </wp:positionV>
            <wp:extent cx="7094220" cy="208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94220" cy="208915"/>
                    </a:xfrm>
                    <a:prstGeom prst="rect">
                      <a:avLst/>
                    </a:prstGeom>
                    <a:noFill/>
                  </pic:spPr>
                </pic:pic>
              </a:graphicData>
            </a:graphic>
          </wp:anchor>
        </w:drawing>
        <w:drawing>
          <wp:anchor simplePos="0" relativeHeight="251657728" behindDoc="1" locked="0" layoutInCell="0" allowOverlap="1">
            <wp:simplePos x="0" y="0"/>
            <wp:positionH relativeFrom="column">
              <wp:posOffset>-2561590</wp:posOffset>
            </wp:positionH>
            <wp:positionV relativeFrom="paragraph">
              <wp:posOffset>-794385</wp:posOffset>
            </wp:positionV>
            <wp:extent cx="7094220" cy="114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4220" cy="114300"/>
                    </a:xfrm>
                    <a:prstGeom prst="rect">
                      <a:avLst/>
                    </a:prstGeom>
                    <a:noFill/>
                  </pic:spPr>
                </pic:pic>
              </a:graphicData>
            </a:graphic>
          </wp:anchor>
        </w:drawing>
        <w:drawing>
          <wp:anchor simplePos="0" relativeHeight="251657728" behindDoc="1" locked="0" layoutInCell="0" allowOverlap="1">
            <wp:simplePos x="0" y="0"/>
            <wp:positionH relativeFrom="column">
              <wp:posOffset>-2561590</wp:posOffset>
            </wp:positionH>
            <wp:positionV relativeFrom="paragraph">
              <wp:posOffset>-565150</wp:posOffset>
            </wp:positionV>
            <wp:extent cx="7094220" cy="2089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94220" cy="208915"/>
                    </a:xfrm>
                    <a:prstGeom prst="rect">
                      <a:avLst/>
                    </a:prstGeom>
                    <a:noFill/>
                  </pic:spPr>
                </pic:pic>
              </a:graphicData>
            </a:graphic>
          </wp:anchor>
        </w:drawing>
        <w:drawing>
          <wp:anchor simplePos="0" relativeHeight="251657728" behindDoc="1" locked="0" layoutInCell="0" allowOverlap="1">
            <wp:simplePos x="0" y="0"/>
            <wp:positionH relativeFrom="column">
              <wp:posOffset>-2561590</wp:posOffset>
            </wp:positionH>
            <wp:positionV relativeFrom="paragraph">
              <wp:posOffset>-147320</wp:posOffset>
            </wp:positionV>
            <wp:extent cx="7094220" cy="13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422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720"/>
            <w:col w:w="7240"/>
          </w:cols>
          <w:pgMar w:left="300" w:top="125" w:right="31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The following table includes the weighted-average lease terms and discount rates for operating and finance leases as of December 31:</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2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remaining lease term:</w:t>
            </w:r>
          </w:p>
        </w:tc>
        <w:tc>
          <w:tcPr>
            <w:tcW w:w="1580" w:type="dxa"/>
            <w:vAlign w:val="bottom"/>
            <w:gridSpan w:val="4"/>
          </w:tcPr>
          <w:p>
            <w:pPr>
              <w:ind w:left="3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9"/>
        </w:trPr>
        <w:tc>
          <w:tcPr>
            <w:tcW w:w="80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1"/>
        </w:trPr>
        <w:tc>
          <w:tcPr>
            <w:tcW w:w="8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leases</w:t>
            </w:r>
          </w:p>
        </w:tc>
        <w:tc>
          <w:tcPr>
            <w:tcW w:w="150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7.2 years</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 years</w:t>
            </w:r>
          </w:p>
        </w:tc>
      </w:tr>
      <w:tr>
        <w:trPr>
          <w:trHeight w:val="184"/>
        </w:trPr>
        <w:tc>
          <w:tcPr>
            <w:tcW w:w="8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Finance leases</w:t>
            </w:r>
          </w:p>
        </w:tc>
        <w:tc>
          <w:tcPr>
            <w:tcW w:w="1580" w:type="dxa"/>
            <w:vAlign w:val="bottom"/>
            <w:gridSpan w:val="4"/>
          </w:tcPr>
          <w:p>
            <w:pPr>
              <w:ind w:left="960"/>
              <w:spacing w:after="0"/>
              <w:rPr>
                <w:sz w:val="20"/>
                <w:szCs w:val="20"/>
                <w:color w:val="auto"/>
              </w:rPr>
            </w:pPr>
            <w:r>
              <w:rPr>
                <w:rFonts w:ascii="Times New Roman" w:cs="Times New Roman" w:eastAsia="Times New Roman" w:hAnsi="Times New Roman"/>
                <w:sz w:val="14"/>
                <w:szCs w:val="14"/>
                <w:color w:val="auto"/>
              </w:rPr>
              <w:t>3.1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years</w:t>
            </w:r>
          </w:p>
        </w:tc>
      </w:tr>
      <w:tr>
        <w:trPr>
          <w:trHeight w:val="389"/>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discount rate:</w:t>
            </w:r>
          </w:p>
        </w:tc>
        <w:tc>
          <w:tcPr>
            <w:tcW w:w="158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8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9"/>
        </w:trPr>
        <w:tc>
          <w:tcPr>
            <w:tcW w:w="80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1"/>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leases</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6.87 %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12.85 %</w:t>
            </w:r>
          </w:p>
        </w:tc>
      </w:tr>
      <w:tr>
        <w:trPr>
          <w:trHeight w:val="184"/>
        </w:trPr>
        <w:tc>
          <w:tcPr>
            <w:tcW w:w="8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Finance leases</w:t>
            </w:r>
          </w:p>
        </w:tc>
        <w:tc>
          <w:tcPr>
            <w:tcW w:w="140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7.84 %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7.95 %</w:t>
            </w:r>
          </w:p>
        </w:tc>
      </w:tr>
    </w:tbl>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includes the future maturities of lease payments for operating leases and finance leases for periods subsequent to December 31,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Operating</w:t>
            </w:r>
          </w:p>
        </w:tc>
        <w:tc>
          <w:tcPr>
            <w:tcW w:w="320" w:type="dxa"/>
            <w:vAlign w:val="bottom"/>
          </w:tcPr>
          <w:p>
            <w:pPr>
              <w:spacing w:after="0"/>
              <w:rPr>
                <w:sz w:val="10"/>
                <w:szCs w:val="10"/>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Finance</w:t>
            </w:r>
          </w:p>
        </w:tc>
        <w:tc>
          <w:tcPr>
            <w:tcW w:w="340" w:type="dxa"/>
            <w:vAlign w:val="bottom"/>
          </w:tcPr>
          <w:p>
            <w:pPr>
              <w:spacing w:after="0"/>
              <w:rPr>
                <w:sz w:val="10"/>
                <w:szCs w:val="10"/>
                <w:color w:val="auto"/>
              </w:rPr>
            </w:pPr>
          </w:p>
        </w:tc>
        <w:tc>
          <w:tcPr>
            <w:tcW w:w="1140" w:type="dxa"/>
            <w:vAlign w:val="bottom"/>
            <w:vMerge w:val="restart"/>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3960" w:type="dxa"/>
            <w:vAlign w:val="bottom"/>
            <w:vMerge w:val="continue"/>
          </w:tcPr>
          <w:p>
            <w:pPr>
              <w:spacing w:after="0"/>
              <w:rPr>
                <w:sz w:val="13"/>
                <w:szCs w:val="13"/>
                <w:color w:val="auto"/>
              </w:rPr>
            </w:pPr>
          </w:p>
        </w:tc>
        <w:tc>
          <w:tcPr>
            <w:tcW w:w="2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Lease</w:t>
            </w:r>
          </w:p>
        </w:tc>
        <w:tc>
          <w:tcPr>
            <w:tcW w:w="32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6"/>
              </w:rPr>
              <w:t>Lease</w:t>
            </w:r>
          </w:p>
        </w:tc>
        <w:tc>
          <w:tcPr>
            <w:tcW w:w="3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 remaining in 2025</w:t>
            </w:r>
          </w:p>
        </w:tc>
        <w:tc>
          <w:tcPr>
            <w:tcW w:w="27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6,218</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6,613</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12,831</w:t>
            </w: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11,451</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10,271</w:t>
            </w: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7,428</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w:t>
            </w:r>
          </w:p>
        </w:tc>
        <w:tc>
          <w:tcPr>
            <w:tcW w:w="0" w:type="dxa"/>
            <w:vAlign w:val="bottom"/>
          </w:tcPr>
          <w:p>
            <w:pPr>
              <w:spacing w:after="0"/>
              <w:rPr>
                <w:sz w:val="1"/>
                <w:szCs w:val="1"/>
                <w:color w:val="auto"/>
              </w:rPr>
            </w:pPr>
          </w:p>
        </w:tc>
      </w:tr>
      <w:tr>
        <w:trPr>
          <w:trHeight w:val="180"/>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11,651</w:t>
            </w:r>
          </w:p>
        </w:tc>
        <w:tc>
          <w:tcPr>
            <w:tcW w:w="0" w:type="dxa"/>
            <w:vAlign w:val="bottom"/>
          </w:tcPr>
          <w:p>
            <w:pPr>
              <w:spacing w:after="0"/>
              <w:rPr>
                <w:sz w:val="1"/>
                <w:szCs w:val="1"/>
                <w:color w:val="auto"/>
              </w:rPr>
            </w:pPr>
          </w:p>
        </w:tc>
      </w:tr>
      <w:tr>
        <w:trPr>
          <w:trHeight w:val="171"/>
        </w:trPr>
        <w:tc>
          <w:tcPr>
            <w:tcW w:w="39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payments</w:t>
            </w:r>
          </w:p>
        </w:tc>
        <w:tc>
          <w:tcPr>
            <w:tcW w:w="27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38,767</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19,532</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58,299</w:t>
            </w: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liability accretion / imputed interest</w:t>
            </w:r>
          </w:p>
        </w:tc>
        <w:tc>
          <w:tcPr>
            <w:tcW w:w="27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(10,159)</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(15,480)</w:t>
            </w: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liabilities</w:t>
            </w:r>
          </w:p>
        </w:tc>
        <w:tc>
          <w:tcPr>
            <w:tcW w:w="2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42,819</w:t>
            </w: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Current lease liabilities</w:t>
            </w:r>
          </w:p>
        </w:tc>
        <w:tc>
          <w:tcPr>
            <w:tcW w:w="27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4,759</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10,005</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long-term lease liabilities</w:t>
            </w:r>
          </w:p>
        </w:tc>
        <w:tc>
          <w:tcPr>
            <w:tcW w:w="27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23,849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8,965</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869"/>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39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60" w:type="dxa"/>
            <w:vAlign w:val="bottom"/>
            <w:tcBorders>
              <w:bottom w:val="single" w:sz="8" w:color="9A9A9A"/>
            </w:tcBorders>
          </w:tcPr>
          <w:p>
            <w:pPr>
              <w:spacing w:after="0"/>
              <w:rPr>
                <w:sz w:val="7"/>
                <w:szCs w:val="7"/>
                <w:color w:val="auto"/>
              </w:rPr>
            </w:pPr>
          </w:p>
        </w:tc>
        <w:tc>
          <w:tcPr>
            <w:tcW w:w="27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Long-Term Debt</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Long-term debt consisted of the following at December 31, 2024 and June 30,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Pr>
          <w:p>
            <w:pPr>
              <w:spacing w:after="0"/>
              <w:rPr>
                <w:sz w:val="12"/>
                <w:szCs w:val="12"/>
                <w:color w:val="auto"/>
              </w:rPr>
            </w:pPr>
          </w:p>
        </w:tc>
        <w:tc>
          <w:tcPr>
            <w:tcW w:w="1080" w:type="dxa"/>
            <w:vAlign w:val="bottom"/>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June 30,</w:t>
            </w:r>
          </w:p>
        </w:tc>
      </w:tr>
      <w:tr>
        <w:trPr>
          <w:trHeight w:val="169"/>
        </w:trPr>
        <w:tc>
          <w:tcPr>
            <w:tcW w:w="8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7"/>
        </w:trPr>
        <w:tc>
          <w:tcPr>
            <w:tcW w:w="8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3"/>
          </w:tcPr>
          <w:p>
            <w:pPr>
              <w:jc w:val="right"/>
              <w:ind w:right="49"/>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80" w:type="dxa"/>
            <w:vAlign w:val="bottom"/>
          </w:tcPr>
          <w:p>
            <w:pPr>
              <w:spacing w:after="0"/>
              <w:rPr>
                <w:sz w:val="13"/>
                <w:szCs w:val="13"/>
                <w:color w:val="auto"/>
              </w:rPr>
            </w:pPr>
          </w:p>
        </w:tc>
      </w:tr>
      <w:tr>
        <w:trPr>
          <w:trHeight w:val="184"/>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borrowings: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Facility</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61,875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63,750</w:t>
            </w: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Convertible term loan</w:t>
            </w: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2,239</w:t>
            </w:r>
          </w:p>
        </w:tc>
      </w:tr>
      <w:tr>
        <w:trPr>
          <w:trHeight w:val="171"/>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debt</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64,090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65,989</w:t>
            </w: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maturities</w:t>
            </w:r>
          </w:p>
        </w:tc>
        <w:tc>
          <w:tcPr>
            <w:tcW w:w="2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w:t>
            </w:r>
          </w:p>
        </w:tc>
      </w:tr>
      <w:tr>
        <w:trPr>
          <w:trHeight w:val="171"/>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Noncurrent maturities</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59,795</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61,478</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2021 Credit Agreement</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March 8, 2021, the Company entered into a credit agreement (as amended, the “2021 Credit Agreement”) that replaced its prior credit agreement. The 2021 Credit Agreement consists of a senior secured term loan (the “Term Loan Facility”) of $75.0 million principal amount and a revolving credit facility (the “Revolving Credit Facility”) of $100.0 million maximum borrowing capacity, each with a maturity date of March 8, 2026. Borrowing capacity under the Revolving Credit Facility is subject to (i) any issued amounts under our letters of credit, which as of December 31, 2024 was $5.2 million, and (ii) applicable covenant compliance restrictions and any other conditions precedent to borrowing. Loans under the 2021 Credit Agreement are secured by substantially all of the Company’s assets. Principal on the Term Loan Facility is paid each calendar quarter in an amount equal to 1.25% of the initial term loan on closing date.</w:t>
      </w:r>
    </w:p>
    <w:p>
      <w:pPr>
        <w:spacing w:after="0" w:line="14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Outstanding principal amounts under the 2021 Credit Agreement accrue interest at a variable interest rate. As of December 31, 2024, the interest rate on the Term Loan Facility was 6.94%. Under the terms of the 2021 Credit Agreement, the Revolving Credit Facility fee accrues at 0.25% of the average daily unused amount and is paid quarterly. As of December 31, 2024, we had no borrowings outstanding, $5.2 million of letters of credit issued, and $94.8 million of remaining capacity under the Revolving Credit Facility.</w:t>
      </w:r>
    </w:p>
    <w:p>
      <w:pPr>
        <w:spacing w:after="0" w:line="13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2021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2021 Credit Agreement. The 2021 Credit Agreement also provides certain restrictions on dividend payments and other equity transactions and requires the Company to make prepayments under specified circumstances. As of December 31, 2024, the Company was in compliance with the covenants of the 2021 Credit Agreement.</w:t>
      </w:r>
    </w:p>
    <w:p>
      <w:pPr>
        <w:spacing w:after="0" w:line="1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deferred financing costs of $2.0 million are amortized over the term of the underlying debt and unamortized amounts have been offset against long-term debt in the condensed consolidated balance sheets. Total amortization of deferred financing costs was $0.1 million for each of the three months ended December 31, 2024 and 2023. Total amortization of deferred financing costs was $0.2 million for each of the six months ended December 31, 2024 and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Convertible Term Loan</w:t>
      </w:r>
    </w:p>
    <w:p>
      <w:pPr>
        <w:spacing w:after="0" w:line="181"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On June 29, 2015, SH1 entered into a convertible term loan. Principal and interest payments of $0.02 million are due monthly. The loan bears interest at an annual rate of 6.68%, with the remaining principal balance due upon maturity at August 20, 2030. The loan is secured by a deed of trust to Public Trustee, assignment of leases and rents, security agreements, and SH1’s fixture filing.</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Professional Liability</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From time to time, the Company may be involved in various legal proceedings and be subject to claims. The Company regularly evaluates the status of claims and legal proceedings in which it is involved in order to assess whether a loss is probable or there is a reasonable possibility that a loss may have been incurred, and to determine whether accruals are appropriate. The Company expenses legal costs as such costs are incurred.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Civil Investigative Demands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July 2021, the Company received a civil investigative demand from the Attorney General for the State of Colorado under the Colorado Medicaid False Claims Act. The demand requested information and documents regarding Medicaid billing, patient services and referrals in connection with the Company’s PACE program in Colorado. The Company continues to fully cooperate with the Attorney General. The Company is currently unable to predict the outcome of this investigations.</w:t>
      </w:r>
    </w:p>
    <w:p>
      <w:pPr>
        <w:spacing w:after="0" w:line="13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February 2022, the Company received a civil investigative demand from the Department of Justice (“DOJ”) under the Federal False Claims Act on similar subject matter. The demand requested information and documents regarding audits, billing, orders tracking, and quality and timeliness of patient services in connection with the Company’s PACE programs in the states where the Company operated as of 2022 (California, Colorado, New Mexico, Pennsylvania, and Virginia). In December 2022, the Company received a supplemental civil investigative demand requesting supplemental information on the same matters. The Company and the DOJ have begun discussions to understand their respective positions on this matter. At this time, the Company is unable to predict the outcome of these discussions.</w:t>
      </w:r>
    </w:p>
    <w:p>
      <w:pPr>
        <w:spacing w:after="0" w:line="14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October 2024, the Company received a civil investigative demand from the DOJ under the Federal False Claims Act on a similar subject matter. The demand requests information and documents regarding the Company's relationship as a PACE provider with residential care facilities in California, Colorado, Virginia and New Mexico, related housing costs, and enrollment practices. The Company is fully cooperating with the DOJ and producing the requested information and documentation. The Company is currently unable to predict the outcome of this investigations.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 Lawsuits</w:t>
      </w:r>
    </w:p>
    <w:p>
      <w:pPr>
        <w:spacing w:after="0" w:line="202"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4"/>
          <w:szCs w:val="14"/>
          <w:color w:val="auto"/>
        </w:rPr>
        <w:t>On October 14, 2021, and subsequently amended on June 21, 2022, the Company was named as a defendant in a putative class action complaint filed in the District Court for the District of Colorado on behalf of individuals who purchased or acquired shares of the Company’s common stock during a specified period (the "Securities Action"). Through the complaint, plaintiffs are asserting claims against the Company, certain of the Company’s officers and directors, Apax Partners, L.P., Welsh, Carson, Anderson &amp; Stowe and the underwriters in the Company’s IPO, alleging violations of Sections 11, 12(a)(2) and 15 of the Securities Act of 1933 and Sections 10(b) and 20(a) of the Securities Exchange Act of 1934 for making allegedly inaccurate and misleading statements and omissions in connection with the Company’s IPO and subsequent earnings calls and public filings, and seeking compensatory damages, among other things. On September 13, 2022, the Company and the officer and director defendants and Apax Partners, L.P. and Welsh, Carson, Anderson &amp; Stowe filed a motion to dismiss the amended complaint for failure to state a claim upon which relief can be granted. On December 22, 2023, the District Court granted in part and denied in part the motion to dismiss. On September 17, 2024, plaintiffs filed a second amended complaint to add four additional defendants, WCAS Management Corporation, WCAS Management, L.P., WCAS Management, LLC, and TCO Group Holdings, L.P., renames Apax Partners, L.P. as Apax Partners US LLC and drops Welsh, Carson, Anderson &amp; Stowe as a defendant. On October 25, 2024, WCAS Management Corporation, WCAS Management, L.P., and WCAS Management, LLC filed a motion to dismiss plaintiffs' second amended complaint. On January 10, 2025, the District Court entered an amended order granting plaintiffs' motion to certify a class pursuant to the Federal Rules of Civil Procedure, Rule 23(b)(3). The action is currently stayed as to WCAS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 Corporation, WCAS Management L.P., and WCAS Management, LLC but otherwise continues to be in discovery.</w:t>
      </w:r>
    </w:p>
    <w:p>
      <w:pPr>
        <w:spacing w:after="0" w:line="16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On April 20, 2022, the Board of Directors of the Company received a books and records demand pursuant to Section 220 of the Delaware General Corporation Law, from a purported stockholder of the Company, Brian Hall, in connection with the stockholder’s investigation of, among other matters, potential breaches of fiduciary duty, mismanagement, self-dealing, corporate waste or other violations of law by the Company’s Board with respect to these matters. On May 15, 2023, Mr. Hall filed a lawsuit in the Delaware Court of Chancery asserting derivative claims for breach of fiduciary duty against certain of the Company’s current and former officers and directors generally relating to alleged failures by the defendants to take remedial actions to address the matters that resulted in sanctions by CMS at certain of the Company’s centers, and alleged misstatements in the Company’s public filings relating to those matters. On June 28, 2023, upon stipulation of the parties, the court entered an order staying the litigation pending the resolution of the motion to dismiss in the Securities Action or upon fifteen days’ notice by any party to the litigation. On January 22, 2024, upon stipulation of the parties, the court entered an order further staying the litigation pending the close of fact discovery in the Securities Action.</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are currently unable to predict the outcome of these matters.</w:t>
      </w:r>
    </w:p>
    <w:p>
      <w:pPr>
        <w:spacing w:after="0" w:line="17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Because the results of legal proceedings and claims are inherently unpredictable and uncertain, we are currently unable to predict whether the legal proceedings we are involved in will, either individually or in the aggregate, have a material adverse effect on our business, financial condition, or cash flows.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Stock-based Compensation</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 summary of our aggregate stock-based compensation expense is set forth below. Stock-based compensation expense is included in corporate, general and administrative expenses on our condensed consolidated statements of operations.</w:t>
      </w:r>
    </w:p>
    <w:p>
      <w:pPr>
        <w:sectPr>
          <w:pgSz w:w="11900" w:h="16838" w:orient="portrait"/>
          <w:cols w:equalWidth="0" w:num="1">
            <w:col w:w="11280"/>
          </w:cols>
          <w:pgMar w:left="300" w:top="125" w:right="319" w:bottom="1440" w:gutter="0" w:footer="0" w:header="0"/>
        </w:sectPr>
      </w:pPr>
    </w:p>
    <w:p>
      <w:pPr>
        <w:spacing w:after="0" w:line="158"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13970</wp:posOffset>
            </wp:positionV>
            <wp:extent cx="223647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11" w:lineRule="exact"/>
        <w:rPr>
          <w:sz w:val="20"/>
          <w:szCs w:val="20"/>
          <w:color w:val="auto"/>
        </w:rPr>
      </w:pPr>
    </w:p>
    <w:p>
      <w:pPr>
        <w:ind w:left="4880"/>
        <w:spacing w:after="0"/>
        <w:tabs>
          <w:tab w:leader="none" w:pos="6660" w:val="left"/>
        </w:tabs>
        <w:rPr>
          <w:sz w:val="20"/>
          <w:szCs w:val="20"/>
          <w:color w:val="auto"/>
        </w:rPr>
      </w:pPr>
      <w:r>
        <w:rPr>
          <w:rFonts w:ascii="Times New Roman" w:cs="Times New Roman" w:eastAsia="Times New Roman" w:hAnsi="Times New Roman"/>
          <w:sz w:val="13"/>
          <w:szCs w:val="13"/>
          <w:b w:val="1"/>
          <w:bCs w:val="1"/>
          <w:color w:val="auto"/>
        </w:rPr>
        <w:t>2024</w:t>
      </w:r>
      <w:r>
        <w:rPr>
          <w:sz w:val="20"/>
          <w:szCs w:val="20"/>
          <w:color w:val="auto"/>
        </w:rPr>
        <w:tab/>
      </w:r>
      <w:r>
        <w:rPr>
          <w:rFonts w:ascii="Times New Roman" w:cs="Times New Roman" w:eastAsia="Times New Roman" w:hAnsi="Times New Roman"/>
          <w:sz w:val="13"/>
          <w:szCs w:val="13"/>
          <w:b w:val="1"/>
          <w:bCs w:val="1"/>
          <w:color w:val="auto"/>
        </w:rPr>
        <w:t>2023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3"/>
          <w:szCs w:val="13"/>
          <w:b w:val="1"/>
          <w:bCs w:val="1"/>
          <w:color w:val="auto"/>
        </w:rPr>
        <w:t>Six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13970</wp:posOffset>
            </wp:positionV>
            <wp:extent cx="223647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11"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3"/>
          <w:szCs w:val="13"/>
          <w:b w:val="1"/>
          <w:bCs w:val="1"/>
          <w:color w:val="auto"/>
        </w:rPr>
        <w:t>2024</w:t>
      </w:r>
      <w:r>
        <w:rPr>
          <w:sz w:val="20"/>
          <w:szCs w:val="20"/>
          <w:color w:val="auto"/>
        </w:rPr>
        <w:tab/>
      </w:r>
      <w:r>
        <w:rPr>
          <w:rFonts w:ascii="Times New Roman" w:cs="Times New Roman" w:eastAsia="Times New Roman" w:hAnsi="Times New Roman"/>
          <w:sz w:val="13"/>
          <w:szCs w:val="13"/>
          <w:b w:val="1"/>
          <w:bCs w:val="1"/>
          <w:color w:val="auto"/>
        </w:rPr>
        <w:t>2023</w:t>
      </w:r>
    </w:p>
    <w:p>
      <w:pPr>
        <w:spacing w:after="0" w:line="18" w:lineRule="exact"/>
        <w:rPr>
          <w:sz w:val="20"/>
          <w:szCs w:val="20"/>
          <w:color w:val="auto"/>
        </w:rPr>
      </w:pPr>
    </w:p>
    <w:p>
      <w:pPr>
        <w:sectPr>
          <w:pgSz w:w="11900" w:h="16838" w:orient="portrait"/>
          <w:cols w:equalWidth="0" w:num="2">
            <w:col w:w="7780" w:space="720"/>
            <w:col w:w="278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41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3"/>
          </w:tcPr>
          <w:p>
            <w:pPr>
              <w:jc w:val="right"/>
              <w:ind w:right="449"/>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3"/>
          </w:tcPr>
          <w:p>
            <w:pPr>
              <w:jc w:val="right"/>
              <w:ind w:right="469"/>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900" w:type="dxa"/>
            <w:vAlign w:val="bottom"/>
            <w:tcBorders>
              <w:top w:val="single" w:sz="8" w:color="auto"/>
            </w:tcBorders>
          </w:tcPr>
          <w:p>
            <w:pPr>
              <w:spacing w:after="0"/>
              <w:rPr>
                <w:sz w:val="14"/>
                <w:szCs w:val="14"/>
                <w:color w:val="auto"/>
              </w:rPr>
            </w:pPr>
          </w:p>
        </w:tc>
      </w:tr>
      <w:tr>
        <w:trPr>
          <w:trHeight w:val="210"/>
        </w:trPr>
        <w:tc>
          <w:tcPr>
            <w:tcW w:w="4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70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r>
      <w:tr>
        <w:trPr>
          <w:trHeight w:val="18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Profits interests units</w:t>
            </w:r>
          </w:p>
        </w:tc>
        <w:tc>
          <w:tcPr>
            <w:tcW w:w="7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r>
      <w:tr>
        <w:trPr>
          <w:trHeight w:val="18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7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8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w:t>
            </w:r>
          </w:p>
        </w:tc>
      </w:tr>
      <w:tr>
        <w:trPr>
          <w:trHeight w:val="171"/>
        </w:trPr>
        <w:tc>
          <w:tcPr>
            <w:tcW w:w="4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7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3,589</w:t>
            </w:r>
          </w:p>
        </w:tc>
      </w:tr>
      <w:tr>
        <w:trPr>
          <w:trHeight w:val="20"/>
        </w:trPr>
        <w:tc>
          <w:tcPr>
            <w:tcW w:w="4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2020 Equity Incentive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Profits Interests</w:t>
      </w:r>
    </w:p>
    <w:p>
      <w:pPr>
        <w:spacing w:after="0" w:line="181"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TCO Group Holdings, L.P. (the “LP”), the Company’s largest shareholder and prior to the IPO, the Company’s parent, maintains the TCO Group Holdings, L.P. Equity Incentive Plan (the "2020 Equity Incentive Plan") pursuant to which interests in the LP in the form of Class B Units (profits interests) may be granted to employees, directors, consultants, advisers, and other services providers (including partners) of the LP or any of its affiliates, including the Company. A maximum number of 16,162,177 Class B Units are authorized for grant under the 2020 Equity Incentive Plan. Both performance-based and time-based units have been issued under the plan. As of December 31, 2024, a total of 15,872,837 profits interests units had been granted under the 2020 Equity Incentive Plan.</w:t>
      </w:r>
    </w:p>
    <w:p>
      <w:pPr>
        <w:spacing w:after="0" w:line="31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used the Monte Carlo option model to determine the fair value of the granted profits interests units at the time of the grant. Expected stock price volatility is based on consideration of indications observed from several publicly traded peer companies. The risk-free interest rate is based on a treasury instrument whose term is consistent with the expected life of the unit. The dividend yield percentage is zero because the Company neither currently pays dividends nor intends to do so during the expected term. The expected term of the units represents the time the units are expected to be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outstanding. A total of 2,213,700 Class B Units were awarded during the six months ended December 31, 2023 to the Company's Chief Executive Officer, Chief Financial Officer, and Chief Legal Officer. A total of 650,000 Class B Units awarded during the six months ended December 31, 2024 to the Company's President and Chief Operating Officer. The assumptions under the Monte Carlo model related to profit interests units, presented on a weighted-average basis, are provided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r>
      <w:tr>
        <w:trPr>
          <w:trHeight w:val="171"/>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36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3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96"/>
              </w:rPr>
              <w:t>%</w:t>
            </w: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life (years) - time vesting units</w:t>
            </w:r>
          </w:p>
        </w:tc>
        <w:tc>
          <w:tcPr>
            <w:tcW w:w="36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40" w:type="dxa"/>
            <w:vAlign w:val="bottom"/>
          </w:tcPr>
          <w:p>
            <w:pPr>
              <w:spacing w:after="0"/>
              <w:rPr>
                <w:sz w:val="15"/>
                <w:szCs w:val="15"/>
                <w:color w:val="auto"/>
              </w:rPr>
            </w:pP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36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3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96"/>
              </w:rPr>
              <w:t>%</w:t>
            </w:r>
          </w:p>
        </w:tc>
      </w:tr>
      <w:tr>
        <w:trPr>
          <w:trHeight w:val="180"/>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36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r>
      <w:tr>
        <w:trPr>
          <w:trHeight w:val="18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fair value</w:t>
            </w:r>
          </w:p>
        </w:tc>
        <w:tc>
          <w:tcPr>
            <w:tcW w:w="3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340" w:type="dxa"/>
            <w:vAlign w:val="bottom"/>
            <w:shd w:val="clear" w:color="auto" w:fill="CCEEFF"/>
          </w:tcPr>
          <w:p>
            <w:pPr>
              <w:spacing w:after="0"/>
              <w:rPr>
                <w:sz w:val="15"/>
                <w:szCs w:val="15"/>
                <w:color w:val="auto"/>
              </w:rPr>
            </w:pPr>
          </w:p>
        </w:tc>
      </w:tr>
      <w:tr>
        <w:trPr>
          <w:trHeight w:val="184"/>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underlying stock</w:t>
            </w:r>
          </w:p>
        </w:tc>
        <w:tc>
          <w:tcPr>
            <w:tcW w:w="3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340" w:type="dxa"/>
            <w:vAlign w:val="bottom"/>
          </w:tcPr>
          <w:p>
            <w:pPr>
              <w:spacing w:after="0"/>
              <w:rPr>
                <w:sz w:val="16"/>
                <w:szCs w:val="16"/>
                <w:color w:val="auto"/>
              </w:rPr>
            </w:pPr>
          </w:p>
        </w:tc>
      </w:tr>
    </w:tbl>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profits interests activity for the six months ended December 31, 2024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Time-based unit awards</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0" w:type="dxa"/>
            <w:vAlign w:val="bottom"/>
          </w:tcPr>
          <w:p>
            <w:pPr>
              <w:spacing w:after="0"/>
              <w:rPr>
                <w:sz w:val="1"/>
                <w:szCs w:val="1"/>
                <w:color w:val="auto"/>
              </w:rPr>
            </w:pPr>
          </w:p>
        </w:tc>
      </w:tr>
      <w:tr>
        <w:trPr>
          <w:trHeight w:val="169"/>
        </w:trPr>
        <w:tc>
          <w:tcPr>
            <w:tcW w:w="8220" w:type="dxa"/>
            <w:vAlign w:val="bottom"/>
            <w:gridSpan w:val="2"/>
            <w:vMerge w:val="continue"/>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8"/>
              </w:rPr>
              <w:t>grant date fair value</w:t>
            </w:r>
          </w:p>
        </w:tc>
        <w:tc>
          <w:tcPr>
            <w:tcW w:w="0" w:type="dxa"/>
            <w:vAlign w:val="bottom"/>
          </w:tcPr>
          <w:p>
            <w:pPr>
              <w:spacing w:after="0"/>
              <w:rPr>
                <w:sz w:val="1"/>
                <w:szCs w:val="1"/>
                <w:color w:val="auto"/>
              </w:rPr>
            </w:pPr>
          </w:p>
        </w:tc>
      </w:tr>
      <w:tr>
        <w:trPr>
          <w:trHeight w:val="193"/>
        </w:trPr>
        <w:tc>
          <w:tcPr>
            <w:tcW w:w="8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balance, June 30,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1,287,113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80"/>
        </w:trPr>
        <w:tc>
          <w:tcPr>
            <w:tcW w:w="8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(433,917)</w:t>
            </w:r>
          </w:p>
        </w:tc>
        <w:tc>
          <w:tcPr>
            <w:tcW w:w="22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balance, 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1,178,196</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Performance-based unit awards</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0" w:type="dxa"/>
            <w:vAlign w:val="bottom"/>
          </w:tcPr>
          <w:p>
            <w:pPr>
              <w:spacing w:after="0"/>
              <w:rPr>
                <w:sz w:val="1"/>
                <w:szCs w:val="1"/>
                <w:color w:val="auto"/>
              </w:rPr>
            </w:pPr>
          </w:p>
        </w:tc>
      </w:tr>
      <w:tr>
        <w:trPr>
          <w:trHeight w:val="169"/>
        </w:trPr>
        <w:tc>
          <w:tcPr>
            <w:tcW w:w="8220" w:type="dxa"/>
            <w:vAlign w:val="bottom"/>
            <w:gridSpan w:val="2"/>
            <w:vMerge w:val="continue"/>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8"/>
              </w:rPr>
              <w:t>grant date fair value</w:t>
            </w:r>
          </w:p>
        </w:tc>
        <w:tc>
          <w:tcPr>
            <w:tcW w:w="0" w:type="dxa"/>
            <w:vAlign w:val="bottom"/>
          </w:tcPr>
          <w:p>
            <w:pPr>
              <w:spacing w:after="0"/>
              <w:rPr>
                <w:sz w:val="1"/>
                <w:szCs w:val="1"/>
                <w:color w:val="auto"/>
              </w:rPr>
            </w:pPr>
          </w:p>
        </w:tc>
      </w:tr>
      <w:tr>
        <w:trPr>
          <w:trHeight w:val="193"/>
        </w:trPr>
        <w:tc>
          <w:tcPr>
            <w:tcW w:w="8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balance, June 30,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1,371,671</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80"/>
        </w:trPr>
        <w:tc>
          <w:tcPr>
            <w:tcW w:w="8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balance, 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1,696,671</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total unrecognized compensation cost related to profits interests units outstanding as of December 31, 2024 was $4.1 million, comprised (i) $1.7 million related to time-based unit awards expected to be recognized over a weighted-average period of 2.9 years and (ii) $2.4 million related to performance-based unit awards, which will be recorded when it is probable that the performance-based criteria will be met.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2021 Omnibus Incentive Plan</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March 2021, the Compensation Committee of the Board of Directors approved the InnovAge Holding Corp. 2021 Omnibus Incentive Plan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over a three-year period with one-third vesting on each anniversary of the date of grant. Certain other vesting periods have also been used. The grant date fair value of restricted stock units with time-based vesting is based on the closing market price of our common stock on the date of grant. Certain other awards under this plan, including units and stock options, vest upon achieving specific share price performance criteria and are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determined to have performance-based vesting conditions. The Company has also issued time-based vesting stock options under this plan to its employees which generally vest in equal parts over a three-year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time-based vesting restricted stock units activity for the six months ended December 31, 2024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0" w:type="dxa"/>
            <w:vAlign w:val="bottom"/>
          </w:tcPr>
          <w:p>
            <w:pPr>
              <w:spacing w:after="0"/>
              <w:rPr>
                <w:sz w:val="1"/>
                <w:szCs w:val="1"/>
                <w:color w:val="auto"/>
              </w:rPr>
            </w:pPr>
          </w:p>
        </w:tc>
      </w:tr>
      <w:tr>
        <w:trPr>
          <w:trHeight w:val="127"/>
        </w:trPr>
        <w:tc>
          <w:tcPr>
            <w:tcW w:w="8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vMerge w:val="restart"/>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32"/>
              <w:spacing w:after="0" w:line="12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27"/>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Restricted stock units - time based</w:t>
            </w:r>
          </w:p>
        </w:tc>
        <w:tc>
          <w:tcPr>
            <w:tcW w:w="1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32"/>
              <w:spacing w:after="0" w:line="128" w:lineRule="exact"/>
              <w:rPr>
                <w:sz w:val="20"/>
                <w:szCs w:val="20"/>
                <w:color w:val="auto"/>
              </w:rPr>
            </w:pPr>
            <w:r>
              <w:rPr>
                <w:rFonts w:ascii="Times New Roman" w:cs="Times New Roman" w:eastAsia="Times New Roman" w:hAnsi="Times New Roman"/>
                <w:sz w:val="13"/>
                <w:szCs w:val="13"/>
                <w:b w:val="1"/>
                <w:bCs w:val="1"/>
                <w:color w:val="auto"/>
                <w:w w:val="97"/>
              </w:rPr>
              <w:t>grant-date fair</w:t>
            </w:r>
          </w:p>
        </w:tc>
        <w:tc>
          <w:tcPr>
            <w:tcW w:w="0" w:type="dxa"/>
            <w:vAlign w:val="bottom"/>
          </w:tcPr>
          <w:p>
            <w:pPr>
              <w:spacing w:after="0"/>
              <w:rPr>
                <w:sz w:val="1"/>
                <w:szCs w:val="1"/>
                <w:color w:val="auto"/>
              </w:rPr>
            </w:pPr>
          </w:p>
        </w:tc>
      </w:tr>
      <w:tr>
        <w:trPr>
          <w:trHeight w:val="169"/>
        </w:trPr>
        <w:tc>
          <w:tcPr>
            <w:tcW w:w="8220" w:type="dxa"/>
            <w:vAlign w:val="bottom"/>
            <w:gridSpan w:val="2"/>
            <w:vMerge w:val="continue"/>
          </w:tcPr>
          <w:p>
            <w:pPr>
              <w:spacing w:after="0"/>
              <w:rPr>
                <w:sz w:val="14"/>
                <w:szCs w:val="14"/>
                <w:color w:val="auto"/>
              </w:rPr>
            </w:pPr>
          </w:p>
        </w:tc>
        <w:tc>
          <w:tcPr>
            <w:tcW w:w="1500" w:type="dxa"/>
            <w:vAlign w:val="bottom"/>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8"/>
              </w:rPr>
              <w:t>value per share</w:t>
            </w:r>
          </w:p>
        </w:tc>
        <w:tc>
          <w:tcPr>
            <w:tcW w:w="0" w:type="dxa"/>
            <w:vAlign w:val="bottom"/>
          </w:tcPr>
          <w:p>
            <w:pPr>
              <w:spacing w:after="0"/>
              <w:rPr>
                <w:sz w:val="1"/>
                <w:szCs w:val="1"/>
                <w:color w:val="auto"/>
              </w:rPr>
            </w:pPr>
          </w:p>
        </w:tc>
      </w:tr>
      <w:tr>
        <w:trPr>
          <w:trHeight w:val="193"/>
        </w:trPr>
        <w:tc>
          <w:tcPr>
            <w:tcW w:w="8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balance, June 30,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2,864,319</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180"/>
        </w:trPr>
        <w:tc>
          <w:tcPr>
            <w:tcW w:w="8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159,869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(203,528)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(367,492)</w:t>
            </w:r>
          </w:p>
        </w:tc>
        <w:tc>
          <w:tcPr>
            <w:tcW w:w="2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balance, 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2,453,168</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total unrecognized compensation cost related to time based restricted stock units outstanding as of December 31, 2024 was $7.6 million and is expected to be recognized over a weighted-average period of 1.7 years.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performance based vesting restricted stock units activity for the six months ended December 31, 2024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0" w:type="dxa"/>
            <w:vAlign w:val="bottom"/>
          </w:tcPr>
          <w:p>
            <w:pPr>
              <w:spacing w:after="0"/>
              <w:rPr>
                <w:sz w:val="1"/>
                <w:szCs w:val="1"/>
                <w:color w:val="auto"/>
              </w:rPr>
            </w:pPr>
          </w:p>
        </w:tc>
      </w:tr>
      <w:tr>
        <w:trPr>
          <w:trHeight w:val="127"/>
        </w:trPr>
        <w:tc>
          <w:tcPr>
            <w:tcW w:w="8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vMerge w:val="restart"/>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32"/>
              <w:spacing w:after="0" w:line="12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27"/>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Restricted stock units - performance based</w:t>
            </w:r>
          </w:p>
        </w:tc>
        <w:tc>
          <w:tcPr>
            <w:tcW w:w="1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32"/>
              <w:spacing w:after="0" w:line="128" w:lineRule="exact"/>
              <w:rPr>
                <w:sz w:val="20"/>
                <w:szCs w:val="20"/>
                <w:color w:val="auto"/>
              </w:rPr>
            </w:pPr>
            <w:r>
              <w:rPr>
                <w:rFonts w:ascii="Times New Roman" w:cs="Times New Roman" w:eastAsia="Times New Roman" w:hAnsi="Times New Roman"/>
                <w:sz w:val="13"/>
                <w:szCs w:val="13"/>
                <w:b w:val="1"/>
                <w:bCs w:val="1"/>
                <w:color w:val="auto"/>
                <w:w w:val="97"/>
              </w:rPr>
              <w:t>grant-date fair</w:t>
            </w:r>
          </w:p>
        </w:tc>
        <w:tc>
          <w:tcPr>
            <w:tcW w:w="0" w:type="dxa"/>
            <w:vAlign w:val="bottom"/>
          </w:tcPr>
          <w:p>
            <w:pPr>
              <w:spacing w:after="0"/>
              <w:rPr>
                <w:sz w:val="1"/>
                <w:szCs w:val="1"/>
                <w:color w:val="auto"/>
              </w:rPr>
            </w:pPr>
          </w:p>
        </w:tc>
      </w:tr>
      <w:tr>
        <w:trPr>
          <w:trHeight w:val="169"/>
        </w:trPr>
        <w:tc>
          <w:tcPr>
            <w:tcW w:w="8220" w:type="dxa"/>
            <w:vAlign w:val="bottom"/>
            <w:gridSpan w:val="2"/>
            <w:vMerge w:val="continue"/>
          </w:tcPr>
          <w:p>
            <w:pPr>
              <w:spacing w:after="0"/>
              <w:rPr>
                <w:sz w:val="14"/>
                <w:szCs w:val="14"/>
                <w:color w:val="auto"/>
              </w:rPr>
            </w:pPr>
          </w:p>
        </w:tc>
        <w:tc>
          <w:tcPr>
            <w:tcW w:w="1500" w:type="dxa"/>
            <w:vAlign w:val="bottom"/>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8"/>
              </w:rPr>
              <w:t>value per share</w:t>
            </w:r>
          </w:p>
        </w:tc>
        <w:tc>
          <w:tcPr>
            <w:tcW w:w="0" w:type="dxa"/>
            <w:vAlign w:val="bottom"/>
          </w:tcPr>
          <w:p>
            <w:pPr>
              <w:spacing w:after="0"/>
              <w:rPr>
                <w:sz w:val="1"/>
                <w:szCs w:val="1"/>
                <w:color w:val="auto"/>
              </w:rPr>
            </w:pPr>
          </w:p>
        </w:tc>
      </w:tr>
      <w:tr>
        <w:trPr>
          <w:trHeight w:val="193"/>
        </w:trPr>
        <w:tc>
          <w:tcPr>
            <w:tcW w:w="8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balance, June 30,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258,767</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180"/>
        </w:trPr>
        <w:tc>
          <w:tcPr>
            <w:tcW w:w="8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balance, 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258,767</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total unrecognized compensation cost related to performance based vesting restricted stock units outstanding as of December 31, 2024 was $0.2 million and is expected to be recognized over a weighted-average period of 1.2 years.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Nonqualified Stock Options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time-based vesting stock option activity for the six months ended December 31, 2024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0" w:type="dxa"/>
            <w:vAlign w:val="bottom"/>
          </w:tcPr>
          <w:p>
            <w:pPr>
              <w:spacing w:after="0"/>
              <w:rPr>
                <w:sz w:val="1"/>
                <w:szCs w:val="1"/>
                <w:color w:val="auto"/>
              </w:rPr>
            </w:pPr>
          </w:p>
        </w:tc>
      </w:tr>
      <w:tr>
        <w:trPr>
          <w:trHeight w:val="127"/>
        </w:trPr>
        <w:tc>
          <w:tcPr>
            <w:tcW w:w="8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vMerge w:val="restart"/>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32"/>
              <w:spacing w:after="0" w:line="12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27"/>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Stock options - time based</w:t>
            </w:r>
          </w:p>
        </w:tc>
        <w:tc>
          <w:tcPr>
            <w:tcW w:w="1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32"/>
              <w:spacing w:after="0" w:line="128" w:lineRule="exact"/>
              <w:rPr>
                <w:sz w:val="20"/>
                <w:szCs w:val="20"/>
                <w:color w:val="auto"/>
              </w:rPr>
            </w:pPr>
            <w:r>
              <w:rPr>
                <w:rFonts w:ascii="Times New Roman" w:cs="Times New Roman" w:eastAsia="Times New Roman" w:hAnsi="Times New Roman"/>
                <w:sz w:val="13"/>
                <w:szCs w:val="13"/>
                <w:b w:val="1"/>
                <w:bCs w:val="1"/>
                <w:color w:val="auto"/>
                <w:w w:val="97"/>
              </w:rPr>
              <w:t>grant-date fair</w:t>
            </w:r>
          </w:p>
        </w:tc>
        <w:tc>
          <w:tcPr>
            <w:tcW w:w="0" w:type="dxa"/>
            <w:vAlign w:val="bottom"/>
          </w:tcPr>
          <w:p>
            <w:pPr>
              <w:spacing w:after="0"/>
              <w:rPr>
                <w:sz w:val="1"/>
                <w:szCs w:val="1"/>
                <w:color w:val="auto"/>
              </w:rPr>
            </w:pPr>
          </w:p>
        </w:tc>
      </w:tr>
      <w:tr>
        <w:trPr>
          <w:trHeight w:val="169"/>
        </w:trPr>
        <w:tc>
          <w:tcPr>
            <w:tcW w:w="8220" w:type="dxa"/>
            <w:vAlign w:val="bottom"/>
            <w:gridSpan w:val="2"/>
            <w:vMerge w:val="continue"/>
          </w:tcPr>
          <w:p>
            <w:pPr>
              <w:spacing w:after="0"/>
              <w:rPr>
                <w:sz w:val="14"/>
                <w:szCs w:val="14"/>
                <w:color w:val="auto"/>
              </w:rPr>
            </w:pPr>
          </w:p>
        </w:tc>
        <w:tc>
          <w:tcPr>
            <w:tcW w:w="1500" w:type="dxa"/>
            <w:vAlign w:val="bottom"/>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8"/>
              </w:rPr>
              <w:t>value per share</w:t>
            </w:r>
          </w:p>
        </w:tc>
        <w:tc>
          <w:tcPr>
            <w:tcW w:w="0" w:type="dxa"/>
            <w:vAlign w:val="bottom"/>
          </w:tcPr>
          <w:p>
            <w:pPr>
              <w:spacing w:after="0"/>
              <w:rPr>
                <w:sz w:val="1"/>
                <w:szCs w:val="1"/>
                <w:color w:val="auto"/>
              </w:rPr>
            </w:pPr>
          </w:p>
        </w:tc>
      </w:tr>
      <w:tr>
        <w:trPr>
          <w:trHeight w:val="193"/>
        </w:trPr>
        <w:tc>
          <w:tcPr>
            <w:tcW w:w="8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balance, June 30,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554,499</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80"/>
        </w:trPr>
        <w:tc>
          <w:tcPr>
            <w:tcW w:w="8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Expired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balance, December 31,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554,499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Exercisable balance, December 31,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415,872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total unrecognized compensation costs related to time-based vesting stock options outstanding as of December 31, 2024 was $0.04 million and is expected to be recognized over a weighted-average period of 0.2 years.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performance-based vesting stock option activity for the six months ended December 31, 2024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0" w:type="dxa"/>
            <w:vAlign w:val="bottom"/>
          </w:tcPr>
          <w:p>
            <w:pPr>
              <w:spacing w:after="0"/>
              <w:rPr>
                <w:sz w:val="1"/>
                <w:szCs w:val="1"/>
                <w:color w:val="auto"/>
              </w:rPr>
            </w:pPr>
          </w:p>
        </w:tc>
      </w:tr>
      <w:tr>
        <w:trPr>
          <w:trHeight w:val="127"/>
        </w:trPr>
        <w:tc>
          <w:tcPr>
            <w:tcW w:w="8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vMerge w:val="restart"/>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32"/>
              <w:spacing w:after="0" w:line="12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27"/>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Stock options - performance based</w:t>
            </w:r>
          </w:p>
        </w:tc>
        <w:tc>
          <w:tcPr>
            <w:tcW w:w="1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132"/>
              <w:spacing w:after="0" w:line="128" w:lineRule="exact"/>
              <w:rPr>
                <w:sz w:val="20"/>
                <w:szCs w:val="20"/>
                <w:color w:val="auto"/>
              </w:rPr>
            </w:pPr>
            <w:r>
              <w:rPr>
                <w:rFonts w:ascii="Times New Roman" w:cs="Times New Roman" w:eastAsia="Times New Roman" w:hAnsi="Times New Roman"/>
                <w:sz w:val="13"/>
                <w:szCs w:val="13"/>
                <w:b w:val="1"/>
                <w:bCs w:val="1"/>
                <w:color w:val="auto"/>
                <w:w w:val="97"/>
              </w:rPr>
              <w:t>grant-date fair</w:t>
            </w:r>
          </w:p>
        </w:tc>
        <w:tc>
          <w:tcPr>
            <w:tcW w:w="0" w:type="dxa"/>
            <w:vAlign w:val="bottom"/>
          </w:tcPr>
          <w:p>
            <w:pPr>
              <w:spacing w:after="0"/>
              <w:rPr>
                <w:sz w:val="1"/>
                <w:szCs w:val="1"/>
                <w:color w:val="auto"/>
              </w:rPr>
            </w:pPr>
          </w:p>
        </w:tc>
      </w:tr>
      <w:tr>
        <w:trPr>
          <w:trHeight w:val="169"/>
        </w:trPr>
        <w:tc>
          <w:tcPr>
            <w:tcW w:w="8220" w:type="dxa"/>
            <w:vAlign w:val="bottom"/>
            <w:gridSpan w:val="2"/>
            <w:vMerge w:val="continue"/>
          </w:tcPr>
          <w:p>
            <w:pPr>
              <w:spacing w:after="0"/>
              <w:rPr>
                <w:sz w:val="14"/>
                <w:szCs w:val="14"/>
                <w:color w:val="auto"/>
              </w:rPr>
            </w:pPr>
          </w:p>
        </w:tc>
        <w:tc>
          <w:tcPr>
            <w:tcW w:w="1500" w:type="dxa"/>
            <w:vAlign w:val="bottom"/>
          </w:tcPr>
          <w:p>
            <w:pPr>
              <w:jc w:val="right"/>
              <w:ind w:right="491"/>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w w:val="98"/>
              </w:rPr>
              <w:t>value per share</w:t>
            </w:r>
          </w:p>
        </w:tc>
        <w:tc>
          <w:tcPr>
            <w:tcW w:w="0" w:type="dxa"/>
            <w:vAlign w:val="bottom"/>
          </w:tcPr>
          <w:p>
            <w:pPr>
              <w:spacing w:after="0"/>
              <w:rPr>
                <w:sz w:val="1"/>
                <w:szCs w:val="1"/>
                <w:color w:val="auto"/>
              </w:rPr>
            </w:pPr>
          </w:p>
        </w:tc>
      </w:tr>
      <w:tr>
        <w:trPr>
          <w:trHeight w:val="193"/>
        </w:trPr>
        <w:tc>
          <w:tcPr>
            <w:tcW w:w="8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balance, June 30,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776,299</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80"/>
        </w:trPr>
        <w:tc>
          <w:tcPr>
            <w:tcW w:w="8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2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balance, December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776,299</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total unrecognized compensation cost related to performance-based vesting stock options outstanding as of December 31, 2024 was $0.5 million and is expected to be recognized over a weighted-average period of 1.3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Acquisitions</w:t>
      </w:r>
    </w:p>
    <w:p>
      <w:pPr>
        <w:spacing w:after="0" w:line="18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December 1, 2023, the Company acquired all of the issued and outstanding membership interests of two California-based PACE programs, ConcertoCare PACE of Bakersfield, LLC and ConcertoHealth PACE of Los Angeles, LLC (collectively "Concerto"), from Perfect Health, Inc. d/b/a ConcertoCare, a tech-enabled, value-based provider of at-home, comprehensive care for seniors and other adults with unmet health and social needs, for $23.9 million. We believe the Concerto acquisition complements our California PACE centers. The acquisition was funded through cash on hand. Results of operations from the acquired centers are included in our condensed consolidated statements of operations for the three and six months ended December 31, 2024 and were not significant to our results. Costs related to the acquisition during the six months ended December 31, 2024 were insignificant. Acquisition related costs were expensed as incurred and have been recorded in corporate, general and administrative expenses in our condensed consolidated statements of operations.</w:t>
      </w:r>
    </w:p>
    <w:p>
      <w:pPr>
        <w:spacing w:after="0" w:line="14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Concerto acquisition was accounted for using the purchase method of accounting. The purchase price has been allocated to the assets acquired and liabilities assumed based on their estimated fair values at the date of acquisition. Goodwill represents the excess of the purchase price over the fair value of net assets acquired. Goodwill recognized</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represents the estimated future economic benefits arising from expected growth opportunities for the Company and is not deductible for income tax purposes.</w:t>
      </w:r>
    </w:p>
    <w:p>
      <w:pPr>
        <w:spacing w:after="0" w:line="17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presents the finalized allocation of the purchase price to the assets acquired and liabilities assumed as of the acquisition date, measurement period adjustments and the allocation as of December 31, 2024:</w:t>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300" w:type="dxa"/>
            <w:vAlign w:val="bottom"/>
          </w:tcPr>
          <w:p>
            <w:pPr>
              <w:spacing w:after="0"/>
              <w:rPr>
                <w:sz w:val="13"/>
                <w:szCs w:val="13"/>
                <w:color w:val="auto"/>
              </w:rPr>
            </w:pPr>
          </w:p>
        </w:tc>
        <w:tc>
          <w:tcPr>
            <w:tcW w:w="13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Adjusted</w:t>
            </w:r>
          </w:p>
        </w:tc>
      </w:tr>
      <w:tr>
        <w:trPr>
          <w:trHeight w:val="188"/>
        </w:trPr>
        <w:tc>
          <w:tcPr>
            <w:tcW w:w="60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allocation</w:t>
            </w:r>
          </w:p>
        </w:tc>
      </w:tr>
      <w:tr>
        <w:trPr>
          <w:trHeight w:val="161"/>
        </w:trPr>
        <w:tc>
          <w:tcPr>
            <w:tcW w:w="6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center"/>
              <w:ind w:right="70"/>
              <w:spacing w:after="0"/>
              <w:rPr>
                <w:sz w:val="20"/>
                <w:szCs w:val="20"/>
                <w:color w:val="auto"/>
              </w:rPr>
            </w:pPr>
            <w:r>
              <w:rPr>
                <w:rFonts w:ascii="Times New Roman" w:cs="Times New Roman" w:eastAsia="Times New Roman" w:hAnsi="Times New Roman"/>
                <w:sz w:val="13"/>
                <w:szCs w:val="13"/>
                <w:i w:val="1"/>
                <w:iCs w:val="1"/>
                <w:color w:val="auto"/>
                <w:w w:val="96"/>
              </w:rPr>
              <w:t>in thousands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15"/>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Consideration</w:t>
            </w:r>
          </w:p>
        </w:tc>
        <w:tc>
          <w:tcPr>
            <w:tcW w:w="114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23,916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23,916</w:t>
            </w:r>
          </w:p>
        </w:tc>
      </w:tr>
      <w:tr>
        <w:trPr>
          <w:trHeight w:val="171"/>
        </w:trPr>
        <w:tc>
          <w:tcPr>
            <w:tcW w:w="6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Consideration</w:t>
            </w:r>
          </w:p>
        </w:tc>
        <w:tc>
          <w:tcPr>
            <w:tcW w:w="114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23,916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23,916</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3"/>
        </w:trPr>
        <w:tc>
          <w:tcPr>
            <w:tcW w:w="60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7,969</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7,969</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6,892</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7,815</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17,348</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15,732</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and other</w:t>
            </w: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Reported and estimated claims</w:t>
            </w: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(8,941)</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(8,941)</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obligations</w:t>
            </w:r>
          </w:p>
        </w:tc>
        <w:tc>
          <w:tcPr>
            <w:tcW w:w="11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71"/>
        </w:trPr>
        <w:tc>
          <w:tcPr>
            <w:tcW w:w="6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Fair value of assets and liabilities</w:t>
            </w:r>
          </w:p>
        </w:tc>
        <w:tc>
          <w:tcPr>
            <w:tcW w:w="114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23,916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23,916</w:t>
            </w:r>
          </w:p>
        </w:tc>
      </w:tr>
      <w:tr>
        <w:trPr>
          <w:trHeight w:val="20"/>
        </w:trPr>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Since the preliminary allocation, we recognized a measurement period adjustment for lease incentives related to tenant improvements. The adjustment resulted in an increase of $0.7 million to prepaid expenses and $0.9 million to operating lease assets, a decrease of $0.1 million to accounts receivable and $0.1 million to accounts payable and accrued expenses, and a corresponding decrease of $1.6 million to goodwill. The Company does not expect any additional adjustments as the allocation has been finalized.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Income Taxes</w:t>
      </w:r>
    </w:p>
    <w:p>
      <w:pPr>
        <w:spacing w:after="0" w:line="181"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The Company recorded an income tax expense of $0.03 million and $0.1 million for the three months ended December 31, 2024 and 2023, respectively. The Company recorded an income tax expense of $0.4 million and $0.3 million for the six months ended December 31, 2024 and December 31, 2023, respectively. This represents an effective tax rate of (0.3)% and (2.5)% for the three months ended December 31, 2024 and 2023, respectively. This represents an effective tax rate of (2.3)% and (2.2)% for the six months ended December 31, 2024 and December 31, 2023, respectively.</w:t>
      </w:r>
    </w:p>
    <w:p>
      <w:pPr>
        <w:spacing w:after="0" w:line="31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effective rate for the six months ended December 31, 2024 was different from the federal statutory rate primarily due to the Company’s book loss offset partially by disallowed officers’ compensation under Internal Revenue Code (“IRC”) Section 162(m), disallowed stock options related to the profit interest units, exclusion of losses from entities not subject to tax, lobbying expenses, a change to the Pennsylvania tax rate, and the increase in the Company's valuation allowance against net operating losses which occurred during the three-month period.</w:t>
      </w:r>
    </w:p>
    <w:p>
      <w:pPr>
        <w:spacing w:after="0" w:line="13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 assesses the valuation allowance recorded against deferred tax assets at each reporting date. The determination of whether a valuation allowance for deferred tax assets is appropriate requires the evaluation of positive and negative evidence that can be objectively verified. Consideration must be given to all sources of taxable income available to realize deferred tax assets, including, as applicable, the future reversal of existing temporary differences, future taxable income forecasts exclusive of the reversal of temporary differences and carryforwards, taxable income in carryback years and tax planning strategies. In estimating income taxes, the Company assesses the relative merits and risks of the appropriate income tax treatment of transactions taking into account statutory, judicial, and regulatory guidance. As of the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six-month period ended December 31, 2024, the Company determined that it is not “more likely than not” that the deferred tax assets associated with certain state net operating losses will be realized and as such continues to maintain a valuation allowance against these state deferred tax assets. The Company also determined it is not "more likely than not" that the deferred tax assets associated with certain federal net operating losses will be realized and as such has included a valuation allowance against these federal deferred tax assets. The Company has provided $22.5 million at December 31, 2024 and $15.9 million at June 30, 2024, as a valuation allowance against its deferred tax assets for federal and state net operating losses and state 163(j) interest expense limitations where there is not sufficient positive evidence to substantiate that these deferred tax assets will be realized at a more-likely-than-not level of assurance.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Earnings per Share</w:t>
      </w:r>
    </w:p>
    <w:p>
      <w:pPr>
        <w:spacing w:after="0" w:line="18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Basic earnings (loss) per share (“EPS”) is computed using the weighted-average number of common shares outstanding during the period. Diluted EPS is computed using the weighted-average number of common shares outstanding during the period, plus the dilutive effect of outstanding options and other equity awards,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EPS. When net income from continuing operations exists, performance-based units are omitted from the calculation of diluted EPS until it is determined that the performance criteria has been met at the end of the reporting period. For the three and six months ended December 31, 2023, 391,598 and 377,025 of potentially dilutive securities were excluded from the weighted-average shares used to calculate the diluted net loss per common share, respectively, as they would have an anti-dilutive effect. During the three and six months ended December 31, 2024, 470,417 and 398,769 of potentially dilutive securities were excluded from the weighted average shares used to calculate the diluted net loss per common share, respectively, as they would have an anti-dilutive effect.</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loss per common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2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340" w:type="dxa"/>
            <w:vAlign w:val="bottom"/>
          </w:tcPr>
          <w:p>
            <w:pPr>
              <w:spacing w:after="0"/>
              <w:rPr>
                <w:sz w:val="13"/>
                <w:szCs w:val="13"/>
                <w:color w:val="auto"/>
              </w:rPr>
            </w:pPr>
          </w:p>
        </w:tc>
        <w:tc>
          <w:tcPr>
            <w:tcW w:w="2660" w:type="dxa"/>
            <w:vAlign w:val="bottom"/>
            <w:gridSpan w:val="4"/>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Six months ended December 31,</w:t>
            </w:r>
          </w:p>
        </w:tc>
      </w:tr>
      <w:tr>
        <w:trPr>
          <w:trHeight w:val="154"/>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 except share values</w:t>
            </w:r>
          </w:p>
        </w:tc>
        <w:tc>
          <w:tcPr>
            <w:tcW w:w="3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InnovAge Holding Corp.</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(13,751)</w:t>
            </w:r>
          </w:p>
        </w:tc>
      </w:tr>
      <w:tr>
        <w:trPr>
          <w:trHeight w:val="18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(basic)</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135,439,668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135,887,613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135,604,751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135,839,007</w:t>
            </w: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EPS (basic)</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(0.03)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Dilutive shares</w:t>
            </w:r>
          </w:p>
        </w:tc>
        <w:tc>
          <w:tcPr>
            <w:tcW w:w="3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(diluted)</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135,439,668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135,887,613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135,604,751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135,839,007</w:t>
            </w: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EPS (diluted)</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(0.03)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Segment Reporting</w:t>
      </w:r>
    </w:p>
    <w:p>
      <w:pPr>
        <w:spacing w:after="0" w:line="17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Company applies the effective provisions of ASC Topic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three operating segments, two of which are related to the Company’s PACE offering. The PACE-related operating segments are based on two geographic divisions, which are East and West. Due to the similar economic characteristics, nature of services, and customers, we have aggregated our East and West operating segments into one reportable segment for PACE. The Company’s remaining operating segment primarily relates to Senior Housing, which is an immaterial operating segment, and shown below as "Other" along with certain corporate unallocated expenses.</w:t>
      </w:r>
    </w:p>
    <w:p>
      <w:pPr>
        <w:spacing w:after="0" w:line="14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evaluates performance and allocates capital resources to each segment based on an operating model that is designed to maximize the quality of care provided and profitability. The Company does not review assets by segment and therefore assets by segment are not disclosed below. For the periods presented, all of the Company’s long-lived assets were located in the United States and all revenue was earned in the United States.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CODM uses Center-level Contribution Margin as the measure for assessing performance of its operating segments. Center-level Contribution Margin is defined as total segment revenues less external provider costs and cost of care (excluding depreciation and amortization). The Company allocates corporate level expenses to its segments with a majority of the allocation going to the PACE segment.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operating results regularly provided to the CODM by segment for the three months ended December 31, 2024 and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9"/>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60" w:type="dxa"/>
            <w:vAlign w:val="bottom"/>
          </w:tcPr>
          <w:p>
            <w:pPr>
              <w:spacing w:after="0"/>
              <w:rPr>
                <w:sz w:val="13"/>
                <w:szCs w:val="13"/>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PACE</w:t>
            </w: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1"/>
                <w:szCs w:val="11"/>
                <w:b w:val="1"/>
                <w:bCs w:val="1"/>
                <w:color w:val="auto"/>
                <w:w w:val="98"/>
              </w:rPr>
              <w:t>All other</w:t>
            </w:r>
            <w:r>
              <w:rPr>
                <w:rFonts w:ascii="Times New Roman" w:cs="Times New Roman" w:eastAsia="Times New Roman" w:hAnsi="Times New Roman"/>
                <w:sz w:val="14"/>
                <w:szCs w:val="14"/>
                <w:b w:val="1"/>
                <w:bCs w:val="1"/>
                <w:color w:val="auto"/>
                <w:w w:val="98"/>
                <w:vertAlign w:val="superscript"/>
              </w:rPr>
              <w:t>(a)</w:t>
            </w:r>
          </w:p>
        </w:tc>
        <w:tc>
          <w:tcPr>
            <w:tcW w:w="280" w:type="dxa"/>
            <w:vAlign w:val="bottom"/>
          </w:tcPr>
          <w:p>
            <w:pPr>
              <w:spacing w:after="0"/>
              <w:rPr>
                <w:sz w:val="13"/>
                <w:szCs w:val="13"/>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Totals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PACE</w:t>
            </w:r>
          </w:p>
        </w:tc>
        <w:tc>
          <w:tcPr>
            <w:tcW w:w="120" w:type="dxa"/>
            <w:vAlign w:val="bottom"/>
          </w:tcPr>
          <w:p>
            <w:pPr>
              <w:spacing w:after="0"/>
              <w:rPr>
                <w:sz w:val="13"/>
                <w:szCs w:val="13"/>
                <w:color w:val="auto"/>
              </w:rPr>
            </w:pPr>
          </w:p>
        </w:tc>
        <w:tc>
          <w:tcPr>
            <w:tcW w:w="120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1"/>
                <w:szCs w:val="11"/>
                <w:b w:val="1"/>
                <w:bCs w:val="1"/>
                <w:color w:val="auto"/>
                <w:w w:val="98"/>
              </w:rPr>
              <w:t>All other</w:t>
            </w:r>
            <w:r>
              <w:rPr>
                <w:rFonts w:ascii="Times New Roman" w:cs="Times New Roman" w:eastAsia="Times New Roman" w:hAnsi="Times New Roman"/>
                <w:sz w:val="14"/>
                <w:szCs w:val="14"/>
                <w:b w:val="1"/>
                <w:bCs w:val="1"/>
                <w:color w:val="auto"/>
                <w:w w:val="98"/>
                <w:vertAlign w:val="superscript"/>
              </w:rPr>
              <w:t>(a)</w:t>
            </w:r>
          </w:p>
        </w:tc>
        <w:tc>
          <w:tcPr>
            <w:tcW w:w="280" w:type="dxa"/>
            <w:vAlign w:val="bottom"/>
          </w:tcPr>
          <w:p>
            <w:pPr>
              <w:spacing w:after="0"/>
              <w:rPr>
                <w:sz w:val="13"/>
                <w:szCs w:val="13"/>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Totals</w:t>
            </w:r>
          </w:p>
        </w:tc>
      </w:tr>
      <w:tr>
        <w:trPr>
          <w:trHeight w:val="171"/>
        </w:trPr>
        <w:tc>
          <w:tcPr>
            <w:tcW w:w="34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Capitation revenue</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208,674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208,674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188,561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188,561</w:t>
            </w:r>
          </w:p>
        </w:tc>
      </w:tr>
      <w:tr>
        <w:trPr>
          <w:trHeight w:val="180"/>
        </w:trPr>
        <w:tc>
          <w:tcPr>
            <w:tcW w:w="3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service revenue</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7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208,751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208,999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188,898</w:t>
            </w:r>
          </w:p>
        </w:tc>
      </w:tr>
      <w:tr>
        <w:trPr>
          <w:trHeight w:val="180"/>
        </w:trPr>
        <w:tc>
          <w:tcPr>
            <w:tcW w:w="3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External provider costs</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107,873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107,873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100,964</w:t>
            </w:r>
          </w:p>
        </w:tc>
      </w:tr>
      <w:tr>
        <w:trPr>
          <w:trHeight w:val="180"/>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care, excluding depreciation and amortization</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63,916</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64,061</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54,171</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54,321</w:t>
            </w:r>
          </w:p>
        </w:tc>
      </w:tr>
      <w:tr>
        <w:trPr>
          <w:trHeight w:val="171"/>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Center-Level Contribution Margin</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36,962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37,065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33,494</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33,613</w:t>
            </w:r>
          </w:p>
        </w:tc>
      </w:tr>
      <w:tr>
        <w:trPr>
          <w:trHeight w:val="171"/>
        </w:trPr>
        <w:tc>
          <w:tcPr>
            <w:tcW w:w="342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4"/>
                <w:szCs w:val="14"/>
                <w:color w:val="auto"/>
              </w:rPr>
              <w:t>Overhead costs</w:t>
            </w:r>
            <w:r>
              <w:rPr>
                <w:rFonts w:ascii="Times New Roman" w:cs="Times New Roman" w:eastAsia="Times New Roman" w:hAnsi="Times New Roman"/>
                <w:sz w:val="18"/>
                <w:szCs w:val="18"/>
                <w:color w:val="auto"/>
                <w:vertAlign w:val="superscript"/>
              </w:rPr>
              <w:t>(b)</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35,807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31,108</w:t>
            </w:r>
          </w:p>
        </w:tc>
      </w:tr>
      <w:tr>
        <w:trPr>
          <w:trHeight w:val="180"/>
        </w:trPr>
        <w:tc>
          <w:tcPr>
            <w:tcW w:w="3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4,290</w:t>
            </w:r>
          </w:p>
        </w:tc>
      </w:tr>
      <w:tr>
        <w:trPr>
          <w:trHeight w:val="138"/>
        </w:trPr>
        <w:tc>
          <w:tcPr>
            <w:tcW w:w="34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Impairment of right-of-use asset and construction in</w:t>
            </w: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91"/>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progress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 net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r>
      <w:tr>
        <w:trPr>
          <w:trHeight w:val="180"/>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r>
      <w:tr>
        <w:trPr>
          <w:trHeight w:val="180"/>
        </w:trPr>
        <w:tc>
          <w:tcPr>
            <w:tcW w:w="3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Gain (loss) on equity method investment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r>
      <w:tr>
        <w:trPr>
          <w:trHeight w:val="171"/>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(13,457)</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(3,728)</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The following table summarizes the operating results regularly provided to the CODM by reportable segment for the six months ended December 31, 2024 and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b w:val="1"/>
                <w:bCs w:val="1"/>
                <w:color w:val="auto"/>
              </w:rPr>
              <w:t>PACE</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200"/>
              <w:spacing w:after="0" w:line="159" w:lineRule="exact"/>
              <w:rPr>
                <w:sz w:val="20"/>
                <w:szCs w:val="20"/>
                <w:color w:val="auto"/>
              </w:rPr>
            </w:pPr>
            <w:r>
              <w:rPr>
                <w:rFonts w:ascii="Times New Roman" w:cs="Times New Roman" w:eastAsia="Times New Roman" w:hAnsi="Times New Roman"/>
                <w:sz w:val="11"/>
                <w:szCs w:val="11"/>
                <w:b w:val="1"/>
                <w:bCs w:val="1"/>
                <w:color w:val="auto"/>
                <w:w w:val="98"/>
              </w:rPr>
              <w:t>All other</w:t>
            </w:r>
            <w:r>
              <w:rPr>
                <w:rFonts w:ascii="Times New Roman" w:cs="Times New Roman" w:eastAsia="Times New Roman" w:hAnsi="Times New Roman"/>
                <w:sz w:val="14"/>
                <w:szCs w:val="14"/>
                <w:b w:val="1"/>
                <w:bCs w:val="1"/>
                <w:color w:val="auto"/>
                <w:w w:val="98"/>
                <w:vertAlign w:val="superscript"/>
              </w:rPr>
              <w:t>(a)</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Totals</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b w:val="1"/>
                <w:bCs w:val="1"/>
                <w:color w:val="auto"/>
              </w:rPr>
              <w:t>PACE</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200"/>
              <w:spacing w:after="0" w:line="159" w:lineRule="exact"/>
              <w:rPr>
                <w:sz w:val="20"/>
                <w:szCs w:val="20"/>
                <w:color w:val="auto"/>
              </w:rPr>
            </w:pPr>
            <w:r>
              <w:rPr>
                <w:rFonts w:ascii="Times New Roman" w:cs="Times New Roman" w:eastAsia="Times New Roman" w:hAnsi="Times New Roman"/>
                <w:sz w:val="11"/>
                <w:szCs w:val="11"/>
                <w:b w:val="1"/>
                <w:bCs w:val="1"/>
                <w:color w:val="auto"/>
                <w:w w:val="98"/>
              </w:rPr>
              <w:t>All other</w:t>
            </w:r>
            <w:r>
              <w:rPr>
                <w:rFonts w:ascii="Times New Roman" w:cs="Times New Roman" w:eastAsia="Times New Roman" w:hAnsi="Times New Roman"/>
                <w:sz w:val="14"/>
                <w:szCs w:val="14"/>
                <w:b w:val="1"/>
                <w:bCs w:val="1"/>
                <w:color w:val="auto"/>
                <w:w w:val="98"/>
                <w:vertAlign w:val="superscript"/>
              </w:rPr>
              <w:t>(a)</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1"/>
                <w:szCs w:val="11"/>
                <w:b w:val="1"/>
                <w:bCs w:val="1"/>
                <w:color w:val="auto"/>
              </w:rPr>
              <w:t>Totals</w:t>
            </w:r>
          </w:p>
        </w:tc>
      </w:tr>
      <w:tr>
        <w:trPr>
          <w:trHeight w:val="171"/>
        </w:trPr>
        <w:tc>
          <w:tcPr>
            <w:tcW w:w="3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Capitation revenue</w:t>
            </w: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413,474</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413,474</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370,734</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370,734</w:t>
            </w:r>
          </w:p>
        </w:tc>
      </w:tr>
      <w:tr>
        <w:trPr>
          <w:trHeight w:val="180"/>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service revenue</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r>
      <w:tr>
        <w:trPr>
          <w:trHeight w:val="171"/>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413,648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414,141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370,887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371,382</w:t>
            </w:r>
          </w:p>
        </w:tc>
      </w:tr>
      <w:tr>
        <w:trPr>
          <w:trHeight w:val="180"/>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External provider costs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215,087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200,322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200,322</w:t>
            </w:r>
          </w:p>
        </w:tc>
      </w:tr>
      <w:tr>
        <w:trPr>
          <w:trHeight w:val="180"/>
        </w:trPr>
        <w:tc>
          <w:tcPr>
            <w:tcW w:w="3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Cost of care, excluding depreciation and amortization</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127,150</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127,447</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109,267</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109,570</w:t>
            </w:r>
          </w:p>
        </w:tc>
      </w:tr>
      <w:tr>
        <w:trPr>
          <w:trHeight w:val="17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Center-Level Contribution Margin</w:t>
            </w: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71,411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71,607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61,298</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61,490</w:t>
            </w:r>
          </w:p>
        </w:tc>
      </w:tr>
      <w:tr>
        <w:trPr>
          <w:trHeight w:val="171"/>
        </w:trPr>
        <w:tc>
          <w:tcPr>
            <w:tcW w:w="3420" w:type="dxa"/>
            <w:vAlign w:val="bottom"/>
          </w:tcPr>
          <w:p>
            <w:pPr>
              <w:ind w:left="100"/>
              <w:spacing w:after="0" w:line="171" w:lineRule="exact"/>
              <w:rPr>
                <w:sz w:val="20"/>
                <w:szCs w:val="20"/>
                <w:color w:val="auto"/>
              </w:rPr>
            </w:pPr>
            <w:r>
              <w:rPr>
                <w:rFonts w:ascii="Times New Roman" w:cs="Times New Roman" w:eastAsia="Times New Roman" w:hAnsi="Times New Roman"/>
                <w:sz w:val="14"/>
                <w:szCs w:val="14"/>
                <w:color w:val="auto"/>
              </w:rPr>
              <w:t>Overhead costs</w:t>
            </w:r>
            <w:r>
              <w:rPr>
                <w:rFonts w:ascii="Times New Roman" w:cs="Times New Roman" w:eastAsia="Times New Roman" w:hAnsi="Times New Roman"/>
                <w:sz w:val="18"/>
                <w:szCs w:val="18"/>
                <w:color w:val="auto"/>
                <w:vertAlign w:val="superscript"/>
              </w:rPr>
              <w:t>(b)</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69,834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65,434</w:t>
            </w:r>
          </w:p>
        </w:tc>
      </w:tr>
      <w:tr>
        <w:trPr>
          <w:trHeight w:val="180"/>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8,559</w:t>
            </w:r>
          </w:p>
        </w:tc>
      </w:tr>
      <w:tr>
        <w:trPr>
          <w:trHeight w:val="138"/>
        </w:trPr>
        <w:tc>
          <w:tcPr>
            <w:tcW w:w="342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Impairment of right-of-use asset and construction in</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91"/>
        </w:trPr>
        <w:tc>
          <w:tcPr>
            <w:tcW w:w="3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progress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 net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w:t>
            </w:r>
          </w:p>
        </w:tc>
      </w:tr>
      <w:tr>
        <w:trPr>
          <w:trHeight w:val="180"/>
        </w:trPr>
        <w:tc>
          <w:tcPr>
            <w:tcW w:w="3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r>
      <w:tr>
        <w:trPr>
          <w:trHeight w:val="180"/>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(loss) on equity method investment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w:t>
            </w:r>
          </w:p>
        </w:tc>
      </w:tr>
      <w:tr>
        <w:trPr>
          <w:trHeight w:val="171"/>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(18,641)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(18,764)</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(14,464)</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23" w:lineRule="exact"/>
        <w:rPr>
          <w:sz w:val="20"/>
          <w:szCs w:val="20"/>
          <w:color w:val="auto"/>
        </w:rPr>
      </w:pPr>
    </w:p>
    <w:p>
      <w:pPr>
        <w:ind w:left="520" w:hanging="515"/>
        <w:spacing w:after="0" w:line="247" w:lineRule="auto"/>
        <w:tabs>
          <w:tab w:leader="none" w:pos="513"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Center-level Contribution Margin from a segment below the quantitative thresholds is attributable to the Senior Housing operating segment of the Company. This segment has never met any of the quantitative thresholds for determining reportable segments.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520" w:hanging="515"/>
        <w:spacing w:after="0"/>
        <w:tabs>
          <w:tab w:leader="none" w:pos="5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Overhead consists of the Sales and marketing and Corporate, general and administrative financial statement line items.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Related Party Transactions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Pursuant to the PWD Amended and Restated Agreement of Limited Partnership, CCH helped fund operating deficits and shortfalls of PWD in the form of a loan (the “PWD Loan”). The PWD Loan did not accrue interest. Additionally, CCH was paid an administration fee of less than $0.1 million per year. On March 13, 2024, PWD entered into a Purchase and Sale Agreement for the sale of all of PWD's property, including the Senior Housing unit.</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May 2, 2024, PWD closed on the sale of its Senior Housing property for $9.5 million. Upon completion of the sale, PWD ceased providing senior housing services and was dissolved. Following the dissolution, the remaining proceeds from the sale were distributed in accordance with the partnership agreement and as otherwise agreed by the partners. The Company received net proceeds of $4.8 million in connection with the dissolution.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Share Repurchase Program</w:t>
      </w:r>
    </w:p>
    <w:p>
      <w:pPr>
        <w:spacing w:after="0" w:line="202"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On June 10, 2024, the Board announced the authorization of a share repurchase program of up to $5.0 million of the Company's common stock. On September 26, 2024, the Board announced the authorization of an additional $2.5 million shares of the Company's common stock. During the three months ended December 31, 2024, the Company repurchased 199,923 shares of its common stock for approximately $1.1 million, all of which were placed in Treasury. During the six months ended December 31, 2024, the Company repurchased 1,001,210 shares of its common stock for approximately $5.9 million, all of which were placed in Treasury.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Subsequent Events</w:t>
      </w:r>
    </w:p>
    <w:p>
      <w:pPr>
        <w:spacing w:after="0" w:line="191"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 xml:space="preserve">On January 2, 2025, the Company completed the acquisition of certain pharmacy assets from Tabula Rasa HealthCare Group, Inc. ("TRHC"), a leading pharmacy care management company, for a total purchase price of $4.8 million. The acquisition was accounted for under the acquisition method in accordance with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Accordingly, the purchase price will be allocated to the identifiable assets acquired and liabilities assumed based on their estimated fair values as of the acquisition date. The Company is in the process of preparing the preliminary allocation of the purchase price. TRHC will provide management services to the pharmacy business pursuant to a Management Services Agreement with an initial term of five years.</w:t>
      </w:r>
    </w:p>
    <w:p>
      <w:pPr>
        <w:spacing w:after="0" w:line="162"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Company has evaluated subsequent events through February 4, 2025, the date on which the condensed consolidated financial statements were issued and noted there were none except for the matter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79"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condensed consolidated financial statements and the related notes included elsewhere in this Quarterly Report on Form 10-Q. The discussion contains forward-looking statements that are based on the beliefs of management, as well as assumptions made by, and information currently available to our management. Readers are cautioned not to place undue reliance on any forward-looking statements, as forward-looking statements are not guarantees of future performance and the Company’s actual results may differ significantly due to numerous known and unknown risks and uncertainties, including those discussed below and in the section entitled “Cautionary Note on Forward-Looking Statements.” Those known risks and uncertainties include, but are not limited to, the risk factors identified in the section titled “Risk Factors” in our Annual Report on Form 10-K for the fiscal year ended June 30, 2024 (“2024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InnovAge Holding Corp. (“InnovAge”) became a public company in March 2021. As of December 31, 2024, the Company served approximately 7,480 PACE participants, and operated 20 PACE centers across California, Colorado, Florida, New Mexico, Pennsylvania, and Virginia.</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Trends and Uncertainties Affecting the Company</w:t>
      </w:r>
    </w:p>
    <w:p>
      <w:pPr>
        <w:spacing w:after="0" w:line="17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Increased cost of care. </w:t>
      </w:r>
      <w:r>
        <w:rPr>
          <w:rFonts w:ascii="Times New Roman" w:cs="Times New Roman" w:eastAsia="Times New Roman" w:hAnsi="Times New Roman"/>
          <w:sz w:val="14"/>
          <w:szCs w:val="14"/>
          <w:color w:val="auto"/>
        </w:rPr>
        <w:t>In the second quarter of fiscal year 2025, operating expenses increased $30.9 million, or 16.2%, compared to the second quarter of fiscal year 2024 due to census growth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increased cost of care per participant primarily as a result of increased salaries, wages and benefits associated with increased headcount and higher wage rates. Additionally, total external provider costs increased in the six month period ended December 31, 2024 compared to 2023 due to census growth partially offset by a reduction in cost per participant as a result of efforts to mitigate the effects of rising costs. In fiscal year 2024 and through the first two quarters of fiscal year 2025, we continued to strengthen our payer capabilities and reduced external provider costs per participant, which we believe to be a result of our maturing clinical value initiatives, which we began implementing in fiscal year 2023, and our operational value initiatives, which we began implementing in fiscal year 2024. While we expect to continue to experience elevated operating expenses through fiscal year 2025 for the reasons stated above, we also expect that our clinical value initiatives and operational value initiatives will help offset increasing cost of care.</w:t>
      </w:r>
    </w:p>
    <w:p>
      <w:pPr>
        <w:spacing w:after="0" w:line="14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Census and capitation revenue. </w:t>
      </w:r>
      <w:r>
        <w:rPr>
          <w:rFonts w:ascii="Times New Roman" w:cs="Times New Roman" w:eastAsia="Times New Roman" w:hAnsi="Times New Roman"/>
          <w:sz w:val="14"/>
          <w:szCs w:val="14"/>
          <w:color w:val="auto"/>
        </w:rPr>
        <w:t>We experienced, and continue to experience, delays and increased gaps in eligibility both for new enrollments and Medicaid redetermination applications during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fiscal years 2024 and 2025 as a result of processing delays and other enrollment and redetermination procedures that vary by State and county. Specifically, in the State of California, processing delays have resulted in our inability to collect a portion of accounts receivables from the State leading to higher allowances against accounts receivable and corresponding write-offs. We are working to increase the proportion of new enrollments submitted prior to the first enrollment deadline each month to minimize enrollment efforts required by the State. We expect to continue mitigating measures during the remainder of fiscal year 2025, which include utilizing State approved third-party eligibility partners to expedite applications and escalating delayed cases to State administrators. During fiscal year 2024 and the first two quarters of fiscal year 2025, these delays and eligibility gaps have not had a material effect on the Company's financial statements or operations. We will continue to assess the situation as it evolves.</w:t>
      </w:r>
    </w:p>
    <w:p>
      <w:pPr>
        <w:spacing w:after="0" w:line="142"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Labor market</w:t>
      </w:r>
      <w:r>
        <w:rPr>
          <w:rFonts w:ascii="Times New Roman" w:cs="Times New Roman" w:eastAsia="Times New Roman" w:hAnsi="Times New Roman"/>
          <w:sz w:val="14"/>
          <w:szCs w:val="14"/>
          <w:color w:val="auto"/>
        </w:rPr>
        <w:t>. The healthcare sector continues to experience a complex set of challenges in hiring additional professionals. Specifically, the demand for healthcare services has been steadily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increasing due to an aging population and a greater focus on health and wellness in society. In addition, there are systemic challenges related to workforce training and the pipeline of qualified professionals, which have not kept pace with this growing demand. Wage pressure in the healthcare industry is a significant concern. Wage pressure arises when there is a high demand for healthcare services but a limited supply of qualified professionals, leading to increased competition for workers and upward pressure on wages. The rapidly aging population has increased the demand for healthcare services, especially for geriatrics. Simultaneously, many experienced healthcare workers are reaching retirement age, reducing the workforce supply.</w:t>
      </w:r>
    </w:p>
    <w:p>
      <w:pPr>
        <w:spacing w:after="0" w:line="14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addition, an aging population combined with a shortage of clinicians, creates pressures and increased demand on the limited number of residential facilities. There is uncertainty regarding the access of our participants to residential facilities.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high demand for such facilities may lead such facilities prioritizing patients who are private payors to avoid the frequently changing Medicare and Medicaid program reimbursement rates and rules, annual caps and regulatory requirements.</w:t>
      </w:r>
    </w:p>
    <w:p>
      <w:pPr>
        <w:spacing w:after="0" w:line="12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Additionally, as a result of the adoption of California Senate Bill No. 525 ("SB 525"), which raises minimum wage for many California healthcare workers and will impact many of our contractors and other third-party providers, combined with other macroeconomic factors, our California centers have received provider requests to increase rates to cover their increased labor costs. As a result of competition generated by SB 525 and other California market conditions, we have received rate increases from third party vendors, including home health and care partner services, increasing our cost of care in California. We also increased our wages for impacted healthcare workers and other comparable market positions in the California market. These increases did not have a material impact on our cost of care or labor costs, financial statements or operations for fiscal year 2024 or the three and six months ended December 31, 2024. We will continue to evaluate the impact of this and other similar future legislation on our business. For additional information on the various risks posed by macroeconomic events, regulation, and employee matters, please see the section entitled “Risk Factors” included in Part I, Item 1A of our 2024 10-K.</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Key Factors Affecting Our Performance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historical financial performance has been, and we expect our financial performance in the future to be, driven by the following factors:</w:t>
      </w:r>
    </w:p>
    <w:p>
      <w:pPr>
        <w:spacing w:after="0" w:line="177" w:lineRule="exact"/>
        <w:rPr>
          <w:sz w:val="20"/>
          <w:szCs w:val="20"/>
          <w:color w:val="auto"/>
        </w:rPr>
      </w:pPr>
    </w:p>
    <w:p>
      <w:pPr>
        <w:jc w:val="both"/>
        <w:ind w:left="760" w:hanging="246"/>
        <w:spacing w:after="0" w:line="257"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Our participants. </w:t>
      </w:r>
      <w:r>
        <w:rPr>
          <w:rFonts w:ascii="Times New Roman" w:cs="Times New Roman" w:eastAsia="Times New Roman" w:hAnsi="Times New Roman"/>
          <w:sz w:val="14"/>
          <w:szCs w:val="14"/>
          <w:color w:val="auto"/>
        </w:rPr>
        <w:t>We focus on providing all-inclusive care to frail, high-cost, dual-eligible seniors. We directly contract with government payors, such as Medicare and Medicaid,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believe we manage a higher acuity population, with an average risk adjustment factor (“RAF”) score of 2.45 based on InnovAge data as of December 31, 2024; and (ii) we have Medicaid spend in addition to Medicare. Our participants are managed on a capitated, or at-risk basis, where InnovAge is financially responsible for all participant medical costs. Our comprehensive care model and globally capitated payments are designed to cover participants from enrollment until the end of life, including coverage for participants requiring hospice and palliative care. For dual-eligible participants, we receive per member, per month (“PMPM”) payments directly from Medicare and Medicaid, which provides recurring revenue streams and significant visibility into our revenue. The Medicare portion of our capitated payment is risk-based on the underlying medical conditions and frailty of each participant. We continue to strengthen our expanding payer capabilities so that our revenue more accurately reflects the acuity of the populations we serve.</w:t>
      </w:r>
    </w:p>
    <w:p>
      <w:pPr>
        <w:spacing w:after="0" w:line="143" w:lineRule="exact"/>
        <w:rPr>
          <w:rFonts w:ascii="Times New Roman" w:cs="Times New Roman" w:eastAsia="Times New Roman" w:hAnsi="Times New Roman"/>
          <w:sz w:val="14"/>
          <w:szCs w:val="14"/>
          <w:color w:val="auto"/>
        </w:rPr>
      </w:pPr>
    </w:p>
    <w:p>
      <w:pPr>
        <w:jc w:val="both"/>
        <w:ind w:left="760" w:hanging="246"/>
        <w:spacing w:after="0" w:line="271"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Our ability to grow enrollment and capacity within existing centers. </w:t>
      </w:r>
      <w:r>
        <w:rPr>
          <w:rFonts w:ascii="Times New Roman" w:cs="Times New Roman" w:eastAsia="Times New Roman" w:hAnsi="Times New Roman"/>
          <w:sz w:val="14"/>
          <w:szCs w:val="14"/>
          <w:color w:val="auto"/>
        </w:rPr>
        <w:t>We believe all seniors should have access to the type of all-inclusive care offered by the PACE model. Several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factors can affect our ability to grow enrollment and capacity within existing centers, including sanctions issued by regulators or suspensions of State attestations required to open new de novo centers.</w:t>
      </w:r>
    </w:p>
    <w:p>
      <w:pPr>
        <w:spacing w:after="0" w:line="133" w:lineRule="exact"/>
        <w:rPr>
          <w:rFonts w:ascii="Times New Roman" w:cs="Times New Roman" w:eastAsia="Times New Roman" w:hAnsi="Times New Roman"/>
          <w:sz w:val="14"/>
          <w:szCs w:val="14"/>
          <w:color w:val="auto"/>
        </w:rPr>
      </w:pPr>
    </w:p>
    <w:p>
      <w:pPr>
        <w:jc w:val="both"/>
        <w:ind w:left="760" w:hanging="246"/>
        <w:spacing w:after="0" w:line="271"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Our ability to maintain high participant satisfaction and retention. </w:t>
      </w:r>
      <w:r>
        <w:rPr>
          <w:rFonts w:ascii="Times New Roman" w:cs="Times New Roman" w:eastAsia="Times New Roman" w:hAnsi="Times New Roman"/>
          <w:sz w:val="14"/>
          <w:szCs w:val="14"/>
          <w:color w:val="auto"/>
        </w:rPr>
        <w:t>Our comprehensive individualized care model and frequency of interaction with participants generates high levels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participant satisfaction. Our average participant tenure was 3.1 years as of December 31, 2024, measured as tenure from enrollment to disenrollment, among our centers that have been operated by us for at least five years. Furthermore, we experience low levels of voluntary disenrollment, averaging 6.9% annually over the last three fiscal years.</w:t>
      </w:r>
    </w:p>
    <w:p>
      <w:pPr>
        <w:spacing w:after="0" w:line="133" w:lineRule="exact"/>
        <w:rPr>
          <w:rFonts w:ascii="Times New Roman" w:cs="Times New Roman" w:eastAsia="Times New Roman" w:hAnsi="Times New Roman"/>
          <w:sz w:val="14"/>
          <w:szCs w:val="14"/>
          <w:color w:val="auto"/>
        </w:rPr>
      </w:pPr>
    </w:p>
    <w:p>
      <w:pPr>
        <w:jc w:val="both"/>
        <w:ind w:left="760" w:hanging="246"/>
        <w:spacing w:after="0" w:line="265"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Effectively managing the cost of care for our participants</w:t>
      </w:r>
      <w:r>
        <w:rPr>
          <w:rFonts w:ascii="Times New Roman" w:cs="Times New Roman" w:eastAsia="Times New Roman" w:hAnsi="Times New Roman"/>
          <w:sz w:val="14"/>
          <w:szCs w:val="14"/>
          <w:color w:val="auto"/>
        </w:rPr>
        <w:t>. We receive capitated payments to manage the totality of a participant’s medical care across all settings. The risk pool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population is highly acute. Together with the factors disclosed above (increased salaries, wages and benefits,annual increases in assisted living and nursing facility unit cost and general medical inflation) our external provider costs and cost of care, excluding depreciation and amortization, represented approximately 83% of our revenue in the six months ended December 31, 2024.</w:t>
      </w:r>
    </w:p>
    <w:p>
      <w:pPr>
        <w:spacing w:after="0" w:line="137" w:lineRule="exact"/>
        <w:rPr>
          <w:rFonts w:ascii="Times New Roman" w:cs="Times New Roman" w:eastAsia="Times New Roman" w:hAnsi="Times New Roman"/>
          <w:sz w:val="14"/>
          <w:szCs w:val="14"/>
          <w:color w:val="auto"/>
        </w:rPr>
      </w:pPr>
    </w:p>
    <w:p>
      <w:pPr>
        <w:ind w:left="760" w:hanging="246"/>
        <w:spacing w:after="0" w:line="290" w:lineRule="auto"/>
        <w:tabs>
          <w:tab w:leader="none" w:pos="7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Center-level Contribution Margin</w:t>
      </w:r>
      <w:r>
        <w:rPr>
          <w:rFonts w:ascii="Times New Roman" w:cs="Times New Roman" w:eastAsia="Times New Roman" w:hAnsi="Times New Roman"/>
          <w:sz w:val="14"/>
          <w:szCs w:val="14"/>
          <w:color w:val="auto"/>
        </w:rPr>
        <w:t>. The Company's management uses Center-level Contribution Margin as the measure for assessing performance of its operating segments. As we serve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more participants in existing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centers, we expect to leverage our fixed cost base at those centers and increase the value of a center to our business increases over time.</w:t>
      </w:r>
    </w:p>
    <w:p>
      <w:pPr>
        <w:spacing w:after="0" w:line="177" w:lineRule="exact"/>
        <w:rPr>
          <w:sz w:val="20"/>
          <w:szCs w:val="20"/>
          <w:color w:val="auto"/>
        </w:rPr>
      </w:pPr>
    </w:p>
    <w:p>
      <w:pPr>
        <w:jc w:val="both"/>
        <w:ind w:left="760" w:hanging="246"/>
        <w:spacing w:after="0" w:line="259"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Our ability to expand via de novo centers within existing and new markets. </w:t>
      </w:r>
      <w:r>
        <w:rPr>
          <w:rFonts w:ascii="Times New Roman" w:cs="Times New Roman" w:eastAsia="Times New Roman" w:hAnsi="Times New Roman"/>
          <w:sz w:val="14"/>
          <w:szCs w:val="14"/>
          <w:color w:val="auto"/>
        </w:rPr>
        <w:t>Several factors can affect our ability to open de novo centers, including sanctions issued by regulators, legal,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community or other obstacles in the construction of such centers, and our ability to hire and train enough workers to ramp up these centers to maturity. In response to an audit to our Sacramento center and a medical review of our San Bernardino center, which have been previously disclosed, the California Department of Health Care Services (“DHCS") notified us that it was suspending its attestations in support of the planned de novo center in Downey and the recently acquired planned de novo center in Bakersfield. CMS has closed its process and DHCS's process is ongoing. While the planned California de novo centers are precluded from opening at this time, DHCS notified us that it would consider restoring the State Attestations upon our successful remediation of the deficiencies raised in our Sacramento center and its completion of the medical review (and any potential resultant remediation that may be required) in our San Bernardino center.</w:t>
      </w:r>
    </w:p>
    <w:p>
      <w:pPr>
        <w:spacing w:after="0" w:line="141" w:lineRule="exact"/>
        <w:rPr>
          <w:rFonts w:ascii="Times New Roman" w:cs="Times New Roman" w:eastAsia="Times New Roman" w:hAnsi="Times New Roman"/>
          <w:sz w:val="14"/>
          <w:szCs w:val="14"/>
          <w:color w:val="auto"/>
        </w:rPr>
      </w:pPr>
    </w:p>
    <w:p>
      <w:pPr>
        <w:jc w:val="both"/>
        <w:ind w:left="760" w:hanging="246"/>
        <w:spacing w:after="0" w:line="258"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Execute tuck-in acquisitions and partnerships. </w:t>
      </w:r>
      <w:r>
        <w:rPr>
          <w:rFonts w:ascii="Times New Roman" w:cs="Times New Roman" w:eastAsia="Times New Roman" w:hAnsi="Times New Roman"/>
          <w:sz w:val="14"/>
          <w:szCs w:val="14"/>
          <w:color w:val="auto"/>
        </w:rPr>
        <w:t>Since fiscal year 2019, we have acquired and integrated four PACE organizations for a total of eight operational centers (excluding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PACE center in Bakersfield, California, which is not yet operational). These acquisitions represent expansion of our InnovAge Platform into one new state and five new markets. By bringing acquired organizations under the InnovAge Platform, we hope to further realize revenue growth and improve operational efficiency and care delivery post-integration. We also have pursued and intend to continue pursuing additional relationships with key stakeholders, existing organizations and other care providers in order to form partnerships in target geography, such as the joint venture we entered into at our Orlando PACE center with Orlando Health during the fourth quarter of fiscal year 2024. On January 2, 2025, with the goal of supporting our growth and improving pharmacy cost-management, we completed the acquisition of certain pharmacy assets from Tabula Rasa HealthCare Group, Inc. (“TRHC”), a leading pharmacy care management company, for a total purchase price of $4.8 million. TRHC will provide management services to the pharmacy business pursuant to a Management Services Agreement with an initial term of five years.</w:t>
      </w:r>
    </w:p>
    <w:p>
      <w:pPr>
        <w:spacing w:after="0" w:line="14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Our ability to maintain high quality of regulatory compliance</w:t>
      </w:r>
      <w:r>
        <w:rPr>
          <w:rFonts w:ascii="Times New Roman" w:cs="Times New Roman" w:eastAsia="Times New Roman" w:hAnsi="Times New Roman"/>
          <w:sz w:val="14"/>
          <w:szCs w:val="14"/>
          <w:color w:val="auto"/>
        </w:rPr>
        <w:t>. The Company's priority is to continue to maintain high quality of regulatory compliance in all its centers.</w:t>
      </w:r>
    </w:p>
    <w:p>
      <w:pPr>
        <w:spacing w:after="0" w:line="178" w:lineRule="exact"/>
        <w:rPr>
          <w:rFonts w:ascii="Times New Roman" w:cs="Times New Roman" w:eastAsia="Times New Roman" w:hAnsi="Times New Roman"/>
          <w:sz w:val="14"/>
          <w:szCs w:val="14"/>
          <w:color w:val="auto"/>
        </w:rPr>
      </w:pPr>
    </w:p>
    <w:p>
      <w:pPr>
        <w:jc w:val="both"/>
        <w:ind w:left="760" w:hanging="246"/>
        <w:spacing w:after="0" w:line="271" w:lineRule="auto"/>
        <w:tabs>
          <w:tab w:leader="none" w:pos="756"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Contracting with government payors</w:t>
      </w:r>
      <w:r>
        <w:rPr>
          <w:rFonts w:ascii="Times New Roman" w:cs="Times New Roman" w:eastAsia="Times New Roman" w:hAnsi="Times New Roman"/>
          <w:sz w:val="14"/>
          <w:szCs w:val="14"/>
          <w:color w:val="auto"/>
        </w:rPr>
        <w:t>. Our economic model relies on our capitated arrangements with government payors, namely Medicare and Medicaid. We view the government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only as a payor but also as a key partner in our efforts to expand into new geographies and access more participants in our existing markets. Maintaining, supporting and growing these relationships in existing markets as well as new geographies, is critical to our long-term success.</w:t>
      </w:r>
    </w:p>
    <w:p>
      <w:pPr>
        <w:spacing w:after="0" w:line="133" w:lineRule="exact"/>
        <w:rPr>
          <w:rFonts w:ascii="Times New Roman" w:cs="Times New Roman" w:eastAsia="Times New Roman" w:hAnsi="Times New Roman"/>
          <w:sz w:val="14"/>
          <w:szCs w:val="14"/>
          <w:i w:val="1"/>
          <w:iCs w:val="1"/>
          <w:color w:val="auto"/>
        </w:rPr>
      </w:pPr>
    </w:p>
    <w:p>
      <w:pPr>
        <w:jc w:val="both"/>
        <w:ind w:left="760" w:hanging="246"/>
        <w:spacing w:after="0" w:line="262"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Investing to support growth</w:t>
      </w:r>
      <w:r>
        <w:rPr>
          <w:rFonts w:ascii="Times New Roman" w:cs="Times New Roman" w:eastAsia="Times New Roman" w:hAnsi="Times New Roman"/>
          <w:sz w:val="14"/>
          <w:szCs w:val="14"/>
          <w:color w:val="auto"/>
        </w:rPr>
        <w:t>. We intend to continue investing in our centers, value-based care model, and sales and marketing organization to support long-term growth. We expect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expenses to increase in absolute dollars for the foreseeable future to support our growth due, partially, to additional costs we incur in connection with our audits to our centers, remediation plans and current and potential legal and regulatory proceedings. We plan to invest in future growth judiciously and maintain focus on managing our results of operations. We are investing to increase our sophistication as a payor to drive clinical value, improve outcomes, and manage cost trends. Accordingly, in the short term, we expect the activities noted above to increase our expenses as a percentage of revenue, but in the longer term, we anticipate that these investments will positively impact our business and results of operations.</w:t>
      </w:r>
    </w:p>
    <w:p>
      <w:pPr>
        <w:spacing w:after="0" w:line="139" w:lineRule="exact"/>
        <w:rPr>
          <w:rFonts w:ascii="Times New Roman" w:cs="Times New Roman" w:eastAsia="Times New Roman" w:hAnsi="Times New Roman"/>
          <w:sz w:val="14"/>
          <w:szCs w:val="14"/>
          <w:color w:val="auto"/>
        </w:rPr>
      </w:pPr>
    </w:p>
    <w:p>
      <w:pPr>
        <w:jc w:val="both"/>
        <w:ind w:left="760" w:hanging="246"/>
        <w:spacing w:after="0" w:line="260"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Seasonality of our business</w:t>
      </w:r>
      <w:r>
        <w:rPr>
          <w:rFonts w:ascii="Times New Roman" w:cs="Times New Roman" w:eastAsia="Times New Roman" w:hAnsi="Times New Roman"/>
          <w:sz w:val="14"/>
          <w:szCs w:val="14"/>
          <w:color w:val="auto"/>
        </w:rPr>
        <w:t>. Our operational and financial results, including medical costs and per-participant revenue true-ups, will experience some variability depending upon the time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year in which they are measured. Medical costs vary most significantly as a result of (i) the weather, with certain illnesses, such as the influenza and COVID-19 viruses,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from CMS, which is based on CMS’s determination of a participant’s RAF score as measured twice per year and is based on the evolving acuity of a participant. Where there is a difference between our estimate and the final determination from CMS, we may record either an increase or decrease in true-up revenue. Historically, these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760"/>
        <w:spacing w:after="0" w:line="270" w:lineRule="auto"/>
        <w:rPr>
          <w:sz w:val="20"/>
          <w:szCs w:val="20"/>
          <w:color w:val="auto"/>
        </w:rPr>
      </w:pPr>
      <w:r>
        <w:rPr>
          <w:rFonts w:ascii="Times New Roman" w:cs="Times New Roman" w:eastAsia="Times New Roman" w:hAnsi="Times New Roman"/>
          <w:sz w:val="14"/>
          <w:szCs w:val="14"/>
          <w:color w:val="auto"/>
        </w:rPr>
        <w:t>true-up payments typically occur between May and August, but the timing of these payments is determined by CMS, and we have neither visibility into nor control over the timing of such payments. The variability of participant enrollments during the open enrollment period has also been impacted by additional offerings by MA and other competitors. We believe that, as a result of these additional offerings, we experienced higher than expected disenrollments during the third quarter of fiscal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7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Capitation Revenue</w:t>
      </w:r>
      <w:r>
        <w:rPr>
          <w:rFonts w:ascii="Times New Roman" w:cs="Times New Roman" w:eastAsia="Times New Roman" w:hAnsi="Times New Roman"/>
          <w:sz w:val="14"/>
          <w:szCs w:val="14"/>
          <w:color w:val="auto"/>
        </w:rPr>
        <w:t>. In order to provide comprehensive services to manage the totality of a participant’s medical care across all settings, we receive fixed or capitated fees per participant that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paid monthly by Medicare, Medicaid, Veterans Affairs (“VA”) and private pay sources.</w:t>
      </w:r>
    </w:p>
    <w:p>
      <w:pPr>
        <w:spacing w:after="0" w:line="12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Medicaid and Medicare capitation revenues are based on PMPM capitation rates under the PACE program. The PACE state contracts between us and the respective state Medicaid administering agency are renewed annually each June 30 in all states other than California and Pennsylvania, which contract on a calendar-year basis. We are currently operating in good standing under each of our PACE state contracts. For a discussion of our revenue recognition policies, please see </w:t>
      </w:r>
      <w:r>
        <w:rPr>
          <w:rFonts w:ascii="Times New Roman" w:cs="Times New Roman" w:eastAsia="Times New Roman" w:hAnsi="Times New Roman"/>
          <w:sz w:val="14"/>
          <w:szCs w:val="14"/>
          <w:i w:val="1"/>
          <w:iCs w:val="1"/>
          <w:color w:val="auto"/>
        </w:rPr>
        <w:t>Critical Accounting Estimates</w:t>
      </w:r>
      <w:r>
        <w:rPr>
          <w:rFonts w:ascii="Times New Roman" w:cs="Times New Roman" w:eastAsia="Times New Roman" w:hAnsi="Times New Roman"/>
          <w:sz w:val="14"/>
          <w:szCs w:val="14"/>
          <w:color w:val="auto"/>
        </w:rPr>
        <w:t xml:space="preserve"> below and Note 2 “Summary of Significant Accounting Policies” to our consolidated financial statements included in our 2024 10-K.</w:t>
      </w:r>
    </w:p>
    <w:p>
      <w:pPr>
        <w:spacing w:after="0" w:line="138"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Service Revenue. </w:t>
      </w:r>
      <w:r>
        <w:rPr>
          <w:rFonts w:ascii="Times New Roman" w:cs="Times New Roman" w:eastAsia="Times New Roman" w:hAnsi="Times New Roman"/>
          <w:sz w:val="14"/>
          <w:szCs w:val="14"/>
          <w:color w:val="auto"/>
        </w:rPr>
        <w:t>Other service revenue primarily consists of revenues derived from state food grants and rent revenues. For a discussion of our revenue recognition policies, please see</w:t>
      </w:r>
      <w:r>
        <w:rPr>
          <w:rFonts w:ascii="Times New Roman" w:cs="Times New Roman" w:eastAsia="Times New Roman" w:hAnsi="Times New Roman"/>
          <w:sz w:val="14"/>
          <w:szCs w:val="14"/>
          <w:i w:val="1"/>
          <w:iCs w:val="1"/>
          <w:color w:val="auto"/>
        </w:rPr>
        <w:t xml:space="preserve"> Critical Accounting Estimates </w:t>
      </w:r>
      <w:r>
        <w:rPr>
          <w:rFonts w:ascii="Times New Roman" w:cs="Times New Roman" w:eastAsia="Times New Roman" w:hAnsi="Times New Roman"/>
          <w:sz w:val="14"/>
          <w:szCs w:val="14"/>
          <w:color w:val="auto"/>
        </w:rPr>
        <w:t>below and Note 2, “Summary of Significant Accounting Policies” to our consolidated financial statements included in our 2024 10-K.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External Provider Costs. </w:t>
      </w:r>
      <w:r>
        <w:rPr>
          <w:rFonts w:ascii="Times New Roman" w:cs="Times New Roman" w:eastAsia="Times New Roman" w:hAnsi="Times New Roman"/>
          <w:sz w:val="14"/>
          <w:szCs w:val="14"/>
          <w:color w:val="auto"/>
        </w:rPr>
        <w:t>External provider costs consist primarily of the costs for medical care provided by non-InnovAge providers. We separate external provider costs into four categories: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inpatient (e.g., hospital), housing (e.g., assisted living and skilled nursing facility), outpatient and pharmacy. In aggregate, external provider costs represent the largest portion of our expenses.</w:t>
      </w:r>
    </w:p>
    <w:p>
      <w:pPr>
        <w:spacing w:after="0" w:line="16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Cost of Care, Excluding Depreciation and Amortization. </w:t>
      </w:r>
      <w:r>
        <w:rPr>
          <w:rFonts w:ascii="Times New Roman" w:cs="Times New Roman" w:eastAsia="Times New Roman" w:hAnsi="Times New Roman"/>
          <w:sz w:val="14"/>
          <w:szCs w:val="14"/>
          <w:color w:val="auto"/>
        </w:rPr>
        <w:t>Cost of care, excluding depreciation and amortization, includes the costs we incur to operate our care delivery model. This includes costs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related to salaries, wages and benefits for IDT and other center-level staff, participant transportation, medical supplies, occupancy, insurance and other operating costs. IDT employees include medical doctors, registered nurses, social workers, physical, occupational, and speech therapists, nursing assistants, and transportation workers. Other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including our employee-related costs, is directly related to the number of participants cared for in a center. The remainder of our cost of care is fixed relative to the number of participants we serve, such as occupancy and insurance expenses. As a result, as revenue increases due to census growth, cost of care, excluding depreciation and amortization, moderately decreases as a percentage of revenue. As we open new centers, we expect cost of care, excluding depreciation and amortization, to increase in absolute dollars due to higher census and facility related costs.</w:t>
      </w:r>
    </w:p>
    <w:p>
      <w:pPr>
        <w:spacing w:after="0" w:line="143"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Sales and Marketing. </w:t>
      </w:r>
      <w:r>
        <w:rPr>
          <w:rFonts w:ascii="Times New Roman" w:cs="Times New Roman" w:eastAsia="Times New Roman" w:hAnsi="Times New Roman"/>
          <w:sz w:val="14"/>
          <w:szCs w:val="14"/>
          <w:color w:val="auto"/>
        </w:rPr>
        <w:t>Sales and marketing expenses consist of employee-related expenses, including salaries, commissions, and employee benefits costs, for all employees engaged in marketing,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sales, community outreach and sales support as well as financial eligibility support for both prospective and existing participants.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continue to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w:t>
      </w:r>
    </w:p>
    <w:p>
      <w:pPr>
        <w:spacing w:after="0" w:line="14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Corporate, General and Administrative Expenses. </w:t>
      </w:r>
      <w:r>
        <w:rPr>
          <w:rFonts w:ascii="Times New Roman" w:cs="Times New Roman" w:eastAsia="Times New Roman" w:hAnsi="Times New Roman"/>
          <w:sz w:val="14"/>
          <w:szCs w:val="14"/>
          <w:color w:val="auto"/>
        </w:rPr>
        <w:t>Corporate, general and administrative expenses include employee-related expenses, including salaries and related costs. In addition, general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administrative expenses include all corporate technology and occupancy costs associated with our corporate office. We expect our general and administrative expenses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increase in absolute dollars due to the additional legal, accounting, insurance, investor relations and other costs that we incur as a public company, as well as other costs associated with compliance and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w:t>
      </w:r>
    </w:p>
    <w:p>
      <w:pPr>
        <w:spacing w:after="0" w:line="13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Depreciation and Amortization. </w:t>
      </w:r>
      <w:r>
        <w:rPr>
          <w:rFonts w:ascii="Times New Roman" w:cs="Times New Roman" w:eastAsia="Times New Roman" w:hAnsi="Times New Roman"/>
          <w:sz w:val="14"/>
          <w:szCs w:val="14"/>
          <w:color w:val="auto"/>
        </w:rPr>
        <w:t>Depreciation and amortization expenses are primarily attributable to our buildings and leasehold improvements and our equipment and vehicles. Depreciation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amortization are recorded using the straight-line method over the shorter of estimated useful life or lease terms, to the extent the assets are being leased.</w:t>
      </w:r>
    </w:p>
    <w:p>
      <w:pPr>
        <w:spacing w:after="0" w:line="12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more information relating to the components of our results of operations, see </w:t>
      </w:r>
      <w:r>
        <w:rPr>
          <w:rFonts w:ascii="Times New Roman" w:cs="Times New Roman" w:eastAsia="Times New Roman" w:hAnsi="Times New Roman"/>
          <w:sz w:val="14"/>
          <w:szCs w:val="14"/>
          <w:i w:val="1"/>
          <w:iCs w:val="1"/>
          <w:color w:val="auto"/>
        </w:rPr>
        <w:t>Results of Operations</w:t>
      </w:r>
      <w:r>
        <w:rPr>
          <w:rFonts w:ascii="Times New Roman" w:cs="Times New Roman" w:eastAsia="Times New Roman" w:hAnsi="Times New Roman"/>
          <w:sz w:val="14"/>
          <w:szCs w:val="14"/>
          <w:color w:val="auto"/>
        </w:rPr>
        <w:t xml:space="preserve"> below and Note 2 “Summary of Significant Accounting Policies” to our consolidated financial statements included in our 2024 10-K.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our consolidated results of operations for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40" w:type="dxa"/>
            <w:vAlign w:val="bottom"/>
            <w:gridSpan w:val="5"/>
          </w:tcPr>
          <w:p>
            <w:pPr>
              <w:ind w:left="42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380" w:type="dxa"/>
            <w:vAlign w:val="bottom"/>
          </w:tcPr>
          <w:p>
            <w:pPr>
              <w:spacing w:after="0"/>
              <w:rPr>
                <w:sz w:val="12"/>
                <w:szCs w:val="12"/>
                <w:color w:val="auto"/>
              </w:rPr>
            </w:pPr>
          </w:p>
        </w:tc>
        <w:tc>
          <w:tcPr>
            <w:tcW w:w="2940" w:type="dxa"/>
            <w:vAlign w:val="bottom"/>
            <w:gridSpan w:val="4"/>
          </w:tcPr>
          <w:p>
            <w:pPr>
              <w:jc w:val="right"/>
              <w:ind w:right="811"/>
              <w:spacing w:after="0"/>
              <w:rPr>
                <w:sz w:val="20"/>
                <w:szCs w:val="20"/>
                <w:color w:val="auto"/>
              </w:rPr>
            </w:pPr>
            <w:r>
              <w:rPr>
                <w:rFonts w:ascii="Times New Roman" w:cs="Times New Roman" w:eastAsia="Times New Roman" w:hAnsi="Times New Roman"/>
                <w:sz w:val="11"/>
                <w:szCs w:val="11"/>
                <w:b w:val="1"/>
                <w:bCs w:val="1"/>
                <w:color w:val="auto"/>
              </w:rPr>
              <w:t>Six Months Ended December 31,</w:t>
            </w:r>
          </w:p>
        </w:tc>
        <w:tc>
          <w:tcPr>
            <w:tcW w:w="0" w:type="dxa"/>
            <w:vAlign w:val="bottom"/>
          </w:tcPr>
          <w:p>
            <w:pPr>
              <w:spacing w:after="0"/>
              <w:rPr>
                <w:sz w:val="1"/>
                <w:szCs w:val="1"/>
                <w:color w:val="auto"/>
              </w:rPr>
            </w:pPr>
          </w:p>
        </w:tc>
      </w:tr>
      <w:tr>
        <w:trPr>
          <w:trHeight w:val="30"/>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4540" w:type="dxa"/>
            <w:vAlign w:val="bottom"/>
            <w:tcBorders>
              <w:bottom w:val="single" w:sz="8" w:color="CCEEFF"/>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Capitation revenue</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208,674</w:t>
            </w:r>
          </w:p>
        </w:tc>
        <w:tc>
          <w:tcPr>
            <w:tcW w:w="80" w:type="dxa"/>
            <w:vAlign w:val="bottom"/>
          </w:tcPr>
          <w:p>
            <w:pPr>
              <w:spacing w:after="0"/>
              <w:rPr>
                <w:sz w:val="16"/>
                <w:szCs w:val="16"/>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188,561</w:t>
            </w:r>
          </w:p>
        </w:tc>
        <w:tc>
          <w:tcPr>
            <w:tcW w:w="100" w:type="dxa"/>
            <w:vAlign w:val="bottom"/>
          </w:tcPr>
          <w:p>
            <w:pPr>
              <w:spacing w:after="0"/>
              <w:rPr>
                <w:sz w:val="16"/>
                <w:szCs w:val="16"/>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413,474</w:t>
            </w:r>
          </w:p>
        </w:tc>
        <w:tc>
          <w:tcPr>
            <w:tcW w:w="8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370,734</w:t>
            </w: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service revenue</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0" w:type="dxa"/>
            <w:vAlign w:val="bottom"/>
          </w:tcPr>
          <w:p>
            <w:pPr>
              <w:spacing w:after="0"/>
              <w:rPr>
                <w:sz w:val="1"/>
                <w:szCs w:val="1"/>
                <w:color w:val="auto"/>
              </w:rPr>
            </w:pPr>
          </w:p>
        </w:tc>
      </w:tr>
      <w:tr>
        <w:trPr>
          <w:trHeight w:val="181"/>
        </w:trPr>
        <w:tc>
          <w:tcPr>
            <w:tcW w:w="45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revenues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208,999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188,898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414,141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371,382</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3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External provider costs</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107,873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100,964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215,087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200,322</w:t>
            </w: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Cost of care, excluding depreciation and amortization</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64,061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54,321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127,447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109,570</w:t>
            </w:r>
          </w:p>
        </w:tc>
        <w:tc>
          <w:tcPr>
            <w:tcW w:w="0" w:type="dxa"/>
            <w:vAlign w:val="bottom"/>
          </w:tcPr>
          <w:p>
            <w:pPr>
              <w:spacing w:after="0"/>
              <w:rPr>
                <w:sz w:val="1"/>
                <w:szCs w:val="1"/>
                <w:color w:val="auto"/>
              </w:rPr>
            </w:pPr>
          </w:p>
        </w:tc>
      </w:tr>
      <w:tr>
        <w:trPr>
          <w:trHeight w:val="191"/>
        </w:trPr>
        <w:tc>
          <w:tcPr>
            <w:tcW w:w="4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Sales and marketing</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11,237</w:t>
            </w: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Corporate, general and administrative</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28,103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25,249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55,638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54,197</w:t>
            </w:r>
          </w:p>
        </w:tc>
        <w:tc>
          <w:tcPr>
            <w:tcW w:w="0" w:type="dxa"/>
            <w:vAlign w:val="bottom"/>
          </w:tcPr>
          <w:p>
            <w:pPr>
              <w:spacing w:after="0"/>
              <w:rPr>
                <w:sz w:val="1"/>
                <w:szCs w:val="1"/>
                <w:color w:val="auto"/>
              </w:rPr>
            </w:pPr>
          </w:p>
        </w:tc>
      </w:tr>
      <w:tr>
        <w:trPr>
          <w:trHeight w:val="191"/>
        </w:trPr>
        <w:tc>
          <w:tcPr>
            <w:tcW w:w="4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8,559</w:t>
            </w:r>
          </w:p>
        </w:tc>
        <w:tc>
          <w:tcPr>
            <w:tcW w:w="0" w:type="dxa"/>
            <w:vAlign w:val="bottom"/>
          </w:tcPr>
          <w:p>
            <w:pPr>
              <w:spacing w:after="0"/>
              <w:rPr>
                <w:sz w:val="1"/>
                <w:szCs w:val="1"/>
                <w:color w:val="auto"/>
              </w:rPr>
            </w:pPr>
          </w:p>
        </w:tc>
      </w:tr>
      <w:tr>
        <w:trPr>
          <w:trHeight w:val="181"/>
        </w:trPr>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Impairment of right-of-use asset and construction in progress</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CCEEFF"/>
            </w:tcBorders>
          </w:tcPr>
          <w:p>
            <w:pPr>
              <w:ind w:left="220"/>
              <w:spacing w:after="0" w:line="146" w:lineRule="exact"/>
              <w:rPr>
                <w:sz w:val="20"/>
                <w:szCs w:val="20"/>
                <w:color w:val="auto"/>
              </w:rPr>
            </w:pPr>
            <w:r>
              <w:rPr>
                <w:rFonts w:ascii="Times New Roman" w:cs="Times New Roman" w:eastAsia="Times New Roman" w:hAnsi="Times New Roman"/>
                <w:sz w:val="13"/>
                <w:szCs w:val="13"/>
                <w:color w:val="auto"/>
              </w:rPr>
              <w:t>Total expenses</w:t>
            </w: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221,555</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190,683</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431,593</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383,885</w:t>
            </w:r>
          </w:p>
        </w:tc>
        <w:tc>
          <w:tcPr>
            <w:tcW w:w="0" w:type="dxa"/>
            <w:vAlign w:val="bottom"/>
          </w:tcPr>
          <w:p>
            <w:pPr>
              <w:spacing w:after="0"/>
              <w:rPr>
                <w:sz w:val="1"/>
                <w:szCs w:val="1"/>
                <w:color w:val="auto"/>
              </w:rPr>
            </w:pPr>
          </w:p>
        </w:tc>
      </w:tr>
      <w:tr>
        <w:trPr>
          <w:trHeight w:val="18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(12,556)</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(1,785)</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(12,503)</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3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 net</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income (expense)</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0" w:type="dxa"/>
            <w:vAlign w:val="bottom"/>
          </w:tcPr>
          <w:p>
            <w:pPr>
              <w:spacing w:after="0"/>
              <w:rPr>
                <w:sz w:val="1"/>
                <w:szCs w:val="1"/>
                <w:color w:val="auto"/>
              </w:rPr>
            </w:pPr>
          </w:p>
        </w:tc>
      </w:tr>
      <w:tr>
        <w:trPr>
          <w:trHeight w:val="191"/>
        </w:trPr>
        <w:tc>
          <w:tcPr>
            <w:tcW w:w="4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Gain (loss) on equity method investment</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0" w:type="dxa"/>
            <w:vAlign w:val="bottom"/>
          </w:tcPr>
          <w:p>
            <w:pPr>
              <w:spacing w:after="0"/>
              <w:rPr>
                <w:sz w:val="1"/>
                <w:szCs w:val="1"/>
                <w:color w:val="auto"/>
              </w:rPr>
            </w:pPr>
          </w:p>
        </w:tc>
      </w:tr>
      <w:tr>
        <w:trPr>
          <w:trHeight w:val="182"/>
        </w:trPr>
        <w:tc>
          <w:tcPr>
            <w:tcW w:w="4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other expense</w:t>
            </w: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0" w:type="dxa"/>
            <w:vAlign w:val="bottom"/>
          </w:tcPr>
          <w:p>
            <w:pPr>
              <w:spacing w:after="0"/>
              <w:rPr>
                <w:sz w:val="1"/>
                <w:szCs w:val="1"/>
                <w:color w:val="auto"/>
              </w:rPr>
            </w:pPr>
          </w:p>
        </w:tc>
      </w:tr>
      <w:tr>
        <w:trPr>
          <w:trHeight w:val="181"/>
        </w:trPr>
        <w:tc>
          <w:tcPr>
            <w:tcW w:w="4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(14,464)</w:t>
            </w: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Provision for Income Taxes</w:t>
            </w: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0" w:type="dxa"/>
            <w:vAlign w:val="bottom"/>
          </w:tcPr>
          <w:p>
            <w:pPr>
              <w:spacing w:after="0"/>
              <w:rPr>
                <w:sz w:val="1"/>
                <w:szCs w:val="1"/>
                <w:color w:val="auto"/>
              </w:rPr>
            </w:pPr>
          </w:p>
        </w:tc>
      </w:tr>
      <w:tr>
        <w:trPr>
          <w:trHeight w:val="156"/>
        </w:trPr>
        <w:tc>
          <w:tcPr>
            <w:tcW w:w="4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(13,491)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(19,201)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(14,783)</w:t>
            </w:r>
          </w:p>
        </w:tc>
        <w:tc>
          <w:tcPr>
            <w:tcW w:w="0" w:type="dxa"/>
            <w:vAlign w:val="bottom"/>
          </w:tcPr>
          <w:p>
            <w:pPr>
              <w:spacing w:after="0"/>
              <w:rPr>
                <w:sz w:val="1"/>
                <w:szCs w:val="1"/>
                <w:color w:val="auto"/>
              </w:rPr>
            </w:pPr>
          </w:p>
        </w:tc>
      </w:tr>
      <w:tr>
        <w:trPr>
          <w:trHeight w:val="26"/>
        </w:trPr>
        <w:tc>
          <w:tcPr>
            <w:tcW w:w="4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5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Less: net loss attributable to noncontrolling interests</w:t>
            </w:r>
          </w:p>
        </w:tc>
        <w:tc>
          <w:tcPr>
            <w:tcW w:w="3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(1,032)</w:t>
            </w:r>
          </w:p>
        </w:tc>
        <w:tc>
          <w:tcPr>
            <w:tcW w:w="0" w:type="dxa"/>
            <w:vAlign w:val="bottom"/>
          </w:tcPr>
          <w:p>
            <w:pPr>
              <w:spacing w:after="0"/>
              <w:rPr>
                <w:sz w:val="1"/>
                <w:szCs w:val="1"/>
                <w:color w:val="auto"/>
              </w:rPr>
            </w:pPr>
          </w:p>
        </w:tc>
      </w:tr>
      <w:tr>
        <w:trPr>
          <w:trHeight w:val="179"/>
        </w:trPr>
        <w:tc>
          <w:tcPr>
            <w:tcW w:w="4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Attributable to InnovAge Holding Corp.</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(13,221)</w:t>
            </w:r>
          </w:p>
        </w:tc>
        <w:tc>
          <w:tcPr>
            <w:tcW w:w="8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(3,447)</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(18,150)</w:t>
            </w:r>
          </w:p>
        </w:tc>
        <w:tc>
          <w:tcPr>
            <w:tcW w:w="80" w:type="dxa"/>
            <w:vAlign w:val="bottom"/>
          </w:tcPr>
          <w:p>
            <w:pPr>
              <w:spacing w:after="0"/>
              <w:rPr>
                <w:sz w:val="15"/>
                <w:szCs w:val="15"/>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(13,751)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4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376"/>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5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280" w:type="dxa"/>
            <w:vAlign w:val="bottom"/>
          </w:tcPr>
          <w:p>
            <w:pPr>
              <w:spacing w:after="0"/>
              <w:rPr>
                <w:sz w:val="13"/>
                <w:szCs w:val="13"/>
                <w:color w:val="auto"/>
              </w:rPr>
            </w:pPr>
          </w:p>
        </w:tc>
        <w:tc>
          <w:tcPr>
            <w:tcW w:w="1220" w:type="dxa"/>
            <w:vAlign w:val="bottom"/>
            <w:gridSpan w:val="3"/>
          </w:tcPr>
          <w:p>
            <w:pPr>
              <w:ind w:left="68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Six Months Ended December 31,</w:t>
            </w:r>
          </w:p>
        </w:tc>
        <w:tc>
          <w:tcPr>
            <w:tcW w:w="600" w:type="dxa"/>
            <w:vAlign w:val="bottom"/>
          </w:tcPr>
          <w:p>
            <w:pPr>
              <w:spacing w:after="0"/>
              <w:rPr>
                <w:sz w:val="13"/>
                <w:szCs w:val="13"/>
                <w:color w:val="auto"/>
              </w:rPr>
            </w:pPr>
          </w:p>
        </w:tc>
        <w:tc>
          <w:tcPr>
            <w:tcW w:w="900" w:type="dxa"/>
            <w:vAlign w:val="bottom"/>
            <w:gridSpan w:val="3"/>
          </w:tcPr>
          <w:p>
            <w:pPr>
              <w:ind w:left="3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20" w:type="dxa"/>
            <w:vAlign w:val="bottom"/>
          </w:tcPr>
          <w:p>
            <w:pPr>
              <w:spacing w:after="0"/>
              <w:rPr>
                <w:sz w:val="13"/>
                <w:szCs w:val="13"/>
                <w:color w:val="auto"/>
              </w:rPr>
            </w:pPr>
          </w:p>
        </w:tc>
      </w:tr>
      <w:tr>
        <w:trPr>
          <w:trHeight w:val="160"/>
        </w:trPr>
        <w:tc>
          <w:tcPr>
            <w:tcW w:w="18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458"/>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18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1"/>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Capitation revenue</w:t>
            </w:r>
          </w:p>
        </w:tc>
        <w:tc>
          <w:tcPr>
            <w:tcW w:w="1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208,674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188,561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10.7 %</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413,474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370,734</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42,740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11.5 %</w:t>
            </w:r>
          </w:p>
        </w:tc>
      </w:tr>
      <w:tr>
        <w:trPr>
          <w:trHeight w:val="183"/>
        </w:trPr>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service revenue</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2.9 %</w:t>
            </w:r>
          </w:p>
        </w:tc>
      </w:tr>
      <w:tr>
        <w:trPr>
          <w:trHeight w:val="212"/>
        </w:trPr>
        <w:tc>
          <w:tcPr>
            <w:tcW w:w="18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Total revenues</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208,999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188,898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20,101</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10.6 %</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414,141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371,382</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42,759</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11.5 %</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22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Capitation revenue. </w:t>
      </w:r>
      <w:r>
        <w:rPr>
          <w:rFonts w:ascii="Times New Roman" w:cs="Times New Roman" w:eastAsia="Times New Roman" w:hAnsi="Times New Roman"/>
          <w:sz w:val="14"/>
          <w:szCs w:val="14"/>
          <w:color w:val="auto"/>
        </w:rPr>
        <w:t>Capitation revenue was $208.7 million for the three months ended December 31, 2024, an increase of $20.1 million, or 10.7%, compared to $188.6 million for the three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months ended December 31, 2023. This increase was driven by a $0.7 million, or 0.3%, increase in capitation rates coupled with $19.4 million, or 10.3%, increase in member months for the three months ended December 31, 2024 as compared to the three months ended December 31, 2023. The increase in capitation rates for the three months ended December 31, 2024 was primarily driven by</w:t>
      </w:r>
    </w:p>
    <w:p>
      <w:pPr>
        <w:jc w:val="both"/>
        <w:ind w:firstLine="5"/>
        <w:spacing w:after="0" w:line="259" w:lineRule="auto"/>
        <w:tabs>
          <w:tab w:leader="none" w:pos="16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5.2% annual increase in Medicaid capitation rates as determined by the States partially offset by revenue reserve and (ii) a 1.6% decrease in Medicare capitation rates as a result of an out of cycle risk score true up payment received in the prior year. The increase in member months was primarily due to growth in our California and Colorado centers and to a lesser extent due to the addition of de novo centers in Florida and the Concerto acquisition.</w:t>
      </w:r>
    </w:p>
    <w:p>
      <w:pPr>
        <w:spacing w:after="0" w:line="14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Capitation revenue was $413.5 million for the six months ended December 31, 2024, an increase of $42.7 million, or 11.5%, compared to $370.7 million for the six months ended December 31, 2023. This increase was driven by a $6.2 million, or 1.5%, increase in capitation rates coupled with a $36.6 million, or 9.9%, increase in member months for the six months ended December 31, 2024 as compared to the six months ended December 31, 2023. The increase in capitation rates includes a 5.5% increase in Medicaid rates partially offset by revenue reserve and a 0.4% decrease in Medicare rates due to an out of cycle risk score true up payment received in the prior year.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380" w:type="dxa"/>
            <w:vAlign w:val="bottom"/>
          </w:tcPr>
          <w:p>
            <w:pPr>
              <w:spacing w:after="0"/>
              <w:rPr>
                <w:sz w:val="13"/>
                <w:szCs w:val="13"/>
                <w:color w:val="auto"/>
              </w:rPr>
            </w:pPr>
          </w:p>
        </w:tc>
        <w:tc>
          <w:tcPr>
            <w:tcW w:w="1940" w:type="dxa"/>
            <w:vAlign w:val="bottom"/>
            <w:gridSpan w:val="6"/>
          </w:tcPr>
          <w:p>
            <w:pPr>
              <w:ind w:left="6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240" w:type="dxa"/>
            <w:vAlign w:val="bottom"/>
          </w:tcPr>
          <w:p>
            <w:pPr>
              <w:spacing w:after="0"/>
              <w:rPr>
                <w:sz w:val="13"/>
                <w:szCs w:val="13"/>
                <w:color w:val="auto"/>
              </w:rPr>
            </w:pPr>
          </w:p>
        </w:tc>
        <w:tc>
          <w:tcPr>
            <w:tcW w:w="1040" w:type="dxa"/>
            <w:vAlign w:val="bottom"/>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Six Months Ended December 31,</w:t>
            </w:r>
          </w:p>
        </w:tc>
        <w:tc>
          <w:tcPr>
            <w:tcW w:w="500" w:type="dxa"/>
            <w:vAlign w:val="bottom"/>
          </w:tcPr>
          <w:p>
            <w:pPr>
              <w:spacing w:after="0"/>
              <w:rPr>
                <w:sz w:val="13"/>
                <w:szCs w:val="13"/>
                <w:color w:val="auto"/>
              </w:rPr>
            </w:pP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80" w:type="dxa"/>
            <w:vAlign w:val="bottom"/>
          </w:tcPr>
          <w:p>
            <w:pPr>
              <w:spacing w:after="0"/>
              <w:rPr>
                <w:sz w:val="13"/>
                <w:szCs w:val="13"/>
                <w:color w:val="auto"/>
              </w:rPr>
            </w:pPr>
          </w:p>
        </w:tc>
      </w:tr>
      <w:tr>
        <w:trPr>
          <w:trHeight w:val="160"/>
        </w:trPr>
        <w:tc>
          <w:tcPr>
            <w:tcW w:w="33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33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External provider costs</w:t>
            </w: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107,873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100,964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215,087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200,322</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14,765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83"/>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care (excluding depreciation and amortization)</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64,061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54,321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109,570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r>
      <w:tr>
        <w:trPr>
          <w:trHeight w:val="179"/>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Sales and marketing</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31.5 %</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11,237</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26.3 %</w:t>
            </w:r>
          </w:p>
        </w:tc>
      </w:tr>
      <w:tr>
        <w:trPr>
          <w:trHeight w:val="183"/>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Corporate, general, and administrative</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25,249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54,197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9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r>
      <w:tr>
        <w:trPr>
          <w:trHeight w:val="165"/>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of right-of-use asset and construction in progress</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8,495</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8,495</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26"/>
        </w:trPr>
        <w:tc>
          <w:tcPr>
            <w:tcW w:w="3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04"/>
        </w:trPr>
        <w:tc>
          <w:tcPr>
            <w:tcW w:w="3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221,555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190,683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30,872</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431,593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383,885</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47,708</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r>
    </w:tbl>
    <w:p>
      <w:pPr>
        <w:spacing w:after="0" w:line="217"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External provider costs. </w:t>
      </w:r>
      <w:r>
        <w:rPr>
          <w:rFonts w:ascii="Times New Roman" w:cs="Times New Roman" w:eastAsia="Times New Roman" w:hAnsi="Times New Roman"/>
          <w:sz w:val="14"/>
          <w:szCs w:val="14"/>
          <w:color w:val="auto"/>
        </w:rPr>
        <w:t>External provider costs were $107.9 million for the three months ended December 31, 2024, an increase of $6.9 million, or 6.8%, compared to $101.0 million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three months ended December 31, 2023. The increase was driven by an increase of $10.4 million, or 10.3%, in member months partially offset by a decrease of $3.5 million, or 3.1% in cost per participant for the three months ended December 31, 2024 as compared to the three months ended December 31, 2023. The decrease in cost per participant for the three months ended December 31, 2024 was primarily driven by a decrease in inpatient, assisted living, permanent nursing facility, and short stay skilled nursing facility utilization coupled with a decrease in external hospice care associated with the transition of this function to internal clinical resources. This was partially offset by an increase in inpatient unit cost, an annual increase in pharmacy cost, and an annual increase in assisted living and permanent nursing facility unit cost.</w:t>
      </w:r>
    </w:p>
    <w:p>
      <w:pPr>
        <w:spacing w:after="0" w:line="14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External provider costs were $215.1 million for the six months ended December 31, 2024, an increase of $14.8 million, or 7.4%, compared to $200.3 million for the six months ended December 31, 2023. This increase was driven by an increase of $19.8 million, or 9.9%, in member months partially offset by a decrease of $5.0 million, or 2.3%, in cost per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participant for the six months ended December 31, 2024 as compared to the six months ended December 31, 2023. The decrease in cost per participant was primarily driven by a decrease in inpatient, assisted living, permanent nursing facility and short stay skilled nursing facility utilization coupled with a decrease in external hospice care associated with the transition of this function to internal clinical resources. This was partially offset by an increase in inpatient unit cost, an annual increase in pharmacy cost, and an annual increase in assisted living and permanent nursing facility unit cost.</w:t>
      </w:r>
    </w:p>
    <w:p>
      <w:pPr>
        <w:spacing w:after="0" w:line="13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Cost of care (excluding depreciation and amortization). </w:t>
      </w:r>
      <w:r>
        <w:rPr>
          <w:rFonts w:ascii="Times New Roman" w:cs="Times New Roman" w:eastAsia="Times New Roman" w:hAnsi="Times New Roman"/>
          <w:sz w:val="14"/>
          <w:szCs w:val="14"/>
          <w:color w:val="auto"/>
        </w:rPr>
        <w:t>Cost of care (excluding depreciation and amortization) expense was $64.1 million for the three months ended December 31, 2024,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of $9.7 million, or 17.9%, compared to $54.3 million for the three months ended December 31, 2023, due to an increase of $4.1 million, or 6.9%, in cost per participant coupled with an increase of $5.6 million, or 10.3%, in member months. The increase for the three months ended December 31, 2024 as compared to the three months ended December 31, 2023 was primarily driven by (i) a $6.6 million increase in salaries, wages and benefits associated with increased headcount and higher wage rates, (ii) $0.9 million in contract provider expense in California associated with growth, (iii) $0.9 million in de novo occupancy and administrative expense associated with opening centers in Florida and the Concerto acquisition, and (iv) $0.8 million in increased software license fees.</w:t>
      </w:r>
    </w:p>
    <w:p>
      <w:pPr>
        <w:spacing w:after="0" w:line="315"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Cost of care (excluding depreciation and amortization) expense was $127.4 million for the six months ended December 31, 2024, an increase of $17.9 million, or 16.3%, compared to $109.6 million for the six months ended December 31, 2023, due to an increase of $7.1 million, or 5.9%, in cost per participant coupled with an increase of $10.8 million, or 9.9%, in member months. The increase for the six months ended December 31, 2024 as compared to the six months ended December 31, 2023 was primarily driven by (i) a $12.3 million increase in salaries, wages, and benefits associated with increased headcount and higher wage rates, (ii) $1.6 million in increased software license fees, (iii) $1.6 million in de novo occupancy and administrative expense associated with opening centers in Florida and the Concerto acquisition, (iv) $1.5 million in contract provider expense in California associated with growth, and (v) $0.5 million in contract provider recruiting expense.</w:t>
      </w:r>
    </w:p>
    <w:p>
      <w:pPr>
        <w:spacing w:after="0" w:line="31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Sales and marketing. </w:t>
      </w:r>
      <w:r>
        <w:rPr>
          <w:rFonts w:ascii="Times New Roman" w:cs="Times New Roman" w:eastAsia="Times New Roman" w:hAnsi="Times New Roman"/>
          <w:sz w:val="14"/>
          <w:szCs w:val="14"/>
          <w:color w:val="auto"/>
        </w:rPr>
        <w:t>Sales and marketing expenses were $7.7 million for the three months ended December 31, 2024, an increase of $1.8 million, or 31.5%, compared to $5.9 million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three months ended December 31, 2023, primarily due to increased headcount and marketing expense to support growth.</w:t>
      </w:r>
    </w:p>
    <w:p>
      <w:pPr>
        <w:spacing w:after="0" w:line="12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Sales and marketing expenses were $14.2 million for the six months ended December 31, 2024, an increase of $3.0 million, or 26.3%, compared to $11.2 million for the six months ended December 31, 2023 primarily due to increased headcount and marketing spend to support growth.</w:t>
      </w:r>
    </w:p>
    <w:p>
      <w:pPr>
        <w:spacing w:after="0" w:line="122"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Corporate, general and administrative. </w:t>
      </w:r>
      <w:r>
        <w:rPr>
          <w:rFonts w:ascii="Times New Roman" w:cs="Times New Roman" w:eastAsia="Times New Roman" w:hAnsi="Times New Roman"/>
          <w:sz w:val="14"/>
          <w:szCs w:val="14"/>
          <w:color w:val="auto"/>
        </w:rPr>
        <w:t>Corporate, general and administrative expenses were $28.1 million for the three months ended December 31, 2024, an increase of $2.9 million, or 11.3%,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$25.2 million for the three months ended December 31, 2023. This increase for the three months ended December 31, 2024 as compared to the three months ended December 31, 2023 was primarily due to (i) $1.9 million increase in employee compensation and benefits as the result of an increase in headcount and wage rates to support compliance and bolster organizational capabilities, (ii) $0.9 million in consulting expense primarily in support of the pharmacy acquisition, (iii) $0.7 million in fees associated with claims payment integrity audits, (iv) $0.4 million increase in software license fees, and (v) $0.5 million in recruiting fees. These increases in cost were partially offset by (i) $1.4 million reduction in consulting expense associated with improving organizational capabilities including the transition to a new electronic medical record ("EMR") system and (ii) $0.5 million reduction in insurance expense.</w:t>
      </w:r>
    </w:p>
    <w:p>
      <w:pPr>
        <w:spacing w:after="0" w:line="14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Corporate, general and administrative expenses were $55.6 million for the six months ended December 31, 2024, an increase of $1.4 million, or 2.7%, compared to $54.2 million for the six months ended December 31, 2023. This increase for the six months ended December 31, 2024 as compared to the six months ended December 31, 2023 was primarily due to (i) $4.3 million increase in employee compensation and benefits as the result of an increase in headcount and wage rates to support compliance and bolster organizational capabilities, (ii) $0.9 million in fees associated with claims payment integrity audits, (iii) $0.6 million in recruiting fees (iv) $0.5 million in consulting expense, and (v) $0.4 million increase in software license fees. These increases in cost were partially offset by (i) $4.0 million reduction in consulting expense associated with improving organizational capabilities including the transition to a new EMR system and (ii) $1.0 million reduction in insurance expense.</w:t>
      </w:r>
    </w:p>
    <w:p>
      <w:pPr>
        <w:spacing w:after="0" w:line="14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Impairment of right-of-use ("ROU") asset and construction in progress. </w:t>
      </w:r>
      <w:r>
        <w:rPr>
          <w:rFonts w:ascii="Times New Roman" w:cs="Times New Roman" w:eastAsia="Times New Roman" w:hAnsi="Times New Roman"/>
          <w:sz w:val="14"/>
          <w:szCs w:val="14"/>
          <w:color w:val="auto"/>
        </w:rPr>
        <w:t>Impairment of ROU asset and construction in progress were $8.5 million for each of the three and six months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2024. This increase was due to the Company recording a $1.4 million impairment of operating lease ROU assets and a $7.1 million impairment 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construction in progress during each of the three and six months ended December 31, 2024, related to halting developments to a previously planned de novo center in Louisville, Kentucky that the Company is no longer pursuing. There were no impairments recorded during the three and six months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980" w:type="dxa"/>
            <w:vAlign w:val="bottom"/>
          </w:tcPr>
          <w:p>
            <w:pPr>
              <w:spacing w:after="0"/>
              <w:rPr>
                <w:sz w:val="13"/>
                <w:szCs w:val="13"/>
                <w:color w:val="auto"/>
              </w:rPr>
            </w:pPr>
          </w:p>
        </w:tc>
        <w:tc>
          <w:tcPr>
            <w:tcW w:w="2340" w:type="dxa"/>
            <w:vAlign w:val="bottom"/>
            <w:gridSpan w:val="6"/>
          </w:tcPr>
          <w:p>
            <w:pPr>
              <w:ind w:left="280"/>
              <w:spacing w:after="0"/>
              <w:rPr>
                <w:sz w:val="20"/>
                <w:szCs w:val="20"/>
                <w:color w:val="auto"/>
              </w:rPr>
            </w:pPr>
            <w:r>
              <w:rPr>
                <w:rFonts w:ascii="Times New Roman" w:cs="Times New Roman" w:eastAsia="Times New Roman" w:hAnsi="Times New Roman"/>
                <w:sz w:val="11"/>
                <w:szCs w:val="11"/>
                <w:b w:val="1"/>
                <w:bCs w:val="1"/>
                <w:color w:val="auto"/>
              </w:rPr>
              <w:t>Three Months Ended December 31,</w:t>
            </w:r>
          </w:p>
        </w:tc>
        <w:tc>
          <w:tcPr>
            <w:tcW w:w="300" w:type="dxa"/>
            <w:vAlign w:val="bottom"/>
          </w:tcPr>
          <w:p>
            <w:pPr>
              <w:spacing w:after="0"/>
              <w:rPr>
                <w:sz w:val="13"/>
                <w:szCs w:val="13"/>
                <w:color w:val="auto"/>
              </w:rPr>
            </w:pPr>
          </w:p>
        </w:tc>
        <w:tc>
          <w:tcPr>
            <w:tcW w:w="1180" w:type="dxa"/>
            <w:vAlign w:val="bottom"/>
            <w:gridSpan w:val="3"/>
          </w:tcPr>
          <w:p>
            <w:pPr>
              <w:ind w:left="6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Six Months Ended December 31,</w:t>
            </w:r>
          </w:p>
        </w:tc>
        <w:tc>
          <w:tcPr>
            <w:tcW w:w="640" w:type="dxa"/>
            <w:vAlign w:val="bottom"/>
          </w:tcPr>
          <w:p>
            <w:pPr>
              <w:spacing w:after="0"/>
              <w:rPr>
                <w:sz w:val="13"/>
                <w:szCs w:val="13"/>
                <w:color w:val="auto"/>
              </w:rPr>
            </w:pPr>
          </w:p>
        </w:tc>
        <w:tc>
          <w:tcPr>
            <w:tcW w:w="860" w:type="dxa"/>
            <w:vAlign w:val="bottom"/>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760" w:type="dxa"/>
            <w:vAlign w:val="bottom"/>
          </w:tcPr>
          <w:p>
            <w:pPr>
              <w:spacing w:after="0"/>
              <w:rPr>
                <w:sz w:val="13"/>
                <w:szCs w:val="13"/>
                <w:color w:val="auto"/>
              </w:rPr>
            </w:pPr>
          </w:p>
        </w:tc>
      </w:tr>
      <w:tr>
        <w:trPr>
          <w:trHeight w:val="160"/>
        </w:trPr>
        <w:tc>
          <w:tcPr>
            <w:tcW w:w="19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438"/>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198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01"/>
        </w:trPr>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Interest expense, net</w:t>
            </w:r>
          </w:p>
        </w:tc>
        <w:tc>
          <w:tcPr>
            <w:tcW w:w="72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center"/>
              <w:ind w:left="258"/>
              <w:spacing w:after="0"/>
              <w:rPr>
                <w:sz w:val="20"/>
                <w:szCs w:val="20"/>
                <w:color w:val="auto"/>
              </w:rPr>
            </w:pPr>
            <w:r>
              <w:rPr>
                <w:rFonts w:ascii="Times New Roman" w:cs="Times New Roman" w:eastAsia="Times New Roman" w:hAnsi="Times New Roman"/>
                <w:sz w:val="13"/>
                <w:szCs w:val="13"/>
                <w:color w:val="auto"/>
              </w:rPr>
              <w:t>(1,596)</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83"/>
        </w:trPr>
        <w:tc>
          <w:tcPr>
            <w:tcW w:w="19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income (expense)</w:t>
            </w:r>
          </w:p>
        </w:tc>
        <w:tc>
          <w:tcPr>
            <w:tcW w:w="7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center"/>
              <w:ind w:left="278"/>
              <w:spacing w:after="0"/>
              <w:rPr>
                <w:sz w:val="20"/>
                <w:szCs w:val="20"/>
                <w:color w:val="auto"/>
              </w:rPr>
            </w:pPr>
            <w:r>
              <w:rPr>
                <w:rFonts w:ascii="Times New Roman" w:cs="Times New Roman" w:eastAsia="Times New Roman" w:hAnsi="Times New Roman"/>
                <w:sz w:val="13"/>
                <w:szCs w:val="13"/>
                <w:color w:val="auto"/>
                <w:w w:val="95"/>
              </w:rPr>
              <w:t>1,517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w:t>
            </w:r>
          </w:p>
        </w:tc>
      </w:tr>
      <w:tr>
        <w:trPr>
          <w:trHeight w:val="167"/>
        </w:trPr>
        <w:tc>
          <w:tcPr>
            <w:tcW w:w="19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Gain (loss) on equity method</w:t>
            </w: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91"/>
        </w:trPr>
        <w:tc>
          <w:tcPr>
            <w:tcW w:w="19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investment</w:t>
            </w:r>
          </w:p>
        </w:tc>
        <w:tc>
          <w:tcPr>
            <w:tcW w:w="7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center"/>
              <w:ind w:left="258"/>
              <w:spacing w:after="0"/>
              <w:rPr>
                <w:sz w:val="20"/>
                <w:szCs w:val="20"/>
                <w:color w:val="auto"/>
              </w:rPr>
            </w:pPr>
            <w:r>
              <w:rPr>
                <w:rFonts w:ascii="Times New Roman" w:cs="Times New Roman" w:eastAsia="Times New Roman" w:hAnsi="Times New Roman"/>
                <w:sz w:val="13"/>
                <w:szCs w:val="13"/>
                <w:color w:val="auto"/>
              </w:rPr>
              <w:t>(1,882)</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w:t>
            </w:r>
          </w:p>
        </w:tc>
      </w:tr>
      <w:tr>
        <w:trPr>
          <w:trHeight w:val="182"/>
        </w:trPr>
        <w:tc>
          <w:tcPr>
            <w:tcW w:w="19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Total other expense</w:t>
            </w:r>
          </w:p>
        </w:tc>
        <w:tc>
          <w:tcPr>
            <w:tcW w:w="72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(1,943)</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(1,312)</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center"/>
              <w:ind w:left="258"/>
              <w:spacing w:after="0"/>
              <w:rPr>
                <w:sz w:val="20"/>
                <w:szCs w:val="20"/>
                <w:color w:val="auto"/>
              </w:rPr>
            </w:pPr>
            <w:r>
              <w:rPr>
                <w:rFonts w:ascii="Times New Roman" w:cs="Times New Roman" w:eastAsia="Times New Roman" w:hAnsi="Times New Roman"/>
                <w:sz w:val="13"/>
                <w:szCs w:val="13"/>
                <w:color w:val="auto"/>
              </w:rPr>
              <w:t>(1,961)</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
        </w:trPr>
        <w:tc>
          <w:tcPr>
            <w:tcW w:w="1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Interest expense, net. </w:t>
      </w:r>
      <w:r>
        <w:rPr>
          <w:rFonts w:ascii="Times New Roman" w:cs="Times New Roman" w:eastAsia="Times New Roman" w:hAnsi="Times New Roman"/>
          <w:sz w:val="14"/>
          <w:szCs w:val="14"/>
          <w:color w:val="auto"/>
        </w:rPr>
        <w:t>Interest expense, net, consists primarily of interest payments on our outstanding borrowings, net of interest income earned on our cash and cash equivalents and restricted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cash. Interest expense, net was $0.8 million for the three months ended December 31, 2024, a decrease of $0.2 million, or 18.7%, compared to $0.9 million for the three months ended December 31, 2023. The decrease for the three months ended December 31, 2024 as compared to the three months ended December 31, 2023 was primarily due to interest expense of $1.6 million, which was partially offset by interest income of $0.9 million from money market funds for the three months ended December 31, 2024. Interest expense of $1.8 million was partially offset by interest income of $0.9 million during the three months ended December 31, 2023.</w:t>
      </w:r>
    </w:p>
    <w:p>
      <w:pPr>
        <w:spacing w:after="0" w:line="14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Interest expense, net was $1.4 million for the six months ended December 31, 2024, a decrease of $0.2 million, or 11.8%, compared to $1.6 million for the six months ended December 31, 2023. This decrease for the six months ended December 31, 2024 as compared to the six months ended December 31, 2023 was due to interest expense of $3.4 million, which was partially offset by interest income of $2.0 million from money market funds for the six months ended December 31, 2024. Interest expense of $3.6 million was partially offset by interest income of $2.0 million during the six months ended December 31, 2023.</w:t>
      </w:r>
    </w:p>
    <w:p>
      <w:pPr>
        <w:spacing w:after="0" w:line="13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Other income (expense). </w:t>
      </w:r>
      <w:r>
        <w:rPr>
          <w:rFonts w:ascii="Times New Roman" w:cs="Times New Roman" w:eastAsia="Times New Roman" w:hAnsi="Times New Roman"/>
          <w:sz w:val="14"/>
          <w:szCs w:val="14"/>
          <w:color w:val="auto"/>
        </w:rPr>
        <w:t>Other income (expense) consists primarily of the net proceeds received from the sale of or disposal of property and equipment and unrealized gains and losses related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short-term investments. Other income for the three months ended December 31, 2024 decreased $1.0 million, or 118.0%, compared to the three months ended December 31, 2023. The decrease was primarily due to unrealized gains of $0.1 million for the three months ended December 31, 2024 compared to unrealized gains of $0.2 million for the three months ended December 31, 2023.</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Other income (expense) for the six months ended December 31, 2024 decreased $1.4 million, or 94.7%, compared to the six months ended December 31, 2023. This decrease was primarily due to dividends received of $1.2 million during the six months ended December 31, 2023 compared to none in the current period.</w:t>
      </w:r>
    </w:p>
    <w:p>
      <w:pPr>
        <w:spacing w:after="0" w:line="122"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Gain (loss) on equity method investment. </w:t>
      </w:r>
      <w:r>
        <w:rPr>
          <w:rFonts w:ascii="Times New Roman" w:cs="Times New Roman" w:eastAsia="Times New Roman" w:hAnsi="Times New Roman"/>
          <w:sz w:val="14"/>
          <w:szCs w:val="14"/>
          <w:color w:val="auto"/>
        </w:rPr>
        <w:t>Gain (loss) in equity method investment was negligible for the three and six months ended December 31, 2024, an increase of $1.9 million, or 100.9%,</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$1.9 million for the three and six months ended December 31, 2023. The increase was due to the recognized impairment losses of $1.9 million related to our minority equity investment in Jetdoc during the three and six months ended December 31,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InnovAge Senior Housing Thornton, LLC ("SH1") and InnovAge Sacramento have elected to be taxed as partnerships, and no provision (benefit) for income taxes for SH1 or InnovAge Sacramento is included in the condensed consolidated financial statements. Further, the Company entered into a joint venture called InnovAge Florida PACE –</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Orlando on May 28, 2024 and its members elected to be taxed as a partnership. No provision (benefit) for income taxes for InnovAge Orlando is included in the condensed consolidated financial statements for activity occurring from joint venture formation date through the balance of the fiscal year.</w:t>
      </w:r>
    </w:p>
    <w:p>
      <w:pPr>
        <w:spacing w:after="0" w:line="12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(benefit) for income taxes.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the three months ended December 31, 2024 and 2023, we reported an income tax expense of $0.03 million and $0.1 million, respectively. During the six months ended December 31,</w:t>
      </w:r>
    </w:p>
    <w:p>
      <w:pPr>
        <w:spacing w:after="0" w:line="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2024 and 2023, we reported an income tax expense of $0.4 million and $0.3 million, respectively. The decrease of $0.1 million for the six months ended December 31, 2024 compared to the six months ended December 31, 2023, was primarily due to (i) our pretax book loss recognized during the six months ended December 31, 2024, as compared to pretax book loss recognized during the six months ended December 31, 2023, (ii) a discrete item to account for the impact of the decreasing Pennsylvania tax rate on our state deferred tax liabilities, and (iii) the change in our valuation allowance.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Attributable to Noncontrolling Interests.</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SH1 is a Variable Interest Entity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 The SH1 interest is reflected within equity as noncontrolling interests. Our share of earnings is recorded in the consolidated statements of operations and the share of the other noncontrolling interest holders’ earnings are recorded as net loss attributable to noncontrolling interests.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Business Metrics and Non-GAAP Measures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substitute for, and should be read in conjunction with, the GAAP financial information presented herein. These measures may not be comparable to similarly-titled performance indicators used by other companies.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3"/>
                <w:szCs w:val="13"/>
                <w:b w:val="1"/>
                <w:bCs w:val="1"/>
                <w:color w:val="auto"/>
              </w:rPr>
              <w:t>Six months ended December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Key Business Metrics:</w:t>
            </w:r>
          </w:p>
        </w:tc>
        <w:tc>
          <w:tcPr>
            <w:tcW w:w="940" w:type="dxa"/>
            <w:vAlign w:val="bottom"/>
          </w:tcPr>
          <w:p>
            <w:pPr>
              <w:spacing w:after="0"/>
              <w:rPr>
                <w:sz w:val="15"/>
                <w:szCs w:val="15"/>
                <w:color w:val="auto"/>
              </w:rPr>
            </w:pPr>
          </w:p>
        </w:tc>
        <w:tc>
          <w:tcPr>
            <w:tcW w:w="1660" w:type="dxa"/>
            <w:vAlign w:val="bottom"/>
            <w:gridSpan w:val="2"/>
          </w:tcPr>
          <w:p>
            <w:pPr>
              <w:jc w:val="right"/>
              <w:ind w:right="331"/>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Centers</w:t>
            </w:r>
            <w:r>
              <w:rPr>
                <w:rFonts w:ascii="Times New Roman" w:cs="Times New Roman" w:eastAsia="Times New Roman" w:hAnsi="Times New Roman"/>
                <w:sz w:val="18"/>
                <w:szCs w:val="18"/>
                <w:color w:val="auto"/>
                <w:vertAlign w:val="superscript"/>
              </w:rPr>
              <w:t>(a)</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0"/>
        </w:trPr>
        <w:tc>
          <w:tcPr>
            <w:tcW w:w="804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Census</w:t>
            </w:r>
            <w:r>
              <w:rPr>
                <w:rFonts w:ascii="Times New Roman" w:cs="Times New Roman" w:eastAsia="Times New Roman" w:hAnsi="Times New Roman"/>
                <w:sz w:val="18"/>
                <w:szCs w:val="18"/>
                <w:color w:val="auto"/>
                <w:vertAlign w:val="superscript"/>
              </w:rPr>
              <w:t>(a)(b)</w:t>
            </w:r>
          </w:p>
        </w:tc>
        <w:tc>
          <w:tcPr>
            <w:tcW w:w="9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7,480</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6,780</w:t>
            </w: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Total Member Months</w:t>
            </w:r>
            <w:r>
              <w:rPr>
                <w:rFonts w:ascii="Times New Roman" w:cs="Times New Roman" w:eastAsia="Times New Roman" w:hAnsi="Times New Roman"/>
                <w:sz w:val="18"/>
                <w:szCs w:val="18"/>
                <w:color w:val="auto"/>
                <w:vertAlign w:val="superscript"/>
              </w:rPr>
              <w:t>(a)(b)</w:t>
            </w: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43,580</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39,670</w:t>
            </w:r>
          </w:p>
        </w:tc>
        <w:tc>
          <w:tcPr>
            <w:tcW w:w="0" w:type="dxa"/>
            <w:vAlign w:val="bottom"/>
          </w:tcPr>
          <w:p>
            <w:pPr>
              <w:spacing w:after="0"/>
              <w:rPr>
                <w:sz w:val="1"/>
                <w:szCs w:val="1"/>
                <w:color w:val="auto"/>
              </w:rPr>
            </w:pPr>
          </w:p>
        </w:tc>
      </w:tr>
      <w:tr>
        <w:trPr>
          <w:trHeight w:val="212"/>
        </w:trPr>
        <w:tc>
          <w:tcPr>
            <w:tcW w:w="8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Center-level Contribution Margin</w:t>
            </w:r>
            <w:r>
              <w:rPr>
                <w:rFonts w:ascii="Times New Roman" w:cs="Times New Roman" w:eastAsia="Times New Roman" w:hAnsi="Times New Roman"/>
                <w:sz w:val="18"/>
                <w:szCs w:val="18"/>
                <w:color w:val="auto"/>
                <w:vertAlign w:val="superscript"/>
              </w:rPr>
              <w:t>(c)</w:t>
            </w:r>
          </w:p>
        </w:tc>
        <w:tc>
          <w:tcPr>
            <w:tcW w:w="94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71,607</w:t>
            </w:r>
          </w:p>
        </w:tc>
        <w:tc>
          <w:tcPr>
            <w:tcW w:w="98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61,490</w:t>
            </w: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Center-level Contribution Margin as a % of revenue</w:t>
            </w:r>
            <w:r>
              <w:rPr>
                <w:rFonts w:ascii="Times New Roman" w:cs="Times New Roman" w:eastAsia="Times New Roman" w:hAnsi="Times New Roman"/>
                <w:sz w:val="18"/>
                <w:szCs w:val="18"/>
                <w:color w:val="auto"/>
                <w:vertAlign w:val="superscript"/>
              </w:rPr>
              <w:t>(c)</w:t>
            </w:r>
          </w:p>
        </w:tc>
        <w:tc>
          <w:tcPr>
            <w:tcW w:w="9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 Measures:</w:t>
            </w: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(19,201)</w:t>
            </w:r>
          </w:p>
        </w:tc>
        <w:tc>
          <w:tcPr>
            <w:tcW w:w="98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(14,783)</w:t>
            </w:r>
          </w:p>
        </w:tc>
        <w:tc>
          <w:tcPr>
            <w:tcW w:w="0" w:type="dxa"/>
            <w:vAlign w:val="bottom"/>
          </w:tcPr>
          <w:p>
            <w:pPr>
              <w:spacing w:after="0"/>
              <w:rPr>
                <w:sz w:val="1"/>
                <w:szCs w:val="1"/>
                <w:color w:val="auto"/>
              </w:rPr>
            </w:pPr>
          </w:p>
        </w:tc>
      </w:tr>
      <w:tr>
        <w:trPr>
          <w:trHeight w:val="180"/>
        </w:trPr>
        <w:tc>
          <w:tcPr>
            <w:tcW w:w="8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 margin</w:t>
            </w:r>
          </w:p>
        </w:tc>
        <w:tc>
          <w:tcPr>
            <w:tcW w:w="9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Non-GAAP Measures:</w:t>
            </w: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4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(c)</w:t>
            </w:r>
          </w:p>
        </w:tc>
        <w:tc>
          <w:tcPr>
            <w:tcW w:w="94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12,346</w:t>
            </w:r>
          </w:p>
        </w:tc>
        <w:tc>
          <w:tcPr>
            <w:tcW w:w="98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8,280</w:t>
            </w:r>
          </w:p>
        </w:tc>
        <w:tc>
          <w:tcPr>
            <w:tcW w:w="0" w:type="dxa"/>
            <w:vAlign w:val="bottom"/>
          </w:tcPr>
          <w:p>
            <w:pPr>
              <w:spacing w:after="0"/>
              <w:rPr>
                <w:sz w:val="1"/>
                <w:szCs w:val="1"/>
                <w:color w:val="auto"/>
              </w:rPr>
            </w:pPr>
          </w:p>
        </w:tc>
      </w:tr>
      <w:tr>
        <w:trPr>
          <w:trHeight w:val="243"/>
        </w:trPr>
        <w:tc>
          <w:tcPr>
            <w:tcW w:w="8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Adjusted EBITDA Margin</w:t>
            </w:r>
            <w:r>
              <w:rPr>
                <w:rFonts w:ascii="Times New Roman" w:cs="Times New Roman" w:eastAsia="Times New Roman" w:hAnsi="Times New Roman"/>
                <w:sz w:val="18"/>
                <w:szCs w:val="18"/>
                <w:color w:val="auto"/>
                <w:vertAlign w:val="superscript"/>
              </w:rPr>
              <w:t>(c)</w:t>
            </w:r>
          </w:p>
        </w:tc>
        <w:tc>
          <w:tcPr>
            <w:tcW w:w="9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9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52" w:lineRule="exact"/>
        <w:rPr>
          <w:sz w:val="20"/>
          <w:szCs w:val="20"/>
          <w:color w:val="auto"/>
        </w:rPr>
      </w:pPr>
    </w:p>
    <w:p>
      <w:pPr>
        <w:ind w:left="520" w:hanging="260"/>
        <w:spacing w:after="0" w:line="216" w:lineRule="auto"/>
        <w:tabs>
          <w:tab w:leader="none" w:pos="516"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Company operated 20 PACE centers as of December 31, 2024. Includes InnovAge Sacramento and InnovAge Orlando, which the Company owns and controls through joint ventures and are consolidated in our financial statements.</w:t>
      </w:r>
    </w:p>
    <w:p>
      <w:pPr>
        <w:ind w:left="500" w:hanging="240"/>
        <w:spacing w:after="0" w:line="185" w:lineRule="auto"/>
        <w:tabs>
          <w:tab w:leader="none" w:pos="50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Amounts are approximate.</w:t>
      </w:r>
    </w:p>
    <w:p>
      <w:pPr>
        <w:spacing w:after="0" w:line="8" w:lineRule="exact"/>
        <w:rPr>
          <w:rFonts w:ascii="Times New Roman" w:cs="Times New Roman" w:eastAsia="Times New Roman" w:hAnsi="Times New Roman"/>
          <w:sz w:val="17"/>
          <w:szCs w:val="17"/>
          <w:color w:val="auto"/>
          <w:vertAlign w:val="superscript"/>
        </w:rPr>
      </w:pPr>
    </w:p>
    <w:p>
      <w:pPr>
        <w:ind w:left="520" w:hanging="260"/>
        <w:spacing w:after="0" w:line="208" w:lineRule="auto"/>
        <w:tabs>
          <w:tab w:leader="none" w:pos="516"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Center-level Contribution Margin, Center-level Contribution Margin as a percentage of revenue, Adjusted EBITDA and Adjusted EBITDA margin are non-GAAP measures. For a definition and reconciliation of these non-GAAP measures to the most closely comparable GAAP measures for the period indicated, see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Centers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define our centers as those centers open for business and attending to participants at the end of a particular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Census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census is comprised of our capitated participants for whom we are financially responsible for their total healthcare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Total Member Months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Center-level Contribution Margin</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Company's management uses Center-level Contribution Margin as the measure for assessing performance of its operating segments. 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expenses or corporate, general and administrative expenses across our centers. Center-level Contribution Margin was $71.6 million and $61.5 million for the six months ended December 31, 2024 and 2023, respectively. The increase in Center-level Contribution Margin for the six months ended December 31, 2024 compared to the six months ended December 31, 2023 was primarily due to a 11.5% increase in total revenue, offset by a 10.5% increase in external provider costs and cost of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care, excluding depreciation and amortization, during the same period. For more information relating to Center-level Contribution Margin, see Note 14 “Segment Reporting” to our condensed consolidated financial statements. A reconciliation of Center-level Contribution Margin to loss before income taxes, the most directly comparable GAAP measure, for each of the periods is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6"/>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Six Months Ended December 31, 2024</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6"/>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Six Months Ended December 31, 2023</w:t>
            </w:r>
          </w:p>
        </w:tc>
        <w:tc>
          <w:tcPr>
            <w:tcW w:w="920" w:type="dxa"/>
            <w:vAlign w:val="bottom"/>
            <w:tcBorders>
              <w:bottom w:val="single" w:sz="8" w:color="auto"/>
            </w:tcBorders>
          </w:tcPr>
          <w:p>
            <w:pPr>
              <w:spacing w:after="0"/>
              <w:rPr>
                <w:sz w:val="13"/>
                <w:szCs w:val="13"/>
                <w:color w:val="auto"/>
              </w:rPr>
            </w:pPr>
          </w:p>
        </w:tc>
      </w:tr>
      <w:tr>
        <w:trPr>
          <w:trHeight w:val="159"/>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80" w:type="dxa"/>
            <w:vAlign w:val="bottom"/>
          </w:tcPr>
          <w:p>
            <w:pPr>
              <w:spacing w:after="0"/>
              <w:rPr>
                <w:sz w:val="13"/>
                <w:szCs w:val="13"/>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PACE</w:t>
            </w:r>
          </w:p>
        </w:tc>
        <w:tc>
          <w:tcPr>
            <w:tcW w:w="200" w:type="dxa"/>
            <w:vAlign w:val="bottom"/>
          </w:tcPr>
          <w:p>
            <w:pPr>
              <w:spacing w:after="0"/>
              <w:rPr>
                <w:sz w:val="13"/>
                <w:szCs w:val="13"/>
                <w:color w:val="auto"/>
              </w:rPr>
            </w:pPr>
          </w:p>
        </w:tc>
        <w:tc>
          <w:tcPr>
            <w:tcW w:w="1080" w:type="dxa"/>
            <w:vAlign w:val="bottom"/>
            <w:gridSpan w:val="2"/>
          </w:tcPr>
          <w:p>
            <w:pPr>
              <w:ind w:left="140"/>
              <w:spacing w:after="0" w:line="159" w:lineRule="exact"/>
              <w:rPr>
                <w:sz w:val="20"/>
                <w:szCs w:val="20"/>
                <w:color w:val="auto"/>
              </w:rPr>
            </w:pPr>
            <w:r>
              <w:rPr>
                <w:rFonts w:ascii="Times New Roman" w:cs="Times New Roman" w:eastAsia="Times New Roman" w:hAnsi="Times New Roman"/>
                <w:sz w:val="11"/>
                <w:szCs w:val="11"/>
                <w:b w:val="1"/>
                <w:bCs w:val="1"/>
                <w:color w:val="auto"/>
              </w:rPr>
              <w:t>All other</w:t>
            </w:r>
            <w:r>
              <w:rPr>
                <w:rFonts w:ascii="Times New Roman" w:cs="Times New Roman" w:eastAsia="Times New Roman" w:hAnsi="Times New Roman"/>
                <w:sz w:val="14"/>
                <w:szCs w:val="14"/>
                <w:b w:val="1"/>
                <w:bCs w:val="1"/>
                <w:color w:val="auto"/>
                <w:vertAlign w:val="superscript"/>
              </w:rPr>
              <w:t>(a)</w:t>
            </w:r>
          </w:p>
        </w:tc>
        <w:tc>
          <w:tcPr>
            <w:tcW w:w="400" w:type="dxa"/>
            <w:vAlign w:val="bottom"/>
          </w:tcPr>
          <w:p>
            <w:pPr>
              <w:spacing w:after="0"/>
              <w:rPr>
                <w:sz w:val="13"/>
                <w:szCs w:val="13"/>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Totals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PACE</w:t>
            </w:r>
          </w:p>
        </w:tc>
        <w:tc>
          <w:tcPr>
            <w:tcW w:w="200" w:type="dxa"/>
            <w:vAlign w:val="bottom"/>
          </w:tcPr>
          <w:p>
            <w:pPr>
              <w:spacing w:after="0"/>
              <w:rPr>
                <w:sz w:val="13"/>
                <w:szCs w:val="13"/>
                <w:color w:val="auto"/>
              </w:rPr>
            </w:pPr>
          </w:p>
        </w:tc>
        <w:tc>
          <w:tcPr>
            <w:tcW w:w="1080" w:type="dxa"/>
            <w:vAlign w:val="bottom"/>
            <w:gridSpan w:val="2"/>
          </w:tcPr>
          <w:p>
            <w:pPr>
              <w:ind w:left="140"/>
              <w:spacing w:after="0" w:line="159" w:lineRule="exact"/>
              <w:rPr>
                <w:sz w:val="20"/>
                <w:szCs w:val="20"/>
                <w:color w:val="auto"/>
              </w:rPr>
            </w:pPr>
            <w:r>
              <w:rPr>
                <w:rFonts w:ascii="Times New Roman" w:cs="Times New Roman" w:eastAsia="Times New Roman" w:hAnsi="Times New Roman"/>
                <w:sz w:val="11"/>
                <w:szCs w:val="11"/>
                <w:b w:val="1"/>
                <w:bCs w:val="1"/>
                <w:color w:val="auto"/>
              </w:rPr>
              <w:t>All other</w:t>
            </w:r>
            <w:r>
              <w:rPr>
                <w:rFonts w:ascii="Times New Roman" w:cs="Times New Roman" w:eastAsia="Times New Roman" w:hAnsi="Times New Roman"/>
                <w:sz w:val="14"/>
                <w:szCs w:val="14"/>
                <w:b w:val="1"/>
                <w:bCs w:val="1"/>
                <w:color w:val="auto"/>
                <w:vertAlign w:val="superscript"/>
              </w:rPr>
              <w:t>(a)</w:t>
            </w:r>
          </w:p>
        </w:tc>
        <w:tc>
          <w:tcPr>
            <w:tcW w:w="420" w:type="dxa"/>
            <w:vAlign w:val="bottom"/>
          </w:tcPr>
          <w:p>
            <w:pPr>
              <w:spacing w:after="0"/>
              <w:rPr>
                <w:sz w:val="13"/>
                <w:szCs w:val="13"/>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Totals</w:t>
            </w:r>
          </w:p>
        </w:tc>
      </w:tr>
      <w:tr>
        <w:trPr>
          <w:trHeight w:val="171"/>
        </w:trPr>
        <w:tc>
          <w:tcPr>
            <w:tcW w:w="33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Capitation revenue</w:t>
            </w: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413,474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413,474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370,734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370,734</w:t>
            </w:r>
          </w:p>
        </w:tc>
      </w:tr>
      <w:tr>
        <w:trPr>
          <w:trHeight w:val="180"/>
        </w:trPr>
        <w:tc>
          <w:tcPr>
            <w:tcW w:w="3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service revenue</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648</w:t>
            </w:r>
          </w:p>
        </w:tc>
      </w:tr>
      <w:tr>
        <w:trPr>
          <w:trHeight w:val="171"/>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414,141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371,382</w:t>
            </w:r>
          </w:p>
        </w:tc>
      </w:tr>
      <w:tr>
        <w:trPr>
          <w:trHeight w:val="180"/>
        </w:trPr>
        <w:tc>
          <w:tcPr>
            <w:tcW w:w="3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External provider costs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215,087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200,322</w:t>
            </w:r>
          </w:p>
        </w:tc>
      </w:tr>
      <w:tr>
        <w:trPr>
          <w:trHeight w:val="180"/>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care, excluding depreciation and amortization</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127,150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127,447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109,267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109,570</w:t>
            </w:r>
          </w:p>
        </w:tc>
      </w:tr>
      <w:tr>
        <w:trPr>
          <w:trHeight w:val="171"/>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Center-Level Contribution Margin</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71,411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71,607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61,298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61,490</w:t>
            </w:r>
          </w:p>
        </w:tc>
      </w:tr>
      <w:tr>
        <w:trPr>
          <w:trHeight w:val="171"/>
        </w:trPr>
        <w:tc>
          <w:tcPr>
            <w:tcW w:w="332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4"/>
                <w:szCs w:val="14"/>
                <w:color w:val="auto"/>
              </w:rPr>
              <w:t>Overhead costs</w:t>
            </w:r>
            <w:r>
              <w:rPr>
                <w:rFonts w:ascii="Times New Roman" w:cs="Times New Roman" w:eastAsia="Times New Roman" w:hAnsi="Times New Roman"/>
                <w:sz w:val="18"/>
                <w:szCs w:val="18"/>
                <w:color w:val="auto"/>
                <w:vertAlign w:val="superscript"/>
              </w:rPr>
              <w:t>(b)</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69,834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65,434</w:t>
            </w:r>
          </w:p>
        </w:tc>
      </w:tr>
      <w:tr>
        <w:trPr>
          <w:trHeight w:val="180"/>
        </w:trPr>
        <w:tc>
          <w:tcPr>
            <w:tcW w:w="3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10,730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8,559</w:t>
            </w:r>
          </w:p>
        </w:tc>
      </w:tr>
      <w:tr>
        <w:trPr>
          <w:trHeight w:val="138"/>
        </w:trPr>
        <w:tc>
          <w:tcPr>
            <w:tcW w:w="332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Impairment of right-of-use asset and construction in</w:t>
            </w: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91"/>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progress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8,495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 net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(1,596)</w:t>
            </w:r>
          </w:p>
        </w:tc>
      </w:tr>
      <w:tr>
        <w:trPr>
          <w:trHeight w:val="180"/>
        </w:trPr>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 (expense)</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1,517</w:t>
            </w:r>
          </w:p>
        </w:tc>
      </w:tr>
      <w:tr>
        <w:trPr>
          <w:trHeight w:val="180"/>
        </w:trPr>
        <w:tc>
          <w:tcPr>
            <w:tcW w:w="3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Gain (loss) on equity method investment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(1,882)</w:t>
            </w:r>
          </w:p>
        </w:tc>
      </w:tr>
      <w:tr>
        <w:trPr>
          <w:trHeight w:val="171"/>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(18,764)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(14,464)</w:t>
            </w:r>
          </w:p>
        </w:tc>
      </w:tr>
      <w:tr>
        <w:trPr>
          <w:trHeight w:val="17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 as a % of revenue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 Level Contribution Margin as a % of revenue</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16.6 %</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193" w:lineRule="exact"/>
        <w:rPr>
          <w:sz w:val="20"/>
          <w:szCs w:val="20"/>
          <w:color w:val="auto"/>
        </w:rPr>
      </w:pPr>
    </w:p>
    <w:p>
      <w:pPr>
        <w:ind w:left="520" w:right="180" w:hanging="260"/>
        <w:spacing w:after="0" w:line="241" w:lineRule="auto"/>
        <w:tabs>
          <w:tab w:leader="none" w:pos="513"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Center-level Contribution Margin from a segment below the quantitative thresholds is attributable to the Senior Housing operating segment of the Company. This segment has never met any of the quantitative thresholds for determining reportable segments.</w:t>
      </w:r>
    </w:p>
    <w:p>
      <w:pPr>
        <w:ind w:left="520" w:hanging="260"/>
        <w:spacing w:after="0"/>
        <w:tabs>
          <w:tab w:leader="none" w:pos="5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Overhead consists of the Sales and marketing and Corporate, general and administrative financial statement line items.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 and Adjusted EBITDA Margin</w:t>
      </w:r>
    </w:p>
    <w:p>
      <w:pPr>
        <w:spacing w:after="0" w:line="18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define Adjusted EBITDA as net loss adjusted for interest expense, net, other investment income, depreciation and amortization, and provision (benefit) for income tax as well as addbacks for non-recurring expenses or exceptional items, including charges relating to management equity compensation, litigation costs and settlements, M&amp;A diligence, transaction and integration, business optimization, EMR implementation, impairment of ROU asset and construction in progress, and loss on minority equity interest. Adjusted EBITDA margin is Adjusted EBITDA expressed as a percentage of our total revenue. For the six months ended December 31, 2024 and 2023, net loss was $19.2 million and $14.8 million, respectively, representing a year-over-year decrease of 29.9%. Adjusted EBITDA was $12.3 million and $8.3 million, for the six months ended December 31, 2024 and 2023, respectively, representing a year-over-year increase of 49.1%. For the six months ended December 31, 2024, net loss margin was 4.6%, as compared to net loss margin of 4.0% for the six months ended December 31, 2023. For the six months ended December 31, 2024, our Adjusted EBITDA margin was 3.0%, as compared to our Adjusted EBITDA margin for the six months ended December 31, 2023 of 2.2%. The increase in Adjusted EBITDA and Adjusted EBITDA margin was primarily due to (i) increased capitation rates and (ii) lower per participant external provider costs, partially offset by (i) increased center-level headcount and wage rates associated with census growth and a competitive labor market and (ii) increased sales and marketing and corporate, general and administrative expense.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0" w:firstLine="255"/>
        <w:spacing w:after="0" w:line="256" w:lineRule="auto"/>
        <w:rPr>
          <w:sz w:val="20"/>
          <w:szCs w:val="20"/>
          <w:color w:val="auto"/>
        </w:rPr>
      </w:pPr>
      <w:r>
        <w:rPr>
          <w:rFonts w:ascii="Times New Roman" w:cs="Times New Roman" w:eastAsia="Times New Roman" w:hAnsi="Times New Roman"/>
          <w:sz w:val="14"/>
          <w:szCs w:val="14"/>
          <w:color w:val="auto"/>
        </w:rPr>
        <w:t>Adjusted EBITDA and Adjusted EBITDA margin are supplemental measures of operating performance monitored by management that are not defined under GAAP and that do not represent, and should not be considered as, an alternative to net loss and net loss margin, respectively, as determined by GAAP. We believe that Adjusted EBITDA and Adjusted EBITDA margin are appropriate measures of operating performance because the metrics eliminate the impact of revenue and expenses that do not relate to our ongoing business performance and certain noncash expenses,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loss and net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The use of the term Adjusted EBITDA varies from others in our industry. Effective for the year ended June 30, 2024 and going forward, the Company revised its calculation of Adjusted EBITDA to no longer exclude de novo center development costs and to reflect the impact of other investment income. The presentation for the six months ended December 31, 2023 has been recast to conform to the current presentation.</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reconciliation of net loss to Adjusted EBITDA, the most directly comparable GAAP measure, for each of the periods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306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Six months ended December 31,</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3860" w:type="dxa"/>
            <w:vAlign w:val="bottom"/>
          </w:tcPr>
          <w:p>
            <w:pPr>
              <w:spacing w:after="0"/>
              <w:rPr>
                <w:sz w:val="14"/>
                <w:szCs w:val="14"/>
                <w:color w:val="auto"/>
              </w:rPr>
            </w:pPr>
          </w:p>
        </w:tc>
        <w:tc>
          <w:tcPr>
            <w:tcW w:w="11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2023</w:t>
            </w: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93"/>
        </w:trPr>
        <w:tc>
          <w:tcPr>
            <w:tcW w:w="3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(13,491)</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(14,783)</w:t>
            </w:r>
          </w:p>
        </w:tc>
        <w:tc>
          <w:tcPr>
            <w:tcW w:w="20" w:type="dxa"/>
            <w:vAlign w:val="bottom"/>
          </w:tcPr>
          <w:p>
            <w:pPr>
              <w:spacing w:after="0"/>
              <w:rPr>
                <w:sz w:val="15"/>
                <w:szCs w:val="15"/>
                <w:color w:val="auto"/>
              </w:rPr>
            </w:pPr>
          </w:p>
        </w:tc>
      </w:tr>
      <w:tr>
        <w:trPr>
          <w:trHeight w:val="18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20" w:type="dxa"/>
            <w:vAlign w:val="bottom"/>
          </w:tcPr>
          <w:p>
            <w:pPr>
              <w:spacing w:after="0"/>
              <w:rPr>
                <w:sz w:val="15"/>
                <w:szCs w:val="15"/>
                <w:color w:val="auto"/>
              </w:rPr>
            </w:pPr>
          </w:p>
        </w:tc>
      </w:tr>
      <w:tr>
        <w:trPr>
          <w:trHeight w:val="180"/>
        </w:trPr>
        <w:tc>
          <w:tcPr>
            <w:tcW w:w="3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investment income</w:t>
            </w:r>
            <w:r>
              <w:rPr>
                <w:rFonts w:ascii="Times New Roman" w:cs="Times New Roman" w:eastAsia="Times New Roman" w:hAnsi="Times New Roman"/>
                <w:sz w:val="18"/>
                <w:szCs w:val="18"/>
                <w:color w:val="auto"/>
                <w:vertAlign w:val="superscript"/>
              </w:rPr>
              <w:t>(a)</w:t>
            </w:r>
          </w:p>
        </w:tc>
        <w:tc>
          <w:tcPr>
            <w:tcW w:w="1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20" w:type="dxa"/>
            <w:vAlign w:val="bottom"/>
            <w:shd w:val="clear" w:color="auto" w:fill="000000"/>
          </w:tcPr>
          <w:p>
            <w:pPr>
              <w:spacing w:after="0"/>
              <w:rPr>
                <w:sz w:val="15"/>
                <w:szCs w:val="15"/>
                <w:color w:val="auto"/>
              </w:rPr>
            </w:pPr>
          </w:p>
        </w:tc>
      </w:tr>
      <w:tr>
        <w:trPr>
          <w:trHeight w:val="18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5,319</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8,559</w:t>
            </w:r>
          </w:p>
        </w:tc>
        <w:tc>
          <w:tcPr>
            <w:tcW w:w="20" w:type="dxa"/>
            <w:vAlign w:val="bottom"/>
          </w:tcPr>
          <w:p>
            <w:pPr>
              <w:spacing w:after="0"/>
              <w:rPr>
                <w:sz w:val="15"/>
                <w:szCs w:val="15"/>
                <w:color w:val="auto"/>
              </w:rPr>
            </w:pPr>
          </w:p>
        </w:tc>
      </w:tr>
      <w:tr>
        <w:trPr>
          <w:trHeight w:val="18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w:t>
            </w:r>
          </w:p>
        </w:tc>
        <w:tc>
          <w:tcPr>
            <w:tcW w:w="1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0" w:type="dxa"/>
            <w:vAlign w:val="bottom"/>
          </w:tcPr>
          <w:p>
            <w:pPr>
              <w:spacing w:after="0"/>
              <w:rPr>
                <w:sz w:val="15"/>
                <w:szCs w:val="15"/>
                <w:color w:val="auto"/>
              </w:rPr>
            </w:pPr>
          </w:p>
        </w:tc>
      </w:tr>
      <w:tr>
        <w:trPr>
          <w:trHeight w:val="18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20" w:type="dxa"/>
            <w:vAlign w:val="bottom"/>
          </w:tcPr>
          <w:p>
            <w:pPr>
              <w:spacing w:after="0"/>
              <w:rPr>
                <w:sz w:val="15"/>
                <w:szCs w:val="15"/>
                <w:color w:val="auto"/>
              </w:rPr>
            </w:pPr>
          </w:p>
        </w:tc>
      </w:tr>
      <w:tr>
        <w:trPr>
          <w:trHeight w:val="180"/>
        </w:trPr>
        <w:tc>
          <w:tcPr>
            <w:tcW w:w="3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Litigation costs and settlement</w:t>
            </w:r>
            <w:r>
              <w:rPr>
                <w:rFonts w:ascii="Times New Roman" w:cs="Times New Roman" w:eastAsia="Times New Roman" w:hAnsi="Times New Roman"/>
                <w:sz w:val="18"/>
                <w:szCs w:val="18"/>
                <w:color w:val="auto"/>
                <w:vertAlign w:val="superscript"/>
              </w:rPr>
              <w:t>(b)</w:t>
            </w:r>
          </w:p>
        </w:tc>
        <w:tc>
          <w:tcPr>
            <w:tcW w:w="1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20" w:type="dxa"/>
            <w:vAlign w:val="bottom"/>
          </w:tcPr>
          <w:p>
            <w:pPr>
              <w:spacing w:after="0"/>
              <w:rPr>
                <w:sz w:val="15"/>
                <w:szCs w:val="15"/>
                <w:color w:val="auto"/>
              </w:rPr>
            </w:pPr>
          </w:p>
        </w:tc>
      </w:tr>
      <w:tr>
        <w:trPr>
          <w:trHeight w:val="180"/>
        </w:trPr>
        <w:tc>
          <w:tcPr>
            <w:tcW w:w="38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M&amp;A diligence, transaction and integration</w:t>
            </w:r>
            <w:r>
              <w:rPr>
                <w:rFonts w:ascii="Times New Roman" w:cs="Times New Roman" w:eastAsia="Times New Roman" w:hAnsi="Times New Roman"/>
                <w:sz w:val="18"/>
                <w:szCs w:val="18"/>
                <w:color w:val="auto"/>
                <w:vertAlign w:val="superscript"/>
              </w:rPr>
              <w:t>(c)</w:t>
            </w:r>
          </w:p>
        </w:tc>
        <w:tc>
          <w:tcPr>
            <w:tcW w:w="1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0" w:type="dxa"/>
            <w:vAlign w:val="bottom"/>
          </w:tcPr>
          <w:p>
            <w:pPr>
              <w:spacing w:after="0"/>
              <w:rPr>
                <w:sz w:val="15"/>
                <w:szCs w:val="15"/>
                <w:color w:val="auto"/>
              </w:rPr>
            </w:pPr>
          </w:p>
        </w:tc>
      </w:tr>
      <w:tr>
        <w:trPr>
          <w:trHeight w:val="180"/>
        </w:trPr>
        <w:tc>
          <w:tcPr>
            <w:tcW w:w="3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Business optimization</w:t>
            </w:r>
            <w:r>
              <w:rPr>
                <w:rFonts w:ascii="Times New Roman" w:cs="Times New Roman" w:eastAsia="Times New Roman" w:hAnsi="Times New Roman"/>
                <w:sz w:val="18"/>
                <w:szCs w:val="18"/>
                <w:color w:val="auto"/>
                <w:vertAlign w:val="superscript"/>
              </w:rPr>
              <w:t>(d)</w:t>
            </w:r>
          </w:p>
        </w:tc>
        <w:tc>
          <w:tcPr>
            <w:tcW w:w="1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w:t>
            </w:r>
          </w:p>
        </w:tc>
        <w:tc>
          <w:tcPr>
            <w:tcW w:w="20" w:type="dxa"/>
            <w:vAlign w:val="bottom"/>
          </w:tcPr>
          <w:p>
            <w:pPr>
              <w:spacing w:after="0"/>
              <w:rPr>
                <w:sz w:val="15"/>
                <w:szCs w:val="15"/>
                <w:color w:val="auto"/>
              </w:rPr>
            </w:pPr>
          </w:p>
        </w:tc>
      </w:tr>
      <w:tr>
        <w:trPr>
          <w:trHeight w:val="180"/>
        </w:trPr>
        <w:tc>
          <w:tcPr>
            <w:tcW w:w="38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EMR implementation</w:t>
            </w:r>
            <w:r>
              <w:rPr>
                <w:rFonts w:ascii="Times New Roman" w:cs="Times New Roman" w:eastAsia="Times New Roman" w:hAnsi="Times New Roman"/>
                <w:sz w:val="18"/>
                <w:szCs w:val="18"/>
                <w:color w:val="auto"/>
                <w:vertAlign w:val="superscript"/>
              </w:rPr>
              <w:t>(e)</w:t>
            </w:r>
          </w:p>
        </w:tc>
        <w:tc>
          <w:tcPr>
            <w:tcW w:w="11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20" w:type="dxa"/>
            <w:vAlign w:val="bottom"/>
          </w:tcPr>
          <w:p>
            <w:pPr>
              <w:spacing w:after="0"/>
              <w:rPr>
                <w:sz w:val="15"/>
                <w:szCs w:val="15"/>
                <w:color w:val="auto"/>
              </w:rPr>
            </w:pPr>
          </w:p>
        </w:tc>
      </w:tr>
      <w:tr>
        <w:trPr>
          <w:trHeight w:val="180"/>
        </w:trPr>
        <w:tc>
          <w:tcPr>
            <w:tcW w:w="3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Impairment of right-of-use asset and construction in progress</w:t>
            </w:r>
            <w:r>
              <w:rPr>
                <w:rFonts w:ascii="Times New Roman" w:cs="Times New Roman" w:eastAsia="Times New Roman" w:hAnsi="Times New Roman"/>
                <w:sz w:val="18"/>
                <w:szCs w:val="18"/>
                <w:color w:val="auto"/>
                <w:vertAlign w:val="superscript"/>
              </w:rPr>
              <w:t>(f)</w:t>
            </w:r>
          </w:p>
        </w:tc>
        <w:tc>
          <w:tcPr>
            <w:tcW w:w="1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5"/>
                <w:szCs w:val="15"/>
                <w:color w:val="auto"/>
              </w:rPr>
            </w:pPr>
          </w:p>
        </w:tc>
      </w:tr>
      <w:tr>
        <w:trPr>
          <w:trHeight w:val="180"/>
        </w:trPr>
        <w:tc>
          <w:tcPr>
            <w:tcW w:w="38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Loss on minority equity interest</w:t>
            </w:r>
            <w:r>
              <w:rPr>
                <w:rFonts w:ascii="Times New Roman" w:cs="Times New Roman" w:eastAsia="Times New Roman" w:hAnsi="Times New Roman"/>
                <w:sz w:val="18"/>
                <w:szCs w:val="18"/>
                <w:color w:val="auto"/>
                <w:vertAlign w:val="superscript"/>
              </w:rPr>
              <w:t>(g)</w:t>
            </w:r>
          </w:p>
        </w:tc>
        <w:tc>
          <w:tcPr>
            <w:tcW w:w="116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20" w:type="dxa"/>
            <w:vAlign w:val="bottom"/>
          </w:tcPr>
          <w:p>
            <w:pPr>
              <w:spacing w:after="0"/>
              <w:rPr>
                <w:sz w:val="15"/>
                <w:szCs w:val="15"/>
                <w:color w:val="auto"/>
              </w:rPr>
            </w:pPr>
          </w:p>
        </w:tc>
      </w:tr>
      <w:tr>
        <w:trPr>
          <w:trHeight w:val="196"/>
        </w:trPr>
        <w:tc>
          <w:tcPr>
            <w:tcW w:w="3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Adjusted EBITDA</w:t>
            </w:r>
          </w:p>
        </w:tc>
        <w:tc>
          <w:tcPr>
            <w:tcW w:w="1160" w:type="dxa"/>
            <w:vAlign w:val="bottom"/>
            <w:tcBorders>
              <w:top w:val="single" w:sz="8" w:color="auto"/>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8,280</w:t>
            </w:r>
          </w:p>
        </w:tc>
        <w:tc>
          <w:tcPr>
            <w:tcW w:w="20" w:type="dxa"/>
            <w:vAlign w:val="bottom"/>
          </w:tcPr>
          <w:p>
            <w:pPr>
              <w:spacing w:after="0"/>
              <w:rPr>
                <w:sz w:val="16"/>
                <w:szCs w:val="16"/>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55" w:lineRule="exact"/>
        <w:rPr>
          <w:sz w:val="20"/>
          <w:szCs w:val="20"/>
          <w:color w:val="auto"/>
        </w:rPr>
      </w:pPr>
    </w:p>
    <w:p>
      <w:pPr>
        <w:jc w:val="both"/>
        <w:ind w:left="520" w:right="20" w:hanging="260"/>
        <w:spacing w:after="0" w:line="251" w:lineRule="auto"/>
        <w:tabs>
          <w:tab w:leader="none" w:pos="513"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investment income related to short-term investments included in our consolidated statement of operations. Effective for the year ended June 30, 2024 and going forward, the Company has revised the calculation for Adjusted EBITDA to reflect the impact of investment income. The presentation for the three and six months ended December 31, 2023 has been recast to reflect the impact of other investment income.</w:t>
      </w:r>
    </w:p>
    <w:p>
      <w:pPr>
        <w:spacing w:after="0" w:line="29" w:lineRule="exact"/>
        <w:rPr>
          <w:rFonts w:ascii="Times New Roman" w:cs="Times New Roman" w:eastAsia="Times New Roman" w:hAnsi="Times New Roman"/>
          <w:sz w:val="13"/>
          <w:szCs w:val="13"/>
          <w:color w:val="auto"/>
        </w:rPr>
      </w:pPr>
    </w:p>
    <w:p>
      <w:pPr>
        <w:jc w:val="both"/>
        <w:ind w:left="520" w:right="20" w:hanging="260"/>
        <w:spacing w:after="0" w:line="248" w:lineRule="auto"/>
        <w:tabs>
          <w:tab w:leader="none" w:pos="5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charges/(credits) related to litigation by stockholders, litigation related to de novo center, and civil investigative demands. Refer to Note 9, "Commitments and Contingencies" to our condensed consolidated financial statements for more information regarding litigation by stockholders and civil investigative demands.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ind w:left="500" w:hanging="240"/>
        <w:spacing w:after="0"/>
        <w:tabs>
          <w:tab w:leader="none" w:pos="5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charges related to M&amp;A transaction and integrations. The presentation for the three and six months ended December 31, 2023 has been recast to no longer exclude de novo center development costs.</w:t>
      </w:r>
    </w:p>
    <w:p>
      <w:pPr>
        <w:spacing w:after="0" w:line="1" w:lineRule="exact"/>
        <w:rPr>
          <w:rFonts w:ascii="Times New Roman" w:cs="Times New Roman" w:eastAsia="Times New Roman" w:hAnsi="Times New Roman"/>
          <w:sz w:val="13"/>
          <w:szCs w:val="13"/>
          <w:color w:val="auto"/>
        </w:rPr>
      </w:pPr>
    </w:p>
    <w:p>
      <w:pPr>
        <w:ind w:left="520" w:right="20" w:hanging="260"/>
        <w:spacing w:after="0" w:line="253" w:lineRule="auto"/>
        <w:tabs>
          <w:tab w:leader="none" w:pos="5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charges related to business optimization initiatives. Such charges relate to one-time investments in projects designed to enhance our technology and compliance systems and improve and support the efficiency and effectiveness of our operations.</w:t>
      </w: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520"/>
        <w:spacing w:after="0" w:line="247" w:lineRule="auto"/>
        <w:rPr>
          <w:sz w:val="20"/>
          <w:szCs w:val="20"/>
          <w:color w:val="auto"/>
        </w:rPr>
      </w:pPr>
      <w:r>
        <w:rPr>
          <w:rFonts w:ascii="Times New Roman" w:cs="Times New Roman" w:eastAsia="Times New Roman" w:hAnsi="Times New Roman"/>
          <w:sz w:val="13"/>
          <w:szCs w:val="13"/>
          <w:color w:val="auto"/>
        </w:rPr>
        <w:t>For the three months ended December 31, 2024, this primarily includes costs related to other non-recurring projects aimed at reducing costs and improving efficiencies. For the six months ended December 31, 2024, this includes (i) $0.4 million of costs associated with organizational restructure and (ii) $0.3 million related to other non-recurring projects aimed at reducing costs and improving efficiencies. For the three months ended December 31, 2023, this includes (i) $0.4 million of costs associated with third party consultants as we implement our core provider initiatives, assess our risk-bearing capabilities, and strengthen our enterprise capabilities and (ii) $0.4 million related to other non-recurring projects aimed at reducing costs and improving efficiencies. For the six months ended December 31,2023, this includes (i) $2.2 million of costs associated with third party consultants as we implement our core provider initiatives, assess our risk-bearing capabilities, and strengthen our enterprise capabilities, (ii) $0.3 million of costs associated with organizational restructure, and (iii) $0.4 million related to other non-recurring projects aimed at reducing costs and improving efficiencies.</w:t>
      </w:r>
    </w:p>
    <w:p>
      <w:pPr>
        <w:spacing w:after="0" w:line="3" w:lineRule="exact"/>
        <w:rPr>
          <w:sz w:val="20"/>
          <w:szCs w:val="20"/>
          <w:color w:val="auto"/>
        </w:rPr>
      </w:pPr>
    </w:p>
    <w:p>
      <w:pPr>
        <w:ind w:left="500" w:hanging="240"/>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non-recurring expenses relating to the implementation of a new EMR vendor.</w:t>
      </w:r>
    </w:p>
    <w:p>
      <w:pPr>
        <w:spacing w:after="0" w:line="1" w:lineRule="exact"/>
        <w:rPr>
          <w:rFonts w:ascii="Times New Roman" w:cs="Times New Roman" w:eastAsia="Times New Roman" w:hAnsi="Times New Roman"/>
          <w:sz w:val="13"/>
          <w:szCs w:val="13"/>
          <w:color w:val="auto"/>
        </w:rPr>
      </w:pPr>
    </w:p>
    <w:p>
      <w:pPr>
        <w:ind w:left="520" w:hanging="260"/>
        <w:spacing w:after="0" w:line="256" w:lineRule="auto"/>
        <w:tabs>
          <w:tab w:leader="none" w:pos="5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Reflects impairment charges related to ROU asset and construction in progress </w:t>
      </w:r>
      <w:r>
        <w:rPr>
          <w:rFonts w:ascii="Times New Roman" w:cs="Times New Roman" w:eastAsia="Times New Roman" w:hAnsi="Times New Roman"/>
          <w:sz w:val="14"/>
          <w:szCs w:val="14"/>
          <w:color w:val="auto"/>
        </w:rPr>
        <w:t>related to halting developments to a previously planned de novo center in Louisville, Kentucky that the Company is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no longer pursuing</w:t>
      </w:r>
      <w:r>
        <w:rPr>
          <w:rFonts w:ascii="Times New Roman" w:cs="Times New Roman" w:eastAsia="Times New Roman" w:hAnsi="Times New Roman"/>
          <w:sz w:val="12"/>
          <w:szCs w:val="12"/>
          <w:color w:val="auto"/>
        </w:rPr>
        <w:t>.</w:t>
      </w:r>
    </w:p>
    <w:p>
      <w:pPr>
        <w:ind w:left="520" w:hanging="260"/>
        <w:spacing w:after="0"/>
        <w:tabs>
          <w:tab w:leader="none" w:pos="5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impairment charges related to our minority equity interest in Jetdoc, Inc.</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To date, we have financed our operations principally through cash flows from operations and through borrowings under our credit facilities, and from the sale of common stock in our IPO that occurred in March 2021. As of December 31, 2024, we had cash and cash equivalents of $46.1 million, a decrease of $10.8 million from June 30, 2024. The decrease in cash and cash equivalents was primarily due to timing of cash receipts for services provided and share repurchase activity. Our cash and cash equivalents primarily consist of highly liquid investments in demand deposit accounts and cash.</w:t>
      </w:r>
    </w:p>
    <w:p>
      <w:pPr>
        <w:spacing w:after="0" w:line="14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capital resources are generally used to fund (i) debt service requirements, the majority of which relate to the quarterly principal payments of the Term Loan Facility (as defined below) due 2026, (ii) finance and operating lease obligations, which are generally paid on a monthly basis and include maturities through 2028 and 2032, respectively, (iii) the operations of our business, (iv) income tax payments, which are generally due on a quarterly and annual basis, (v) capital additions, which include acquisitions and de novo centers, and (vi) share repurchases authorized under the Board approved program. We also plan to continue investing in resources and initiatives to provide necessary and quality services to our participants. Collectively, these obligations are expected to represent a significant liquidity requirement of our Company on both a short-term (next 12 months) and long-term (beyond 12 months) basis.</w:t>
      </w:r>
    </w:p>
    <w:p>
      <w:pPr>
        <w:spacing w:after="0" w:line="14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2024, we had $64.1 million of long-term debt outstanding. As of December 31, 2024, we had future minimum operating lease payments under non-cancellable leases through the year 2037 of $38.8 million. We also had non-cancellable finance lease agreements with third parties through the year 2028 with future minimum payments of $19.5 million. For additional information, see Note 7, “Leases”, Note 8, “Long-Term Debt”, and Note 9, “Commitments and Contingencies” in our condensed consolidated financial statements.</w:t>
      </w:r>
    </w:p>
    <w:p>
      <w:pPr>
        <w:spacing w:after="0" w:line="13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believe that our cash and cash equivalents and our cash flows from operations, available funds, and access to financing sources, including our Revolving Credit Facility (each discussed and defined below), will be sufficient to fund our operating and capital needs for the next 12 months and beyond.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our ability to retain and grow the number of PACE participants, and the expansion of sales and marketing activities and other costs of operating the business. 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4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March 8, 2021, the Company entered into a credit agreement (as amended, the "2021 Credit Agreement") that consists of a senior secured term loan (the “Term Loan Facility”) of $75.0 million principal amount and a revolving credit facility (the “Revolving Credit Facility”) of $100.0 million maximum borrowing capacity. The borrowing capacity under the Revolving Credit Facility is subject (i) any issued amounts under our letters of credit and (ii) applicable covenant compliance restrictions and any other conditions precedent to borrowing. Principal on the Term Loan Facility is paid each calendar quarter in an amount equal to 1.25% of the initial term loan on closing date.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Outstanding principal amounts under the 2021 Credit Agreement accrue interest at a variable interest rate. As of December 31, 2024, the interest rate on the Term Loan Facility was 6.94%. Under the terms of the 2021 Credit Agreement, the Revolving Credit Facility fee accrues at 0.25% of the average daily unused amount and is paid quarterly. As of December 31, 2024, we had no borrowings outstanding, $5.2 million of letters of credit issued, and $94.8 million of remaining borrowing capacity under the Revolving Credit Facility. As of December 31, 2024, we also had $2.2 million principal amount outstanding under our convertible term loan. Monthly principal and interest payments for the convertible term loan are approximately $0.02 million, and the loan bears interest at an annual rate of 6.68%. The remaining principal balance is due upon maturity, which is August 20, 2030.</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more information about our debt, see Note 8 “Long-Term Debt” to our condensed consolidated financial statements.</w:t>
      </w:r>
    </w:p>
    <w:p>
      <w:pPr>
        <w:spacing w:after="0" w:line="17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Other than with respect to share repurchases, we currently intend to retain substantially all available funds and any future earnings to fund the development and growth of our business and to repay indebtedness, and do not anticipate paying any cash dividends in the foreseeable future.</w:t>
      </w:r>
    </w:p>
    <w:p>
      <w:pPr>
        <w:spacing w:after="0" w:line="1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Condensed Consolidated Statements of Cash Flows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condensed consolidated statements of cash flows for the six months ended December 31, 2024 and 2023 are summarized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Six months ended December 31,</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2"/>
        </w:trPr>
        <w:tc>
          <w:tcPr>
            <w:tcW w:w="66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50"/>
        </w:trPr>
        <w:tc>
          <w:tcPr>
            <w:tcW w:w="666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i w:val="1"/>
                <w:iCs w:val="1"/>
                <w:color w:val="auto"/>
              </w:rPr>
              <w:t>in thousands</w:t>
            </w: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41,516</w:t>
            </w:r>
          </w:p>
        </w:tc>
      </w:tr>
      <w:tr>
        <w:trPr>
          <w:trHeight w:val="180"/>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27,862</w:t>
            </w: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(11,716)</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(7,078)</w:t>
            </w:r>
          </w:p>
        </w:tc>
      </w:tr>
      <w:tr>
        <w:trPr>
          <w:trHeight w:val="171"/>
        </w:trPr>
        <w:tc>
          <w:tcPr>
            <w:tcW w:w="6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9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(10,869)</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(73,169)</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62,300</w:t>
            </w:r>
          </w:p>
        </w:tc>
      </w:tr>
      <w:tr>
        <w:trPr>
          <w:trHeight w:val="20"/>
        </w:trPr>
        <w:tc>
          <w:tcPr>
            <w:tcW w:w="6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Operating Activities. </w:t>
      </w:r>
      <w:r>
        <w:rPr>
          <w:rFonts w:ascii="Times New Roman" w:cs="Times New Roman" w:eastAsia="Times New Roman" w:hAnsi="Times New Roman"/>
          <w:sz w:val="14"/>
          <w:szCs w:val="14"/>
          <w:color w:val="auto"/>
        </w:rPr>
        <w:t>The change in net cash used in operating activities for the six months ended December 31, 2024 compared to the six months ended December 31, 2023 was primarily due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net effect of (i) net loss of $19.2 million in the current year period compared to a net loss of $14.8 million in the prior year period, as described further above, and (ii) a decrease in accounts receivable primarily attributable to the timing of receipt of payments for certain Medicaid receivables.</w:t>
      </w:r>
    </w:p>
    <w:p>
      <w:pPr>
        <w:spacing w:after="0" w:line="13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Investing Activities. </w:t>
      </w:r>
      <w:r>
        <w:rPr>
          <w:rFonts w:ascii="Times New Roman" w:cs="Times New Roman" w:eastAsia="Times New Roman" w:hAnsi="Times New Roman"/>
          <w:sz w:val="14"/>
          <w:szCs w:val="14"/>
          <w:color w:val="auto"/>
        </w:rPr>
        <w:t>The change in net cash provided by (used in) investing activities for the six months ended December 31, 2024 compared to the six months ended December 31, 2023 was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due to the effect of (i) the $23.9 million acquisition of the two de novo centers acquired from Concerto in the prior year period and (ii) a $3.3 million increase in proceeds from the sale of short-term investments in the current year period compared to the prior year period.</w:t>
      </w:r>
    </w:p>
    <w:p>
      <w:pPr>
        <w:spacing w:after="0" w:line="13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Financing activities. </w:t>
      </w:r>
      <w:r>
        <w:rPr>
          <w:rFonts w:ascii="Times New Roman" w:cs="Times New Roman" w:eastAsia="Times New Roman" w:hAnsi="Times New Roman"/>
          <w:sz w:val="14"/>
          <w:szCs w:val="14"/>
          <w:color w:val="auto"/>
        </w:rPr>
        <w:t>The increase in net cash used in financing activities for the six months ended December 31, 2024 compared to the six months ended December 31, 2023 was primarily due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$5.9 million used for the repurchase of the Company's stock in the current year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Emerging Growth Company and Smaller Reporting Company</w:t>
      </w:r>
    </w:p>
    <w:p>
      <w:pPr>
        <w:spacing w:after="0" w:line="18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qualify as an “emerging growth company” pursuant to the provisions of the Jumpstart Our Business Startups (“JOBS”) Act and a “smaller reporting company” as defined by the Exchange Act. For as long as we are an “emerging growth company” or a “smaller reporting company,” we may take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requirements of holding non-binding advisory “say-on-pay” votes on executive compensation and stockholder advisory votes on golden parachute compensation.</w:t>
      </w:r>
    </w:p>
    <w:p>
      <w:pPr>
        <w:spacing w:after="0" w:line="17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discussion and analysis of our financial condition and results of operations are based upon our condensed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condensed consolidated financial statements and the reported amounts of revenues and expenses during the reporting period. Actual results may differ from these estimates under different assumptions or conditions, impacting our reported results of operations and financial condition.</w:t>
      </w:r>
    </w:p>
    <w:p>
      <w:pPr>
        <w:spacing w:after="0" w:line="1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Certain accounting estimates involve significant judgments and assumptions by management, which have a material impact on the carrying value of assets and liabilities and the recognition of income and expenses. We consider these accounting estimates to be critical accounting estimates. The estimates and assumptions used by management are based on historical experience and other factors, which are believed to be reasonable under the circumstances.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 description of our estimates regarding our critical accounting estimates, see “Critical Accounting Estimates” in the 2024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18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As of December 31, 2024, we had total outstanding debt of $61.9 million in principal amount under the Term Loan Facility, $2.2 million under the convertible term loan, and no outstanding debt under the Revolving Credit Facility (each as defined in Note 8, “Long-Term Debt” to our condensed consolidated financial statements). As of June 30, 2024, we had total outstanding debt of $63.8 million in principal amount under the Term Loan Facility and $2.2 million under the convertible term loan. As of December 31, 2024, the interest rate on the Term Loan Facility was 6.94%. We are exposed to changes in interest rates as a result of our variable-rate borrowings under the 2021 Credit Agreement. Generally, the Company may designate specific borrowings under the 2021 Credit Agreement as either base rate borrowings or Secured Overnight Financing Rate (“SOFR”) borrowings. We amended our 2021 Credit Agreement during fiscal year 2024 to replace the London Interbank Offered Rate (“LIBOR”) reference rate with SOFR prior to the discontinuance of LIBOR. As of December 31, 2024, based on our secured net leverage ratio, the margins of our borrowings under the Term Loan Facility and Revolving Credit Facility (as defined in Note 8, “Long-Term Debt” to our condensed consolidated financial statements) were all SOFR borrowings.</w:t>
      </w:r>
    </w:p>
    <w:p>
      <w:pPr>
        <w:spacing w:after="0" w:line="14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had cash and cash equivalents of $46.1 million and $56.9 million as of December 31, 2024 and June 30, 2024, respectively, which are deposited with high credit quality financial institutions and are primarily in demand deposit accounts.</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cash and cash equivalents and interest payments in respect of our debt are subject to market risk due to changes in interest rates. We do not believe that an increase or decrease in interest rates of 100 basis points would have a material effect on our business, financial condition or results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had short-term investments of $40.8 million and $45.8 million as of December 31, 2024 and June 30, 2024, respectively, which are primarily invested in managed income funds managed by major financial institutions. The funds mainly invest in investment grade, U.S. denominated short-term fixed and floating rate debt securities. Securities are subject to market risk and sensitive to changes in interest rates. While the instruments held by the funds are generally less sensitive to interest rate changes than instruments with longer maturities due to their short-term nature, the funds may face a heightened level of interest rate risk due to changes in monetary policy. During periods when interest rates are low or negative, the funds yields, and total returns may also be low, or the funds may be unable to maintain positive returns. We do not believe that an increase or decrease in interest rates of 100 basis points would have a material effect on these short-term investments.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Inflation risk</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Evaluation of Disclosure Controls and Procedures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have concluded that our disclosure controls and procedures were effective as of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Changes in Internal Control Over Financial Reporting</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have been no changes in internal control over financial reporting during the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For information regarding our material pending legal proceedings, refer to Note 9 “Commitments and Contingencies” to our Condensed Consolidated Financial Statements located in Item 1 of Part I of this Quarterly Report on Form 10-Q.</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Information regarding our risk factors is disclosed in Item 1A of our 2024 </w:t>
      </w:r>
      <w:r>
        <w:rPr>
          <w:rFonts w:ascii="Times New Roman" w:cs="Times New Roman" w:eastAsia="Times New Roman" w:hAnsi="Times New Roman"/>
          <w:sz w:val="14"/>
          <w:szCs w:val="14"/>
          <w:color w:val="212529"/>
        </w:rPr>
        <w:t>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12529"/>
        </w:rPr>
        <w:t>Issuer Purchases of Equity Securities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212529"/>
        </w:rPr>
        <w:t>Stock repurchases during the three months ended December 31, 2024 were as follow:</w:t>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Approximate Dollar Value of</w:t>
            </w:r>
          </w:p>
        </w:tc>
      </w:tr>
      <w:tr>
        <w:trPr>
          <w:trHeight w:val="159"/>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jc w:val="center"/>
              <w:ind w:right="29"/>
              <w:spacing w:after="0" w:line="159" w:lineRule="exact"/>
              <w:rPr>
                <w:sz w:val="20"/>
                <w:szCs w:val="20"/>
                <w:color w:val="auto"/>
              </w:rPr>
            </w:pPr>
            <w:r>
              <w:rPr>
                <w:rFonts w:ascii="Times New Roman" w:cs="Times New Roman" w:eastAsia="Times New Roman" w:hAnsi="Times New Roman"/>
                <w:sz w:val="14"/>
                <w:szCs w:val="14"/>
                <w:b w:val="1"/>
                <w:bCs w:val="1"/>
                <w:color w:val="auto"/>
                <w:w w:val="99"/>
              </w:rPr>
              <w:t>Shares that May Yet Be</w:t>
            </w:r>
          </w:p>
        </w:tc>
      </w:tr>
      <w:tr>
        <w:trPr>
          <w:trHeight w:val="156"/>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jc w:val="right"/>
              <w:ind w:right="209"/>
              <w:spacing w:after="0" w:line="156"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jc w:val="center"/>
              <w:ind w:right="29"/>
              <w:spacing w:after="0" w:line="156"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211"/>
        </w:trPr>
        <w:tc>
          <w:tcPr>
            <w:tcW w:w="232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2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8"/>
                <w:szCs w:val="18"/>
                <w:b w:val="1"/>
                <w:bCs w:val="1"/>
                <w:color w:val="auto"/>
                <w:vertAlign w:val="superscript"/>
              </w:rPr>
              <w:t>(a)</w:t>
            </w:r>
          </w:p>
        </w:tc>
        <w:tc>
          <w:tcPr>
            <w:tcW w:w="100" w:type="dxa"/>
            <w:vAlign w:val="bottom"/>
          </w:tcPr>
          <w:p>
            <w:pPr>
              <w:spacing w:after="0"/>
              <w:rPr>
                <w:sz w:val="18"/>
                <w:szCs w:val="18"/>
                <w:color w:val="auto"/>
              </w:rPr>
            </w:pPr>
          </w:p>
        </w:tc>
        <w:tc>
          <w:tcPr>
            <w:tcW w:w="2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r>
              <w:rPr>
                <w:rFonts w:ascii="Times New Roman" w:cs="Times New Roman" w:eastAsia="Times New Roman" w:hAnsi="Times New Roman"/>
                <w:sz w:val="18"/>
                <w:szCs w:val="18"/>
                <w:b w:val="1"/>
                <w:bCs w:val="1"/>
                <w:color w:val="auto"/>
                <w:vertAlign w:val="superscript"/>
              </w:rPr>
              <w:t>(b)</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Announced Plans or Programs</w:t>
            </w:r>
            <w:r>
              <w:rPr>
                <w:rFonts w:ascii="Times New Roman" w:cs="Times New Roman" w:eastAsia="Times New Roman" w:hAnsi="Times New Roman"/>
                <w:sz w:val="18"/>
                <w:szCs w:val="18"/>
                <w:b w:val="1"/>
                <w:bCs w:val="1"/>
                <w:color w:val="auto"/>
                <w:w w:val="98"/>
                <w:vertAlign w:val="superscript"/>
              </w:rPr>
              <w:t>(a)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5"/>
              </w:rPr>
              <w:t>Programs</w:t>
            </w:r>
            <w:r>
              <w:rPr>
                <w:rFonts w:ascii="Times New Roman" w:cs="Times New Roman" w:eastAsia="Times New Roman" w:hAnsi="Times New Roman"/>
                <w:sz w:val="18"/>
                <w:szCs w:val="18"/>
                <w:b w:val="1"/>
                <w:bCs w:val="1"/>
                <w:color w:val="auto"/>
                <w:w w:val="95"/>
                <w:vertAlign w:val="superscript"/>
              </w:rPr>
              <w:t>(a)</w:t>
            </w:r>
          </w:p>
        </w:tc>
      </w:tr>
      <w:tr>
        <w:trPr>
          <w:trHeight w:val="192"/>
        </w:trPr>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1 - 31, 2024</w:t>
            </w:r>
          </w:p>
        </w:tc>
        <w:tc>
          <w:tcPr>
            <w:tcW w:w="10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74,516</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tcBorders>
              <w:top w:val="single" w:sz="8" w:color="CCEEFF"/>
            </w:tcBorders>
            <w:shd w:val="clear" w:color="auto" w:fill="CCEEFF"/>
          </w:tcPr>
          <w:p>
            <w:pPr>
              <w:spacing w:after="0"/>
              <w:rPr>
                <w:sz w:val="16"/>
                <w:szCs w:val="16"/>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435,089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2,012,342</w:t>
            </w:r>
          </w:p>
        </w:tc>
      </w:tr>
      <w:tr>
        <w:trPr>
          <w:trHeight w:val="193"/>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1 - 30, 2024</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41,594</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6"/>
                <w:szCs w:val="16"/>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1,784,484</w:t>
            </w:r>
          </w:p>
        </w:tc>
      </w:tr>
      <w:tr>
        <w:trPr>
          <w:trHeight w:val="210"/>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1 - 31, 2024</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83,813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376,372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1,408,112</w:t>
            </w:r>
          </w:p>
        </w:tc>
      </w:tr>
      <w:tr>
        <w:trPr>
          <w:trHeight w:val="183"/>
        </w:trPr>
        <w:tc>
          <w:tcPr>
            <w:tcW w:w="2320" w:type="dxa"/>
            <w:vAlign w:val="bottom"/>
            <w:gridSpan w:val="2"/>
          </w:tcPr>
          <w:p>
            <w:pPr>
              <w:ind w:left="1920"/>
              <w:spacing w:after="0"/>
              <w:rPr>
                <w:sz w:val="20"/>
                <w:szCs w:val="20"/>
                <w:color w:val="auto"/>
              </w:rPr>
            </w:pPr>
            <w:r>
              <w:rPr>
                <w:rFonts w:ascii="Times New Roman" w:cs="Times New Roman" w:eastAsia="Times New Roman" w:hAnsi="Times New Roman"/>
                <w:sz w:val="14"/>
                <w:szCs w:val="14"/>
                <w:color w:val="auto"/>
              </w:rPr>
              <w:t>Total</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199,923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1,039,319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1"/>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___________________________________</w:t>
      </w:r>
    </w:p>
    <w:p>
      <w:pPr>
        <w:spacing w:after="0" w:line="3" w:lineRule="exact"/>
        <w:rPr>
          <w:sz w:val="20"/>
          <w:szCs w:val="20"/>
          <w:color w:val="auto"/>
        </w:rPr>
      </w:pPr>
    </w:p>
    <w:p>
      <w:pPr>
        <w:jc w:val="both"/>
        <w:ind w:left="260" w:hanging="255"/>
        <w:spacing w:after="0" w:line="217" w:lineRule="auto"/>
        <w:tabs>
          <w:tab w:leader="none" w:pos="256"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June 10, 2024, the Company’s Board of Directors announced the approval of a share repurchase program authorizing the repurchase of up to $5.0 million of the Company’s common stock, with no expiration date. On September 26, 2024, the Board announced the authorization of an additional $2.5 million shares of the Company's common stock available for repurchase under the program. For further information regarding stock repurchase activity, see Note 16. "Share Repurchase Program" to our Condensed Consolidated Financial Statements located in Item I of Part I of this Quarterly Report on Form 10-Q.</w:t>
      </w:r>
    </w:p>
    <w:p>
      <w:pPr>
        <w:spacing w:after="0" w:line="1" w:lineRule="exact"/>
        <w:rPr>
          <w:rFonts w:ascii="Times New Roman" w:cs="Times New Roman" w:eastAsia="Times New Roman" w:hAnsi="Times New Roman"/>
          <w:sz w:val="17"/>
          <w:szCs w:val="17"/>
          <w:color w:val="auto"/>
          <w:vertAlign w:val="superscript"/>
        </w:rPr>
      </w:pPr>
    </w:p>
    <w:p>
      <w:pPr>
        <w:ind w:left="240" w:hanging="235"/>
        <w:spacing w:after="0" w:line="185" w:lineRule="auto"/>
        <w:tabs>
          <w:tab w:leader="none" w:pos="24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Average price paid per share does not include costs associated with the repurchases.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list of all exhibits filed or furnished as part of this report: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500" w:type="dxa"/>
            <w:vAlign w:val="bottom"/>
            <w:gridSpan w:val="17"/>
          </w:tcPr>
          <w:p>
            <w:pPr>
              <w:ind w:left="13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99"/>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24"/>
                <w:szCs w:val="24"/>
                <w:color w:val="auto"/>
              </w:rPr>
            </w:pPr>
          </w:p>
        </w:tc>
        <w:tc>
          <w:tcPr>
            <w:tcW w:w="9820" w:type="dxa"/>
            <w:vAlign w:val="bottom"/>
            <w:gridSpan w:val="18"/>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3"/>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No.</w:t>
            </w:r>
          </w:p>
        </w:tc>
        <w:tc>
          <w:tcPr>
            <w:tcW w:w="20" w:type="dxa"/>
            <w:vAlign w:val="bottom"/>
          </w:tcPr>
          <w:p>
            <w:pPr>
              <w:spacing w:after="0"/>
              <w:rPr>
                <w:sz w:val="13"/>
                <w:szCs w:val="13"/>
                <w:color w:val="auto"/>
              </w:rPr>
            </w:pPr>
          </w:p>
        </w:tc>
        <w:tc>
          <w:tcPr>
            <w:tcW w:w="9820" w:type="dxa"/>
            <w:vAlign w:val="bottom"/>
            <w:gridSpan w:val="1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1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540" w:type="dxa"/>
            <w:vAlign w:val="bottom"/>
            <w:tcBorders>
              <w:top w:val="single" w:sz="8" w:color="auto"/>
              <w:bottom w:val="single" w:sz="8" w:color="0000FF"/>
            </w:tcBorders>
            <w:gridSpan w:val="13"/>
          </w:tcPr>
          <w:p>
            <w:pPr>
              <w:spacing w:after="0"/>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Second Amended and Restated Certificate of Incorporation of InnovAge Holding Corp., filed March 3, 2021 (incorporated by reference to Exhibit 3.1 to the Company’s</w:t>
              </w:r>
            </w:hyperlink>
          </w:p>
        </w:tc>
        <w:tc>
          <w:tcPr>
            <w:tcW w:w="280" w:type="dxa"/>
            <w:vAlign w:val="bottom"/>
            <w:tcBorders>
              <w:top w:val="single" w:sz="8" w:color="auto"/>
            </w:tcBorders>
            <w:gridSpan w:val="5"/>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40" w:type="dxa"/>
            <w:vAlign w:val="bottom"/>
            <w:tcBorders>
              <w:bottom w:val="single" w:sz="8" w:color="0000FF"/>
            </w:tcBorders>
            <w:gridSpan w:val="2"/>
          </w:tcPr>
          <w:p>
            <w:pPr>
              <w:spacing w:after="0" w:line="150" w:lineRule="exact"/>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Current Report on Form 8-K filed with the SEC on March 8, 2021).</w:t>
              </w:r>
            </w:hyperlink>
          </w:p>
        </w:tc>
        <w:tc>
          <w:tcPr>
            <w:tcW w:w="598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Certificate of Amendment to the Second Amended and Restated Certificate of Incorporation of InnovAge Holding Corp.</w:t>
            </w:r>
          </w:p>
        </w:tc>
        <w:tc>
          <w:tcPr>
            <w:tcW w:w="29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Amended and Restated Bylaws of InnovAge Holding Corp., effective March 3, 2021 (incorporated by reference to Exhibit 3.2 to the Company’s Current Report on Form 8-</w:t>
              </w:r>
            </w:hyperlink>
          </w:p>
        </w:tc>
        <w:tc>
          <w:tcPr>
            <w:tcW w:w="0" w:type="dxa"/>
            <w:vAlign w:val="bottom"/>
          </w:tcPr>
          <w:p>
            <w:pPr>
              <w:spacing w:after="0"/>
              <w:rPr>
                <w:sz w:val="1"/>
                <w:szCs w:val="1"/>
                <w:color w:val="auto"/>
              </w:rPr>
            </w:pPr>
          </w:p>
        </w:tc>
      </w:tr>
      <w:tr>
        <w:trPr>
          <w:trHeight w:val="150"/>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2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K filed with the SEC on March 8, 2021).</w:t>
              </w:r>
            </w:hyperlink>
          </w:p>
        </w:tc>
        <w:tc>
          <w:tcPr>
            <w:tcW w:w="7420" w:type="dxa"/>
            <w:vAlign w:val="bottom"/>
            <w:tcBorders>
              <w:top w:val="single" w:sz="8" w:color="0000FF"/>
            </w:tcBorders>
            <w:gridSpan w:val="14"/>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Employment Agreement, dated October 31, 2024, by and between Total Community Options, Inc. and Michael Scarbrough (incorporated by reference to Exhibit 10.1 to the</w:t>
              </w:r>
            </w:hyperlink>
          </w:p>
        </w:tc>
        <w:tc>
          <w:tcPr>
            <w:tcW w:w="0" w:type="dxa"/>
            <w:vAlign w:val="bottom"/>
          </w:tcPr>
          <w:p>
            <w:pPr>
              <w:spacing w:after="0"/>
              <w:rPr>
                <w:sz w:val="1"/>
                <w:szCs w:val="1"/>
                <w:color w:val="auto"/>
              </w:rPr>
            </w:pPr>
          </w:p>
        </w:tc>
      </w:tr>
      <w:tr>
        <w:trPr>
          <w:trHeight w:val="139"/>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16"/>
          </w:tcPr>
          <w:p>
            <w:pPr>
              <w:spacing w:after="0" w:line="139" w:lineRule="exact"/>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Company's Current Report on Form 8-K filed with the SEC on November 4, 2024).</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Class B Unit Award Agreement, effective November 4, 2024, by and between TCO Group Holdings, L.P. and Michael Scarbrough (incorporated by reference to Exhibit 10.2</w:t>
              </w:r>
            </w:hyperlink>
          </w:p>
        </w:tc>
        <w:tc>
          <w:tcPr>
            <w:tcW w:w="0" w:type="dxa"/>
            <w:vAlign w:val="bottom"/>
          </w:tcPr>
          <w:p>
            <w:pPr>
              <w:spacing w:after="0"/>
              <w:rPr>
                <w:sz w:val="1"/>
                <w:szCs w:val="1"/>
                <w:color w:val="auto"/>
              </w:rPr>
            </w:pPr>
          </w:p>
        </w:tc>
      </w:tr>
      <w:tr>
        <w:trPr>
          <w:trHeight w:val="139"/>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tcBorders>
              <w:top w:val="single" w:sz="8" w:color="0000FF"/>
            </w:tcBorders>
            <w:gridSpan w:val="17"/>
          </w:tcPr>
          <w:p>
            <w:pPr>
              <w:spacing w:after="0" w:line="139" w:lineRule="exact"/>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to the Company's Current Report on Form 8-K filed with the SEC on November 4, 2024).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8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Transition and Separation Agreement, dated as of October 31, 2024, by and between Total Community Options, Inc. and Christine Bent (incorporated by reference to</w:t>
              </w:r>
            </w:hyperlink>
          </w:p>
        </w:tc>
        <w:tc>
          <w:tcPr>
            <w:tcW w:w="0" w:type="dxa"/>
            <w:vAlign w:val="bottom"/>
          </w:tcPr>
          <w:p>
            <w:pPr>
              <w:spacing w:after="0"/>
              <w:rPr>
                <w:sz w:val="1"/>
                <w:szCs w:val="1"/>
                <w:color w:val="auto"/>
              </w:rPr>
            </w:pPr>
          </w:p>
        </w:tc>
      </w:tr>
      <w:tr>
        <w:trPr>
          <w:trHeight w:val="139"/>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20" w:type="dxa"/>
            <w:vAlign w:val="bottom"/>
            <w:tcBorders>
              <w:top w:val="single" w:sz="8" w:color="0000FF"/>
              <w:bottom w:val="single" w:sz="8" w:color="0000FF"/>
            </w:tcBorders>
            <w:gridSpan w:val="8"/>
          </w:tcPr>
          <w:p>
            <w:pPr>
              <w:spacing w:after="0" w:line="139" w:lineRule="exact"/>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Exhibit 10.3 to the Company's Current Report on Form 8-K filed with the SEC on November 4, 2024).</w:t>
              </w:r>
            </w:hyperlink>
          </w:p>
        </w:tc>
        <w:tc>
          <w:tcPr>
            <w:tcW w:w="3540" w:type="dxa"/>
            <w:vAlign w:val="bottom"/>
            <w:tcBorders>
              <w:top w:val="single" w:sz="8" w:color="0000FF"/>
            </w:tcBorders>
            <w:gridSpan w:val="4"/>
          </w:tcPr>
          <w:p>
            <w:pPr>
              <w:spacing w:after="0"/>
              <w:rPr>
                <w:sz w:val="12"/>
                <w:szCs w:val="12"/>
                <w:color w:val="auto"/>
              </w:rPr>
            </w:pPr>
          </w:p>
        </w:tc>
        <w:tc>
          <w:tcPr>
            <w:tcW w:w="220" w:type="dxa"/>
            <w:vAlign w:val="bottom"/>
            <w:gridSpan w:val="2"/>
          </w:tcPr>
          <w:p>
            <w:pPr>
              <w:spacing w:after="0"/>
              <w:rPr>
                <w:sz w:val="12"/>
                <w:szCs w:val="12"/>
                <w:color w:val="auto"/>
              </w:rPr>
            </w:pPr>
          </w:p>
        </w:tc>
        <w:tc>
          <w:tcPr>
            <w:tcW w:w="2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320"/>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color w:val="0000FF"/>
                </w:rPr>
                <w:t>Amended Employment Agreement, dated as of October 31, 2024, by and between Total Community Options, Inc. and Patrick Blair (incorporated by reference to Exhibit</w:t>
              </w:r>
            </w:hyperlink>
          </w:p>
        </w:tc>
        <w:tc>
          <w:tcPr>
            <w:tcW w:w="0" w:type="dxa"/>
            <w:vAlign w:val="bottom"/>
          </w:tcPr>
          <w:p>
            <w:pPr>
              <w:spacing w:after="0"/>
              <w:rPr>
                <w:sz w:val="1"/>
                <w:szCs w:val="1"/>
                <w:color w:val="auto"/>
              </w:rPr>
            </w:pPr>
          </w:p>
        </w:tc>
      </w:tr>
      <w:tr>
        <w:trPr>
          <w:trHeight w:val="139"/>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14"/>
          </w:tcPr>
          <w:p>
            <w:pPr>
              <w:spacing w:after="0" w:line="139" w:lineRule="exact"/>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FF"/>
                </w:rPr>
                <w:t xml:space="preserve"> to the Company's Current Report on Form 8-K filed with the SEC on November 4, 2024).</w:t>
              </w:r>
            </w:hyperlink>
          </w:p>
        </w:tc>
        <w:tc>
          <w:tcPr>
            <w:tcW w:w="24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302 of the Sarbanes-Oxley Act of 2002</w:t>
            </w:r>
          </w:p>
        </w:tc>
        <w:tc>
          <w:tcPr>
            <w:tcW w:w="41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302 of the Sarbanes-Oxley Act of 2002</w:t>
            </w:r>
          </w:p>
        </w:tc>
        <w:tc>
          <w:tcPr>
            <w:tcW w:w="42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tcPr>
          <w:p>
            <w:pPr>
              <w:spacing w:after="0"/>
              <w:rPr>
                <w:sz w:val="24"/>
                <w:szCs w:val="24"/>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20"/>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20" w:type="dxa"/>
            <w:vAlign w:val="bottom"/>
          </w:tcPr>
          <w:p>
            <w:pPr>
              <w:spacing w:after="0"/>
              <w:rPr>
                <w:sz w:val="24"/>
                <w:szCs w:val="24"/>
                <w:color w:val="auto"/>
              </w:rPr>
            </w:pPr>
          </w:p>
        </w:tc>
        <w:tc>
          <w:tcPr>
            <w:tcW w:w="83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 Sarbanes-Oxley Act of 2002</w:t>
            </w:r>
          </w:p>
        </w:tc>
        <w:tc>
          <w:tcPr>
            <w:tcW w:w="14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460" w:right="80" w:hanging="1441"/>
        <w:spacing w:after="0" w:line="218" w:lineRule="auto"/>
        <w:tabs>
          <w:tab w:leader="none" w:pos="1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information from InnovAge Holding Corp's Quarterly Report on Form 10-Q for the quarter ended December 31, 2024 formatted in Inline XBRL (Extensible Business Reporting Language) includes: (i) the Condensed Consolidated Balance Sheets (unaudited), (ii) the Condensed Consolidated Statements of Operations (unaudited), (iii) the Condensed Consolidated Statements of Stockholders' Equity (unaudited), (iv) the Condensed Consolidated Statements of Cash Flows (unaudited), and</w:t>
      </w:r>
    </w:p>
    <w:p>
      <w:pPr>
        <w:spacing w:after="0" w:line="1" w:lineRule="exact"/>
        <w:rPr>
          <w:rFonts w:ascii="Times New Roman" w:cs="Times New Roman" w:eastAsia="Times New Roman" w:hAnsi="Times New Roman"/>
          <w:sz w:val="14"/>
          <w:szCs w:val="14"/>
          <w:color w:val="auto"/>
        </w:rPr>
      </w:pPr>
    </w:p>
    <w:p>
      <w:pPr>
        <w:ind w:left="1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 Notes to the Condensed Consolidated Financial Statements (unaudited).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144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in Inline XBRL and contained in Exhibit 101)</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51" w:lineRule="exact"/>
        <w:rPr>
          <w:sz w:val="20"/>
          <w:szCs w:val="20"/>
          <w:color w:val="auto"/>
        </w:rPr>
      </w:pPr>
    </w:p>
    <w:p>
      <w:pPr>
        <w:ind w:left="260" w:hanging="255"/>
        <w:spacing w:after="0"/>
        <w:tabs>
          <w:tab w:leader="none" w:pos="2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51" w:lineRule="exact"/>
        <w:rPr>
          <w:sz w:val="20"/>
          <w:szCs w:val="20"/>
          <w:color w:val="auto"/>
        </w:rPr>
      </w:pPr>
    </w:p>
    <w:p>
      <w:pPr>
        <w:ind w:left="260" w:hanging="255"/>
        <w:spacing w:after="0" w:line="287" w:lineRule="auto"/>
        <w:tabs>
          <w:tab w:leader="none" w:pos="2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and Exhibit 32.2 hereto are deemed “furnished” with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duly authorized.</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798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INNOVAGE HOLDING CORP.</w:t>
            </w:r>
          </w:p>
        </w:tc>
      </w:tr>
      <w:tr>
        <w:trPr>
          <w:trHeight w:val="373"/>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4, 2025</w:t>
            </w:r>
          </w:p>
        </w:tc>
        <w:tc>
          <w:tcPr>
            <w:tcW w:w="276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Benjamin C. Adams</w:t>
            </w:r>
          </w:p>
        </w:tc>
      </w:tr>
      <w:tr>
        <w:trPr>
          <w:trHeight w:val="191"/>
        </w:trPr>
        <w:tc>
          <w:tcPr>
            <w:tcW w:w="3280" w:type="dxa"/>
            <w:vAlign w:val="bottom"/>
          </w:tcPr>
          <w:p>
            <w:pPr>
              <w:spacing w:after="0"/>
              <w:rPr>
                <w:sz w:val="16"/>
                <w:szCs w:val="16"/>
                <w:color w:val="auto"/>
              </w:rPr>
            </w:pPr>
          </w:p>
        </w:tc>
        <w:tc>
          <w:tcPr>
            <w:tcW w:w="276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Name:</w:t>
            </w: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Benjamin C. Adams</w:t>
            </w:r>
          </w:p>
        </w:tc>
      </w:tr>
      <w:tr>
        <w:trPr>
          <w:trHeight w:val="177"/>
        </w:trPr>
        <w:tc>
          <w:tcPr>
            <w:tcW w:w="3280" w:type="dxa"/>
            <w:vAlign w:val="bottom"/>
          </w:tcPr>
          <w:p>
            <w:pPr>
              <w:spacing w:after="0"/>
              <w:rPr>
                <w:sz w:val="15"/>
                <w:szCs w:val="15"/>
                <w:color w:val="auto"/>
              </w:rPr>
            </w:pPr>
          </w:p>
        </w:tc>
        <w:tc>
          <w:tcPr>
            <w:tcW w:w="276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Title:</w:t>
            </w: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 (Duly Authorized Officer and Principal Financial and Accounting</w:t>
            </w:r>
          </w:p>
        </w:tc>
      </w:tr>
      <w:tr>
        <w:trPr>
          <w:trHeight w:val="184"/>
        </w:trPr>
        <w:tc>
          <w:tcPr>
            <w:tcW w:w="32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4"/>
                <w:szCs w:val="14"/>
                <w:color w:val="auto"/>
              </w:rPr>
              <w:t>Officer)</w:t>
            </w:r>
          </w:p>
        </w:tc>
      </w:tr>
      <w:tr>
        <w:trPr>
          <w:trHeight w:val="721"/>
        </w:trPr>
        <w:tc>
          <w:tcPr>
            <w:tcW w:w="3280" w:type="dxa"/>
            <w:vAlign w:val="bottom"/>
          </w:tcPr>
          <w:p>
            <w:pPr>
              <w:spacing w:after="0"/>
              <w:rPr>
                <w:sz w:val="24"/>
                <w:szCs w:val="24"/>
                <w:color w:val="auto"/>
              </w:rPr>
            </w:pPr>
          </w:p>
        </w:tc>
        <w:tc>
          <w:tcPr>
            <w:tcW w:w="276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49</w:t>
            </w:r>
          </w:p>
        </w:tc>
        <w:tc>
          <w:tcPr>
            <w:tcW w:w="5220" w:type="dxa"/>
            <w:vAlign w:val="bottom"/>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 of Sarbanes-Oxley Act of 2002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Patrick Blair, certify that:</w:t>
      </w:r>
    </w:p>
    <w:p>
      <w:pPr>
        <w:spacing w:after="0" w:line="94" w:lineRule="exact"/>
        <w:rPr>
          <w:sz w:val="20"/>
          <w:szCs w:val="20"/>
          <w:color w:val="auto"/>
        </w:rPr>
      </w:pPr>
    </w:p>
    <w:p>
      <w:pPr>
        <w:ind w:left="760" w:hanging="500"/>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InnovAge Holding Corp.;</w:t>
      </w:r>
    </w:p>
    <w:p>
      <w:pPr>
        <w:spacing w:after="0" w:line="93" w:lineRule="exact"/>
        <w:rPr>
          <w:rFonts w:ascii="Times New Roman" w:cs="Times New Roman" w:eastAsia="Times New Roman" w:hAnsi="Times New Roman"/>
          <w:sz w:val="14"/>
          <w:szCs w:val="14"/>
          <w:color w:val="auto"/>
        </w:rPr>
      </w:pPr>
    </w:p>
    <w:p>
      <w:pPr>
        <w:ind w:left="760" w:right="480" w:hanging="500"/>
        <w:spacing w:after="0" w:line="287" w:lineRule="auto"/>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760" w:right="560" w:hanging="500"/>
        <w:spacing w:after="0" w:line="287" w:lineRule="auto"/>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760" w:right="120" w:hanging="500"/>
        <w:spacing w:after="0" w:line="287" w:lineRule="auto"/>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jc w:val="both"/>
        <w:ind w:left="1280" w:right="100" w:hanging="511"/>
        <w:spacing w:after="0" w:line="270" w:lineRule="auto"/>
        <w:tabs>
          <w:tab w:leader="none" w:pos="1278"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jc w:val="both"/>
        <w:ind w:left="1280" w:right="320" w:hanging="511"/>
        <w:spacing w:after="0" w:line="270" w:lineRule="auto"/>
        <w:tabs>
          <w:tab w:leader="none" w:pos="1275"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1280" w:right="140" w:hanging="511"/>
        <w:spacing w:after="0" w:line="287" w:lineRule="auto"/>
        <w:tabs>
          <w:tab w:leader="none" w:pos="1278"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280" w:right="280" w:hanging="511"/>
        <w:spacing w:after="0" w:line="270" w:lineRule="auto"/>
        <w:tabs>
          <w:tab w:leader="none" w:pos="1275"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0" w:lineRule="exact"/>
        <w:rPr>
          <w:rFonts w:ascii="Times New Roman" w:cs="Times New Roman" w:eastAsia="Times New Roman" w:hAnsi="Times New Roman"/>
          <w:sz w:val="14"/>
          <w:szCs w:val="14"/>
          <w:color w:val="auto"/>
        </w:rPr>
      </w:pPr>
    </w:p>
    <w:p>
      <w:pPr>
        <w:ind w:left="760" w:right="280" w:hanging="500"/>
        <w:spacing w:after="0" w:line="287" w:lineRule="auto"/>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280" w:right="260" w:hanging="511"/>
        <w:spacing w:after="0" w:line="287" w:lineRule="auto"/>
        <w:tabs>
          <w:tab w:leader="none" w:pos="1278"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4, 2025</w:t>
      </w:r>
    </w:p>
    <w:p>
      <w:pPr>
        <w:spacing w:after="0" w:line="30" w:lineRule="exact"/>
        <w:rPr>
          <w:sz w:val="20"/>
          <w:szCs w:val="20"/>
          <w:color w:val="auto"/>
        </w:rPr>
      </w:pPr>
    </w:p>
    <w:tbl>
      <w:tblPr>
        <w:tblLayout w:type="fixed"/>
        <w:tblInd w:w="576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Patrick Blair</w:t>
            </w:r>
          </w:p>
        </w:tc>
        <w:tc>
          <w:tcPr>
            <w:tcW w:w="0" w:type="dxa"/>
            <w:vAlign w:val="bottom"/>
          </w:tcPr>
          <w:p>
            <w:pPr>
              <w:spacing w:after="0"/>
              <w:rPr>
                <w:sz w:val="1"/>
                <w:szCs w:val="1"/>
                <w:color w:val="auto"/>
              </w:rPr>
            </w:pPr>
          </w:p>
        </w:tc>
      </w:tr>
      <w:tr>
        <w:trPr>
          <w:trHeight w:val="22"/>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4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20" w:type="dxa"/>
            <w:vAlign w:val="bottom"/>
            <w:vMerge w:val="continue"/>
          </w:tcPr>
          <w:p>
            <w:pPr>
              <w:spacing w:after="0"/>
              <w:rPr>
                <w:sz w:val="15"/>
                <w:szCs w:val="15"/>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Patrick Blair</w:t>
            </w:r>
          </w:p>
        </w:tc>
        <w:tc>
          <w:tcPr>
            <w:tcW w:w="0" w:type="dxa"/>
            <w:vAlign w:val="bottom"/>
          </w:tcPr>
          <w:p>
            <w:pPr>
              <w:spacing w:after="0"/>
              <w:rPr>
                <w:sz w:val="1"/>
                <w:szCs w:val="1"/>
                <w:color w:val="auto"/>
              </w:rPr>
            </w:pPr>
          </w:p>
        </w:tc>
      </w:tr>
      <w:tr>
        <w:trPr>
          <w:trHeight w:val="212"/>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929" w:right="31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 of Sarbanes-Oxley Act of 2002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Benjamin C. Adams, certify that:</w:t>
      </w:r>
    </w:p>
    <w:p>
      <w:pPr>
        <w:spacing w:after="0" w:line="94" w:lineRule="exact"/>
        <w:rPr>
          <w:sz w:val="20"/>
          <w:szCs w:val="20"/>
          <w:color w:val="auto"/>
        </w:rPr>
      </w:pPr>
    </w:p>
    <w:p>
      <w:pPr>
        <w:ind w:left="760" w:hanging="500"/>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InnovAge Holding, Corp.;</w:t>
      </w:r>
    </w:p>
    <w:p>
      <w:pPr>
        <w:spacing w:after="0" w:line="93" w:lineRule="exact"/>
        <w:rPr>
          <w:rFonts w:ascii="Times New Roman" w:cs="Times New Roman" w:eastAsia="Times New Roman" w:hAnsi="Times New Roman"/>
          <w:sz w:val="14"/>
          <w:szCs w:val="14"/>
          <w:color w:val="auto"/>
        </w:rPr>
      </w:pPr>
    </w:p>
    <w:p>
      <w:pPr>
        <w:ind w:left="760" w:right="480" w:hanging="500"/>
        <w:spacing w:after="0" w:line="287" w:lineRule="auto"/>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760" w:right="560" w:hanging="500"/>
        <w:spacing w:after="0" w:line="287" w:lineRule="auto"/>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760" w:right="120" w:hanging="500"/>
        <w:spacing w:after="0" w:line="287" w:lineRule="auto"/>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Times New Roman" w:cs="Times New Roman" w:eastAsia="Times New Roman" w:hAnsi="Times New Roman"/>
          <w:sz w:val="14"/>
          <w:szCs w:val="14"/>
          <w:color w:val="auto"/>
        </w:rPr>
      </w:pPr>
    </w:p>
    <w:p>
      <w:pPr>
        <w:jc w:val="both"/>
        <w:ind w:left="1280" w:right="100" w:hanging="511"/>
        <w:spacing w:after="0" w:line="270" w:lineRule="auto"/>
        <w:tabs>
          <w:tab w:leader="none" w:pos="1278"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4"/>
          <w:szCs w:val="14"/>
          <w:color w:val="auto"/>
        </w:rPr>
      </w:pPr>
    </w:p>
    <w:p>
      <w:pPr>
        <w:jc w:val="both"/>
        <w:ind w:left="1280" w:right="320" w:hanging="511"/>
        <w:spacing w:after="0" w:line="270" w:lineRule="auto"/>
        <w:tabs>
          <w:tab w:leader="none" w:pos="1275"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4"/>
          <w:szCs w:val="14"/>
          <w:color w:val="auto"/>
        </w:rPr>
      </w:pPr>
    </w:p>
    <w:p>
      <w:pPr>
        <w:ind w:left="1280" w:right="140" w:hanging="511"/>
        <w:spacing w:after="0" w:line="287" w:lineRule="auto"/>
        <w:tabs>
          <w:tab w:leader="none" w:pos="1278"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1280" w:right="280" w:hanging="511"/>
        <w:spacing w:after="0" w:line="270" w:lineRule="auto"/>
        <w:tabs>
          <w:tab w:leader="none" w:pos="1275"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0" w:lineRule="exact"/>
        <w:rPr>
          <w:rFonts w:ascii="Times New Roman" w:cs="Times New Roman" w:eastAsia="Times New Roman" w:hAnsi="Times New Roman"/>
          <w:sz w:val="14"/>
          <w:szCs w:val="14"/>
          <w:color w:val="auto"/>
        </w:rPr>
      </w:pPr>
    </w:p>
    <w:p>
      <w:pPr>
        <w:ind w:left="760" w:right="280" w:hanging="500"/>
        <w:spacing w:after="0" w:line="287" w:lineRule="auto"/>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1280" w:right="260" w:hanging="511"/>
        <w:spacing w:after="0" w:line="287" w:lineRule="auto"/>
        <w:tabs>
          <w:tab w:leader="none" w:pos="1278"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4, 2025</w:t>
      </w:r>
    </w:p>
    <w:p>
      <w:pPr>
        <w:spacing w:after="0" w:line="200" w:lineRule="exact"/>
        <w:rPr>
          <w:sz w:val="20"/>
          <w:szCs w:val="20"/>
          <w:color w:val="auto"/>
        </w:rPr>
      </w:pPr>
    </w:p>
    <w:p>
      <w:pPr>
        <w:spacing w:after="0" w:line="233" w:lineRule="exact"/>
        <w:rPr>
          <w:sz w:val="20"/>
          <w:szCs w:val="20"/>
          <w:color w:val="auto"/>
        </w:rPr>
      </w:pPr>
    </w:p>
    <w:tbl>
      <w:tblPr>
        <w:tblLayout w:type="fixed"/>
        <w:tblInd w:w="576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Benjamin C. Adams</w:t>
            </w:r>
          </w:p>
        </w:tc>
        <w:tc>
          <w:tcPr>
            <w:tcW w:w="0" w:type="dxa"/>
            <w:vAlign w:val="bottom"/>
          </w:tcPr>
          <w:p>
            <w:pPr>
              <w:spacing w:after="0"/>
              <w:rPr>
                <w:sz w:val="1"/>
                <w:szCs w:val="1"/>
                <w:color w:val="auto"/>
              </w:rPr>
            </w:pPr>
          </w:p>
        </w:tc>
      </w:tr>
      <w:tr>
        <w:trPr>
          <w:trHeight w:val="22"/>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4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20" w:type="dxa"/>
            <w:vAlign w:val="bottom"/>
            <w:vMerge w:val="continue"/>
          </w:tcPr>
          <w:p>
            <w:pPr>
              <w:spacing w:after="0"/>
              <w:rPr>
                <w:sz w:val="15"/>
                <w:szCs w:val="15"/>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Benjamin C. Adams</w:t>
            </w:r>
          </w:p>
        </w:tc>
        <w:tc>
          <w:tcPr>
            <w:tcW w:w="0" w:type="dxa"/>
            <w:vAlign w:val="bottom"/>
          </w:tcPr>
          <w:p>
            <w:pPr>
              <w:spacing w:after="0"/>
              <w:rPr>
                <w:sz w:val="1"/>
                <w:szCs w:val="1"/>
                <w:color w:val="auto"/>
              </w:rPr>
            </w:pPr>
          </w:p>
        </w:tc>
      </w:tr>
      <w:tr>
        <w:trPr>
          <w:trHeight w:val="212"/>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844"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18 U.S.C. Section 1350</w:t>
      </w:r>
    </w:p>
    <w:p>
      <w:pPr>
        <w:spacing w:after="0" w:line="181" w:lineRule="exact"/>
        <w:rPr>
          <w:sz w:val="20"/>
          <w:szCs w:val="20"/>
          <w:color w:val="auto"/>
        </w:rPr>
      </w:pPr>
    </w:p>
    <w:p>
      <w:pPr>
        <w:jc w:val="both"/>
        <w:ind w:right="520"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InnovAge Holding Corp. (the “Company”) for the fiscal quarter ended December 31, 2024 as filed with the U.S. Securities and Exchange Commission (the “Report”), I, Patrick Blair, Chief Executive Officer of the Company, hereby certify, pursuant to 18 U.S.C. Section 1350, as adopted pursuant to Section 906 of the Sarbanes-Oxley Act of 2002, that, to my knowledge:</w:t>
      </w:r>
    </w:p>
    <w:p>
      <w:pPr>
        <w:spacing w:after="0" w:line="51" w:lineRule="exact"/>
        <w:rPr>
          <w:sz w:val="20"/>
          <w:szCs w:val="20"/>
          <w:color w:val="auto"/>
        </w:rPr>
      </w:pPr>
    </w:p>
    <w:p>
      <w:pPr>
        <w:ind w:left="900" w:hanging="513"/>
        <w:spacing w:after="0"/>
        <w:tabs>
          <w:tab w:leader="none" w:pos="9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Securities Exchange Act of 1934, as amended; and</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4, 2025</w:t>
      </w:r>
    </w:p>
    <w:p>
      <w:pPr>
        <w:spacing w:after="0" w:line="200" w:lineRule="exact"/>
        <w:rPr>
          <w:sz w:val="20"/>
          <w:szCs w:val="20"/>
          <w:color w:val="auto"/>
        </w:rPr>
      </w:pPr>
    </w:p>
    <w:p>
      <w:pPr>
        <w:spacing w:after="0" w:line="233" w:lineRule="exact"/>
        <w:rPr>
          <w:sz w:val="20"/>
          <w:szCs w:val="20"/>
          <w:color w:val="auto"/>
        </w:rPr>
      </w:pPr>
    </w:p>
    <w:tbl>
      <w:tblPr>
        <w:tblLayout w:type="fixed"/>
        <w:tblInd w:w="576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Patrick Blair</w:t>
            </w:r>
          </w:p>
        </w:tc>
        <w:tc>
          <w:tcPr>
            <w:tcW w:w="0" w:type="dxa"/>
            <w:vAlign w:val="bottom"/>
          </w:tcPr>
          <w:p>
            <w:pPr>
              <w:spacing w:after="0"/>
              <w:rPr>
                <w:sz w:val="1"/>
                <w:szCs w:val="1"/>
                <w:color w:val="auto"/>
              </w:rPr>
            </w:pPr>
          </w:p>
        </w:tc>
      </w:tr>
      <w:tr>
        <w:trPr>
          <w:trHeight w:val="22"/>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4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20" w:type="dxa"/>
            <w:vAlign w:val="bottom"/>
            <w:vMerge w:val="continue"/>
          </w:tcPr>
          <w:p>
            <w:pPr>
              <w:spacing w:after="0"/>
              <w:rPr>
                <w:sz w:val="15"/>
                <w:szCs w:val="15"/>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Patrick Blair</w:t>
            </w:r>
          </w:p>
        </w:tc>
        <w:tc>
          <w:tcPr>
            <w:tcW w:w="0" w:type="dxa"/>
            <w:vAlign w:val="bottom"/>
          </w:tcPr>
          <w:p>
            <w:pPr>
              <w:spacing w:after="0"/>
              <w:rPr>
                <w:sz w:val="1"/>
                <w:szCs w:val="1"/>
                <w:color w:val="auto"/>
              </w:rPr>
            </w:pPr>
          </w:p>
        </w:tc>
      </w:tr>
      <w:tr>
        <w:trPr>
          <w:trHeight w:val="212"/>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929" w:right="3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18 U.S.C. Section 1350</w:t>
      </w:r>
    </w:p>
    <w:p>
      <w:pPr>
        <w:spacing w:after="0" w:line="181" w:lineRule="exact"/>
        <w:rPr>
          <w:sz w:val="20"/>
          <w:szCs w:val="20"/>
          <w:color w:val="auto"/>
        </w:rPr>
      </w:pPr>
    </w:p>
    <w:p>
      <w:pPr>
        <w:ind w:right="120"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InnovAge Holding Corp. (the “Company”) for the fiscal quarter ended December 31, 2024 as filed with the U.S. Securities and Exchange Commission (the “Report”), I, Benjamin C. Adams, Chief Financial Officer of the Company, hereby certify, pursuant to 18 U.S.C. Section 1350, as adopted pursuant to Section 906 of the Sarbanes-Oxley Act of 2002, that, to my knowledge:</w:t>
      </w:r>
    </w:p>
    <w:p>
      <w:pPr>
        <w:spacing w:after="0" w:line="51" w:lineRule="exact"/>
        <w:rPr>
          <w:sz w:val="20"/>
          <w:szCs w:val="20"/>
          <w:color w:val="auto"/>
        </w:rPr>
      </w:pPr>
    </w:p>
    <w:p>
      <w:pPr>
        <w:ind w:left="900" w:hanging="513"/>
        <w:spacing w:after="0"/>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Securities Exchange Act of 1934, as amended; and</w:t>
      </w:r>
    </w:p>
    <w:p>
      <w:pPr>
        <w:spacing w:after="0" w:line="93" w:lineRule="exact"/>
        <w:rPr>
          <w:rFonts w:ascii="Times New Roman" w:cs="Times New Roman" w:eastAsia="Times New Roman" w:hAnsi="Times New Roman"/>
          <w:sz w:val="14"/>
          <w:szCs w:val="14"/>
          <w:color w:val="auto"/>
        </w:rPr>
      </w:pPr>
    </w:p>
    <w:p>
      <w:pPr>
        <w:ind w:left="900" w:hanging="513"/>
        <w:spacing w:after="0"/>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4, 2025</w:t>
      </w:r>
    </w:p>
    <w:p>
      <w:pPr>
        <w:spacing w:after="0" w:line="200" w:lineRule="exact"/>
        <w:rPr>
          <w:sz w:val="20"/>
          <w:szCs w:val="20"/>
          <w:color w:val="auto"/>
        </w:rPr>
      </w:pPr>
    </w:p>
    <w:p>
      <w:pPr>
        <w:spacing w:after="0" w:line="233" w:lineRule="exact"/>
        <w:rPr>
          <w:sz w:val="20"/>
          <w:szCs w:val="20"/>
          <w:color w:val="auto"/>
        </w:rPr>
      </w:pPr>
    </w:p>
    <w:tbl>
      <w:tblPr>
        <w:tblLayout w:type="fixed"/>
        <w:tblInd w:w="576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Benjamin C. Adams</w:t>
            </w:r>
          </w:p>
        </w:tc>
        <w:tc>
          <w:tcPr>
            <w:tcW w:w="0" w:type="dxa"/>
            <w:vAlign w:val="bottom"/>
          </w:tcPr>
          <w:p>
            <w:pPr>
              <w:spacing w:after="0"/>
              <w:rPr>
                <w:sz w:val="1"/>
                <w:szCs w:val="1"/>
                <w:color w:val="auto"/>
              </w:rPr>
            </w:pPr>
          </w:p>
        </w:tc>
      </w:tr>
      <w:tr>
        <w:trPr>
          <w:trHeight w:val="22"/>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4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20" w:type="dxa"/>
            <w:vAlign w:val="bottom"/>
            <w:vMerge w:val="continue"/>
          </w:tcPr>
          <w:p>
            <w:pPr>
              <w:spacing w:after="0"/>
              <w:rPr>
                <w:sz w:val="15"/>
                <w:szCs w:val="15"/>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Benjamin C. Adams</w:t>
            </w:r>
          </w:p>
        </w:tc>
        <w:tc>
          <w:tcPr>
            <w:tcW w:w="0" w:type="dxa"/>
            <w:vAlign w:val="bottom"/>
          </w:tcPr>
          <w:p>
            <w:pPr>
              <w:spacing w:after="0"/>
              <w:rPr>
                <w:sz w:val="1"/>
                <w:szCs w:val="1"/>
                <w:color w:val="auto"/>
              </w:rPr>
            </w:pPr>
          </w:p>
        </w:tc>
      </w:tr>
      <w:tr>
        <w:trPr>
          <w:trHeight w:val="212"/>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9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2"/>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Roman"/>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5"/>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10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84" Type="http://schemas.openxmlformats.org/officeDocument/2006/relationships/hyperlink" Target="https://www.sec.gov/Archives/edgar/data/1834376/000110465921033328/tm2037889d18_ex3-1.htm" TargetMode="External"/><Relationship Id="rId85" Type="http://schemas.openxmlformats.org/officeDocument/2006/relationships/hyperlink" Target="https://www.sec.gov/Archives/edgar/data/1834376/000110465921033328/tm2037889d18_ex3-2.htm" TargetMode="External"/><Relationship Id="rId86" Type="http://schemas.openxmlformats.org/officeDocument/2006/relationships/hyperlink" Target="https://www.sec.gov/Archives/edgar/data/1834376/000183437624000080/ex101-mscarbroughemploym.htm" TargetMode="External"/><Relationship Id="rId87" Type="http://schemas.openxmlformats.org/officeDocument/2006/relationships/hyperlink" Target="https://www.sec.gov/Archives/edgar/data/1834376/000183437624000080/ex102-classbunitawardagree.htm" TargetMode="External"/><Relationship Id="rId88" Type="http://schemas.openxmlformats.org/officeDocument/2006/relationships/hyperlink" Target="https://www.sec.gov/Archives/edgar/data/1834376/000183437624000080/ex103-transitionandseparat.htm" TargetMode="External"/><Relationship Id="rId89" Type="http://schemas.openxmlformats.org/officeDocument/2006/relationships/hyperlink" Target="https://www.sec.gov/Archives/edgar/data/1834376/000183437624000080/ex104-amendmenttoceoemplo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2025-02-04T16:09:53Z</dcterms:created>
  <dcterms:modified xsi:type="dcterms:W3CDTF">2025-02-04T16:09:53Z</dcterms:modified>
</cp:coreProperties>
</file>