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UNITED STATES</w:t>
      </w:r>
    </w:p>
    <w:p>
      <w:pPr>
        <w:jc w:val="center"/>
        <w:ind w:right="20"/>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66675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240" w:right="2360" w:hanging="1916"/>
        <w:spacing w:after="0" w:line="263" w:lineRule="auto"/>
        <w:tabs>
          <w:tab w:leader="none" w:pos="2645"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June 30, 2021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66" w:lineRule="exact"/>
        <w:rPr>
          <w:sz w:val="24"/>
          <w:szCs w:val="24"/>
          <w:color w:val="auto"/>
        </w:rPr>
      </w:pPr>
    </w:p>
    <w:p>
      <w:pPr>
        <w:ind w:left="2480" w:hanging="316"/>
        <w:spacing w:after="0"/>
        <w:tabs>
          <w:tab w:leader="none" w:pos="2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w:t>
      </w:r>
    </w:p>
    <w:tbl>
      <w:tblPr>
        <w:tblLayout w:type="fixed"/>
        <w:tblInd w:w="3840" w:type="dxa"/>
        <w:tblCellMar>
          <w:top w:w="0" w:type="dxa"/>
          <w:left w:w="0" w:type="dxa"/>
          <w:bottom w:w="0" w:type="dxa"/>
          <w:right w:w="0" w:type="dxa"/>
        </w:tblCellMar>
      </w:tblPr>
      <w:tr>
        <w:trPr>
          <w:trHeight w:val="150"/>
        </w:trPr>
        <w:tc>
          <w:tcPr>
            <w:tcW w:w="22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EXCHANGE ACT OF 1934</w:t>
            </w:r>
          </w:p>
        </w:tc>
        <w:tc>
          <w:tcPr>
            <w:tcW w:w="26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75"/>
              </w:rPr>
              <w:t>to</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3644900</wp:posOffset>
            </wp:positionH>
            <wp:positionV relativeFrom="paragraph">
              <wp:posOffset>-17145</wp:posOffset>
            </wp:positionV>
            <wp:extent cx="296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57785</wp:posOffset>
            </wp:positionV>
            <wp:extent cx="162877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InnovAge Holding Corp.</w:t>
            </w:r>
          </w:p>
        </w:tc>
        <w:tc>
          <w:tcPr>
            <w:tcW w:w="1400" w:type="dxa"/>
            <w:vAlign w:val="bottom"/>
          </w:tcPr>
          <w:p>
            <w:pPr>
              <w:spacing w:after="0"/>
              <w:rPr>
                <w:sz w:val="14"/>
                <w:szCs w:val="14"/>
                <w:color w:val="auto"/>
              </w:rPr>
            </w:pPr>
          </w:p>
        </w:tc>
      </w:tr>
      <w:tr>
        <w:trPr>
          <w:trHeight w:val="186"/>
        </w:trPr>
        <w:tc>
          <w:tcPr>
            <w:tcW w:w="5400" w:type="dxa"/>
            <w:vAlign w:val="bottom"/>
            <w:gridSpan w:val="3"/>
          </w:tcPr>
          <w:p>
            <w:pPr>
              <w:jc w:val="center"/>
              <w:ind w:left="1794"/>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66"/>
        </w:trPr>
        <w:tc>
          <w:tcPr>
            <w:tcW w:w="234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326"/>
        </w:trPr>
        <w:tc>
          <w:tcPr>
            <w:tcW w:w="5400" w:type="dxa"/>
            <w:vAlign w:val="bottom"/>
            <w:gridSpan w:val="3"/>
          </w:tcPr>
          <w:p>
            <w:pPr>
              <w:jc w:val="center"/>
              <w:ind w:right="3260"/>
              <w:spacing w:after="0"/>
              <w:rPr>
                <w:sz w:val="20"/>
                <w:szCs w:val="20"/>
                <w:color w:val="auto"/>
              </w:rPr>
            </w:pPr>
            <w:r>
              <w:rPr>
                <w:rFonts w:ascii="Arial" w:cs="Arial" w:eastAsia="Arial" w:hAnsi="Arial"/>
                <w:sz w:val="13"/>
                <w:szCs w:val="13"/>
                <w:b w:val="1"/>
                <w:bCs w:val="1"/>
                <w:color w:val="auto"/>
                <w:w w:val="87"/>
              </w:rPr>
              <w:t>Delaware</w:t>
            </w:r>
          </w:p>
        </w:tc>
        <w:tc>
          <w:tcPr>
            <w:tcW w:w="1400" w:type="dxa"/>
            <w:vAlign w:val="bottom"/>
          </w:tcPr>
          <w:p>
            <w:pPr>
              <w:jc w:val="right"/>
              <w:ind w:right="257"/>
              <w:spacing w:after="0"/>
              <w:rPr>
                <w:sz w:val="20"/>
                <w:szCs w:val="20"/>
                <w:color w:val="auto"/>
              </w:rPr>
            </w:pPr>
            <w:r>
              <w:rPr>
                <w:rFonts w:ascii="Arial" w:cs="Arial" w:eastAsia="Arial" w:hAnsi="Arial"/>
                <w:sz w:val="13"/>
                <w:szCs w:val="13"/>
                <w:b w:val="1"/>
                <w:bCs w:val="1"/>
                <w:color w:val="auto"/>
              </w:rPr>
              <w:t>81-0710819</w:t>
            </w:r>
          </w:p>
        </w:tc>
      </w:tr>
      <w:tr>
        <w:trPr>
          <w:trHeight w:val="135"/>
        </w:trPr>
        <w:tc>
          <w:tcPr>
            <w:tcW w:w="5400" w:type="dxa"/>
            <w:vAlign w:val="bottom"/>
            <w:gridSpan w:val="3"/>
          </w:tcPr>
          <w:p>
            <w:pPr>
              <w:jc w:val="center"/>
              <w:ind w:right="3260"/>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40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5400" w:type="dxa"/>
            <w:vAlign w:val="bottom"/>
            <w:gridSpan w:val="3"/>
          </w:tcPr>
          <w:p>
            <w:pPr>
              <w:jc w:val="center"/>
              <w:ind w:right="3260"/>
              <w:spacing w:after="0"/>
              <w:rPr>
                <w:sz w:val="20"/>
                <w:szCs w:val="20"/>
                <w:color w:val="auto"/>
              </w:rPr>
            </w:pPr>
            <w:r>
              <w:rPr>
                <w:rFonts w:ascii="Arial" w:cs="Arial" w:eastAsia="Arial" w:hAnsi="Arial"/>
                <w:sz w:val="13"/>
                <w:szCs w:val="13"/>
                <w:b w:val="1"/>
                <w:bCs w:val="1"/>
                <w:color w:val="auto"/>
                <w:w w:val="90"/>
              </w:rPr>
              <w:t>Incorporation or Organization)</w:t>
            </w:r>
          </w:p>
        </w:tc>
        <w:tc>
          <w:tcPr>
            <w:tcW w:w="1400" w:type="dxa"/>
            <w:vAlign w:val="bottom"/>
          </w:tcPr>
          <w:p>
            <w:pPr>
              <w:jc w:val="center"/>
              <w:ind w:left="97"/>
              <w:spacing w:after="0"/>
              <w:rPr>
                <w:sz w:val="20"/>
                <w:szCs w:val="20"/>
                <w:color w:val="auto"/>
              </w:rPr>
            </w:pPr>
            <w:r>
              <w:rPr>
                <w:rFonts w:ascii="Arial" w:cs="Arial" w:eastAsia="Arial" w:hAnsi="Arial"/>
                <w:sz w:val="13"/>
                <w:szCs w:val="13"/>
                <w:b w:val="1"/>
                <w:bCs w:val="1"/>
                <w:color w:val="auto"/>
                <w:w w:val="89"/>
              </w:rPr>
              <w:t>Identification Number)</w:t>
            </w:r>
          </w:p>
        </w:tc>
      </w:tr>
      <w:tr>
        <w:trPr>
          <w:trHeight w:val="200"/>
        </w:trPr>
        <w:tc>
          <w:tcPr>
            <w:tcW w:w="5400" w:type="dxa"/>
            <w:vAlign w:val="bottom"/>
            <w:gridSpan w:val="3"/>
          </w:tcPr>
          <w:p>
            <w:pPr>
              <w:jc w:val="center"/>
              <w:ind w:right="3260"/>
              <w:spacing w:after="0"/>
              <w:rPr>
                <w:sz w:val="20"/>
                <w:szCs w:val="20"/>
                <w:color w:val="auto"/>
              </w:rPr>
            </w:pPr>
            <w:r>
              <w:rPr>
                <w:rFonts w:ascii="Arial" w:cs="Arial" w:eastAsia="Arial" w:hAnsi="Arial"/>
                <w:sz w:val="13"/>
                <w:szCs w:val="13"/>
                <w:b w:val="1"/>
                <w:bCs w:val="1"/>
                <w:color w:val="auto"/>
                <w:w w:val="89"/>
              </w:rPr>
              <w:t>8950 E. Lowry Boulevard</w:t>
            </w:r>
          </w:p>
        </w:tc>
        <w:tc>
          <w:tcPr>
            <w:tcW w:w="1400" w:type="dxa"/>
            <w:vAlign w:val="bottom"/>
          </w:tcPr>
          <w:p>
            <w:pPr>
              <w:jc w:val="right"/>
              <w:ind w:right="397"/>
              <w:spacing w:after="0"/>
              <w:rPr>
                <w:sz w:val="20"/>
                <w:szCs w:val="20"/>
                <w:color w:val="auto"/>
              </w:rPr>
            </w:pPr>
            <w:r>
              <w:rPr>
                <w:rFonts w:ascii="Arial" w:cs="Arial" w:eastAsia="Arial" w:hAnsi="Arial"/>
                <w:sz w:val="13"/>
                <w:szCs w:val="13"/>
                <w:b w:val="1"/>
                <w:bCs w:val="1"/>
                <w:color w:val="auto"/>
              </w:rPr>
              <w:t>80230</w:t>
            </w:r>
          </w:p>
        </w:tc>
      </w:tr>
      <w:tr>
        <w:trPr>
          <w:trHeight w:val="135"/>
        </w:trPr>
        <w:tc>
          <w:tcPr>
            <w:tcW w:w="5400" w:type="dxa"/>
            <w:vAlign w:val="bottom"/>
            <w:gridSpan w:val="3"/>
          </w:tcPr>
          <w:p>
            <w:pPr>
              <w:jc w:val="center"/>
              <w:ind w:right="3240"/>
              <w:spacing w:after="0" w:line="135" w:lineRule="exact"/>
              <w:rPr>
                <w:sz w:val="20"/>
                <w:szCs w:val="20"/>
                <w:color w:val="auto"/>
              </w:rPr>
            </w:pPr>
            <w:r>
              <w:rPr>
                <w:rFonts w:ascii="Arial" w:cs="Arial" w:eastAsia="Arial" w:hAnsi="Arial"/>
                <w:sz w:val="13"/>
                <w:szCs w:val="13"/>
                <w:b w:val="1"/>
                <w:bCs w:val="1"/>
                <w:color w:val="auto"/>
                <w:w w:val="90"/>
              </w:rPr>
              <w:t>Denver, CO</w:t>
            </w:r>
          </w:p>
        </w:tc>
        <w:tc>
          <w:tcPr>
            <w:tcW w:w="140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w w:val="90"/>
              </w:rPr>
              <w:t>(Zip Code)</w:t>
            </w:r>
          </w:p>
        </w:tc>
      </w:tr>
      <w:tr>
        <w:trPr>
          <w:trHeight w:val="164"/>
        </w:trPr>
        <w:tc>
          <w:tcPr>
            <w:tcW w:w="5400" w:type="dxa"/>
            <w:vAlign w:val="bottom"/>
            <w:gridSpan w:val="3"/>
          </w:tcPr>
          <w:p>
            <w:pPr>
              <w:jc w:val="center"/>
              <w:ind w:right="326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400" w:type="dxa"/>
            <w:vAlign w:val="bottom"/>
          </w:tcPr>
          <w:p>
            <w:pPr>
              <w:spacing w:after="0"/>
              <w:rPr>
                <w:sz w:val="14"/>
                <w:szCs w:val="14"/>
                <w:color w:val="auto"/>
              </w:rPr>
            </w:pPr>
          </w:p>
        </w:tc>
      </w:tr>
      <w:tr>
        <w:trPr>
          <w:trHeight w:val="196"/>
        </w:trPr>
        <w:tc>
          <w:tcPr>
            <w:tcW w:w="4900" w:type="dxa"/>
            <w:vAlign w:val="bottom"/>
            <w:gridSpan w:val="2"/>
          </w:tcPr>
          <w:p>
            <w:pPr>
              <w:jc w:val="center"/>
              <w:ind w:left="2294"/>
              <w:spacing w:after="0"/>
              <w:rPr>
                <w:sz w:val="20"/>
                <w:szCs w:val="20"/>
                <w:color w:val="auto"/>
              </w:rPr>
            </w:pPr>
            <w:r>
              <w:rPr>
                <w:rFonts w:ascii="Arial" w:cs="Arial" w:eastAsia="Arial" w:hAnsi="Arial"/>
                <w:sz w:val="14"/>
                <w:szCs w:val="14"/>
                <w:b w:val="1"/>
                <w:bCs w:val="1"/>
                <w:color w:val="auto"/>
                <w:w w:val="93"/>
              </w:rPr>
              <w:t>(844) 803-8745</w:t>
            </w: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6"/>
        </w:trPr>
        <w:tc>
          <w:tcPr>
            <w:tcW w:w="5400" w:type="dxa"/>
            <w:vAlign w:val="bottom"/>
            <w:gridSpan w:val="3"/>
          </w:tcPr>
          <w:p>
            <w:pPr>
              <w:jc w:val="center"/>
              <w:ind w:left="177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41910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Securities Act:</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Title of each class</w:t>
            </w:r>
          </w:p>
        </w:tc>
        <w:tc>
          <w:tcPr>
            <w:tcW w:w="33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Trading Symbol(s)</w:t>
            </w:r>
          </w:p>
        </w:tc>
        <w:tc>
          <w:tcPr>
            <w:tcW w:w="35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10"/>
        </w:trPr>
        <w:tc>
          <w:tcPr>
            <w:tcW w:w="3420" w:type="dxa"/>
            <w:vAlign w:val="bottom"/>
            <w:tcBorders>
              <w:left w:val="single" w:sz="8" w:color="auto"/>
              <w:right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rPr>
              <w:t>Common Stock, $0.001 par value</w:t>
            </w:r>
          </w:p>
        </w:tc>
        <w:tc>
          <w:tcPr>
            <w:tcW w:w="3320" w:type="dxa"/>
            <w:vAlign w:val="bottom"/>
            <w:tcBorders>
              <w:right w:val="single" w:sz="8" w:color="auto"/>
            </w:tcBorders>
          </w:tcPr>
          <w:p>
            <w:pPr>
              <w:ind w:left="1520"/>
              <w:spacing w:after="0" w:line="110" w:lineRule="exact"/>
              <w:rPr>
                <w:sz w:val="20"/>
                <w:szCs w:val="20"/>
                <w:color w:val="auto"/>
              </w:rPr>
            </w:pPr>
            <w:r>
              <w:rPr>
                <w:rFonts w:ascii="Arial" w:cs="Arial" w:eastAsia="Arial" w:hAnsi="Arial"/>
                <w:sz w:val="12"/>
                <w:szCs w:val="12"/>
                <w:b w:val="1"/>
                <w:bCs w:val="1"/>
                <w:color w:val="auto"/>
              </w:rPr>
              <w:t>INNV</w:t>
            </w:r>
          </w:p>
        </w:tc>
        <w:tc>
          <w:tcPr>
            <w:tcW w:w="35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The Nasdaq Stock Market LLC</w:t>
            </w:r>
          </w:p>
        </w:tc>
      </w:tr>
      <w:tr>
        <w:trPr>
          <w:trHeight w:val="153"/>
        </w:trPr>
        <w:tc>
          <w:tcPr>
            <w:tcW w:w="3420" w:type="dxa"/>
            <w:vAlign w:val="bottom"/>
            <w:tcBorders>
              <w:left w:val="single" w:sz="8" w:color="auto"/>
              <w:bottom w:val="single" w:sz="8" w:color="auto"/>
              <w:right w:val="single" w:sz="8" w:color="auto"/>
            </w:tcBorders>
          </w:tcPr>
          <w:p>
            <w:pPr>
              <w:spacing w:after="0"/>
              <w:rPr>
                <w:sz w:val="13"/>
                <w:szCs w:val="13"/>
                <w:color w:val="auto"/>
              </w:rPr>
            </w:pPr>
          </w:p>
        </w:tc>
        <w:tc>
          <w:tcPr>
            <w:tcW w:w="332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(Nasdaq Global Select Market)</w:t>
            </w:r>
          </w:p>
        </w:tc>
      </w:tr>
      <w:tr>
        <w:trPr>
          <w:trHeight w:val="238"/>
        </w:trPr>
        <w:tc>
          <w:tcPr>
            <w:tcW w:w="674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Securities Act: </w:t>
            </w:r>
            <w:r>
              <w:rPr>
                <w:rFonts w:ascii="Arial" w:cs="Arial" w:eastAsia="Arial" w:hAnsi="Arial"/>
                <w:sz w:val="14"/>
                <w:szCs w:val="14"/>
                <w:b w:val="1"/>
                <w:bCs w:val="1"/>
                <w:color w:val="auto"/>
              </w:rPr>
              <w:t>None.</w:t>
            </w:r>
          </w:p>
        </w:tc>
        <w:tc>
          <w:tcPr>
            <w:tcW w:w="3500" w:type="dxa"/>
            <w:vAlign w:val="bottom"/>
          </w:tcPr>
          <w:p>
            <w:pPr>
              <w:spacing w:after="0"/>
              <w:rPr>
                <w:sz w:val="20"/>
                <w:szCs w:val="20"/>
                <w:color w:val="auto"/>
              </w:rPr>
            </w:pPr>
          </w:p>
        </w:tc>
      </w:tr>
    </w:tbl>
    <w:p>
      <w:pPr>
        <w:spacing w:after="0" w:line="33" w:lineRule="exact"/>
        <w:rPr>
          <w:sz w:val="24"/>
          <w:szCs w:val="24"/>
          <w:color w:val="auto"/>
        </w:rPr>
      </w:pPr>
    </w:p>
    <w:p>
      <w:pPr>
        <w:ind w:right="2500"/>
        <w:spacing w:after="0" w:line="189"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6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has submitted electronically every Interactive Data File required to be submitted pursuant to Rule 405 of Regulation 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00"/>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2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50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660" w:type="dxa"/>
            <w:vAlign w:val="bottom"/>
          </w:tcPr>
          <w:p>
            <w:pPr>
              <w:spacing w:after="0"/>
              <w:rPr>
                <w:sz w:val="15"/>
                <w:szCs w:val="15"/>
                <w:color w:val="auto"/>
              </w:rPr>
            </w:pPr>
          </w:p>
        </w:tc>
        <w:tc>
          <w:tcPr>
            <w:tcW w:w="640" w:type="dxa"/>
            <w:vAlign w:val="bottom"/>
            <w:vMerge w:val="restart"/>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6"/>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12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50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26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46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300"/>
        <w:spacing w:after="0" w:line="25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common stock held by non-affiliates as of such date.</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As of September 20, 2021, there were 135,516,513 shares of the registrant’s common stock outstanding.</w:t>
      </w:r>
    </w:p>
    <w:p>
      <w:pPr>
        <w:spacing w:after="0" w:line="65"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3"/>
          <w:szCs w:val="13"/>
          <w:color w:val="auto"/>
        </w:rPr>
        <w:t>Portions of the registrant’s proxy statement for the 2021 Annual Meeting of Shareholders are incorporated by reference in Part III of this Annual Report on Form 10-K to the</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467995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56515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90805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80" w:type="dxa"/>
            <w:vAlign w:val="bottom"/>
            <w:gridSpan w:val="26"/>
          </w:tcPr>
          <w:p>
            <w:pPr>
              <w:ind w:left="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18"/>
        </w:trPr>
        <w:tc>
          <w:tcPr>
            <w:tcW w:w="720" w:type="dxa"/>
            <w:vAlign w:val="bottom"/>
            <w:gridSpan w:val="5"/>
          </w:tcPr>
          <w:p>
            <w:pPr>
              <w:ind w:lef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I-1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Item 1.</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I-1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0"/>
              </w:rPr>
            </w:pPr>
            <w:hyperlink w:anchor="page26">
              <w:r>
                <w:rPr>
                  <w:rFonts w:ascii="Arial" w:cs="Arial" w:eastAsia="Arial" w:hAnsi="Arial"/>
                  <w:sz w:val="18"/>
                  <w:szCs w:val="18"/>
                  <w:color w:val="0000EE"/>
                  <w:w w:val="80"/>
                </w:rPr>
                <w:t>Item 1A.</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6"/>
              </w:rPr>
              <w:t>I-22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0"/>
              </w:rPr>
            </w:pPr>
            <w:hyperlink w:anchor="page62">
              <w:r>
                <w:rPr>
                  <w:rFonts w:ascii="Arial" w:cs="Arial" w:eastAsia="Arial" w:hAnsi="Arial"/>
                  <w:sz w:val="18"/>
                  <w:szCs w:val="18"/>
                  <w:color w:val="0000EE"/>
                  <w:w w:val="80"/>
                </w:rPr>
                <w:t>Item 1B.</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Unresolved Staff Comments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6"/>
              </w:rPr>
              <w:t>I-58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2.</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Properties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6"/>
              </w:rPr>
              <w:t>I-58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3.</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6"/>
              </w:rPr>
              <w:t>I-58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Item 4.</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6"/>
              </w:rPr>
              <w:t>I-59</w:t>
            </w:r>
          </w:p>
        </w:tc>
      </w:tr>
      <w:tr>
        <w:trPr>
          <w:trHeight w:val="20"/>
        </w:trPr>
        <w:tc>
          <w:tcPr>
            <w:tcW w:w="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II-60</w:t>
            </w:r>
          </w:p>
        </w:tc>
      </w:tr>
      <w:tr>
        <w:trPr>
          <w:trHeight w:val="210"/>
        </w:trPr>
        <w:tc>
          <w:tcPr>
            <w:tcW w:w="2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5.</w:t>
              </w:r>
            </w:hyperlink>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Market for Registrant’s Common Equity, Related Stockholder Matters and Issuer Purchases of Equity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II-60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Securities</w:t>
              </w:r>
            </w:hyperlink>
          </w:p>
        </w:tc>
        <w:tc>
          <w:tcPr>
            <w:tcW w:w="6640" w:type="dxa"/>
            <w:vAlign w:val="bottom"/>
            <w:gridSpan w:val="17"/>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65">
              <w:r>
                <w:rPr>
                  <w:rFonts w:ascii="Arial" w:cs="Arial" w:eastAsia="Arial" w:hAnsi="Arial"/>
                  <w:sz w:val="18"/>
                  <w:szCs w:val="18"/>
                  <w:color w:val="0000EE"/>
                  <w:w w:val="98"/>
                </w:rPr>
                <w:t>Item 6.</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Selected Financial Data</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65">
              <w:r>
                <w:rPr>
                  <w:rFonts w:ascii="Arial" w:cs="Arial" w:eastAsia="Arial" w:hAnsi="Arial"/>
                  <w:sz w:val="18"/>
                  <w:szCs w:val="18"/>
                  <w:color w:val="0000EE"/>
                  <w:w w:val="98"/>
                </w:rPr>
                <w:t>Item 7.</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II-61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0"/>
              </w:rPr>
            </w:pPr>
            <w:hyperlink w:anchor="page85">
              <w:r>
                <w:rPr>
                  <w:rFonts w:ascii="Arial" w:cs="Arial" w:eastAsia="Arial" w:hAnsi="Arial"/>
                  <w:sz w:val="18"/>
                  <w:szCs w:val="18"/>
                  <w:color w:val="0000EE"/>
                  <w:w w:val="80"/>
                </w:rPr>
                <w:t>Item 7A.</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II-81</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Item 8.</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Financial Statements and Supplementary Data</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II-82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98"/>
              </w:rPr>
            </w:pPr>
            <w:hyperlink w:anchor="page119">
              <w:r>
                <w:rPr>
                  <w:rFonts w:ascii="Arial" w:cs="Arial" w:eastAsia="Arial" w:hAnsi="Arial"/>
                  <w:sz w:val="18"/>
                  <w:szCs w:val="18"/>
                  <w:color w:val="0000EE"/>
                  <w:w w:val="98"/>
                </w:rPr>
                <w:t>Item 9.</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5"/>
              </w:rPr>
              <w:t>II-115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0"/>
              </w:rPr>
            </w:pPr>
            <w:hyperlink w:anchor="page119">
              <w:r>
                <w:rPr>
                  <w:rFonts w:ascii="Arial" w:cs="Arial" w:eastAsia="Arial" w:hAnsi="Arial"/>
                  <w:sz w:val="18"/>
                  <w:szCs w:val="18"/>
                  <w:color w:val="0000EE"/>
                  <w:w w:val="80"/>
                </w:rPr>
                <w:t>Item 9A.</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Controls and Procedures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5"/>
              </w:rPr>
              <w:t>II-115</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0"/>
              </w:rPr>
            </w:pPr>
            <w:hyperlink w:anchor="page119">
              <w:r>
                <w:rPr>
                  <w:rFonts w:ascii="Arial" w:cs="Arial" w:eastAsia="Arial" w:hAnsi="Arial"/>
                  <w:sz w:val="18"/>
                  <w:szCs w:val="18"/>
                  <w:color w:val="0000EE"/>
                  <w:w w:val="80"/>
                </w:rPr>
                <w:t>Item 9B.</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5"/>
              </w:rPr>
              <w:t>II-115</w:t>
            </w:r>
          </w:p>
        </w:tc>
      </w:tr>
      <w:tr>
        <w:trPr>
          <w:trHeight w:val="20"/>
        </w:trPr>
        <w:tc>
          <w:tcPr>
            <w:tcW w:w="14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rFonts w:ascii="Arial" w:cs="Arial" w:eastAsia="Arial" w:hAnsi="Arial"/>
                <w:sz w:val="18"/>
                <w:szCs w:val="18"/>
                <w:b w:val="1"/>
                <w:bCs w:val="1"/>
                <w:color w:val="0000EE"/>
                <w:w w:val="95"/>
              </w:rPr>
            </w:pPr>
            <w:hyperlink w:anchor="page120">
              <w:r>
                <w:rPr>
                  <w:rFonts w:ascii="Arial" w:cs="Arial" w:eastAsia="Arial" w:hAnsi="Arial"/>
                  <w:sz w:val="18"/>
                  <w:szCs w:val="18"/>
                  <w:b w:val="1"/>
                  <w:bCs w:val="1"/>
                  <w:color w:val="0000EE"/>
                  <w:w w:val="95"/>
                </w:rPr>
                <w:t>PART III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10"/>
        </w:trPr>
        <w:tc>
          <w:tcPr>
            <w:tcW w:w="2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3"/>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10.</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11.</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Executive Compensation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12.</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Security Ownership of Certain Beneficial Owners and Management and Related Stockholder Matters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13.</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 Director Independence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14.</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III-116</w:t>
            </w:r>
          </w:p>
        </w:tc>
      </w:tr>
      <w:tr>
        <w:trPr>
          <w:trHeight w:val="20"/>
        </w:trPr>
        <w:tc>
          <w:tcPr>
            <w:tcW w:w="14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9"/>
        </w:trPr>
        <w:tc>
          <w:tcPr>
            <w:tcW w:w="720" w:type="dxa"/>
            <w:vAlign w:val="bottom"/>
            <w:gridSpan w:val="5"/>
          </w:tcPr>
          <w:p>
            <w:pPr>
              <w:ind w:left="20"/>
              <w:spacing w:after="0"/>
              <w:rPr>
                <w:rFonts w:ascii="Arial" w:cs="Arial" w:eastAsia="Arial" w:hAnsi="Arial"/>
                <w:sz w:val="18"/>
                <w:szCs w:val="18"/>
                <w:b w:val="1"/>
                <w:bCs w:val="1"/>
                <w:color w:val="0000EE"/>
                <w:w w:val="92"/>
              </w:rPr>
            </w:pPr>
            <w:hyperlink w:anchor="page121">
              <w:r>
                <w:rPr>
                  <w:rFonts w:ascii="Arial" w:cs="Arial" w:eastAsia="Arial" w:hAnsi="Arial"/>
                  <w:sz w:val="18"/>
                  <w:szCs w:val="18"/>
                  <w:b w:val="1"/>
                  <w:bCs w:val="1"/>
                  <w:color w:val="0000EE"/>
                  <w:w w:val="92"/>
                </w:rPr>
                <w:t>PART IV</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IV-117</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1">
              <w:r>
                <w:rPr>
                  <w:rFonts w:ascii="Arial" w:cs="Arial" w:eastAsia="Arial" w:hAnsi="Arial"/>
                  <w:sz w:val="18"/>
                  <w:szCs w:val="18"/>
                  <w:color w:val="0000EE"/>
                  <w:w w:val="82"/>
                </w:rPr>
                <w:t>Item 15.</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Exhibits, Financial Statement Schedules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IV-117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rFonts w:ascii="Arial" w:cs="Arial" w:eastAsia="Arial" w:hAnsi="Arial"/>
                <w:sz w:val="18"/>
                <w:szCs w:val="18"/>
                <w:color w:val="0000EE"/>
                <w:w w:val="82"/>
              </w:rPr>
            </w:pPr>
            <w:hyperlink w:anchor="page123">
              <w:r>
                <w:rPr>
                  <w:rFonts w:ascii="Arial" w:cs="Arial" w:eastAsia="Arial" w:hAnsi="Arial"/>
                  <w:sz w:val="18"/>
                  <w:szCs w:val="18"/>
                  <w:color w:val="0000EE"/>
                  <w:w w:val="82"/>
                </w:rPr>
                <w:t>Item 16.</w:t>
              </w:r>
            </w:hyperlink>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Form 10-K Summary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4"/>
              </w:rPr>
              <w:t>IV-119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82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Signatures</w:t>
              </w:r>
            </w:hyperlink>
          </w:p>
        </w:tc>
        <w:tc>
          <w:tcPr>
            <w:tcW w:w="640" w:type="dxa"/>
            <w:vAlign w:val="bottom"/>
          </w:tcPr>
          <w:p>
            <w:pPr>
              <w:spacing w:after="0"/>
              <w:rPr>
                <w:sz w:val="18"/>
                <w:szCs w:val="18"/>
                <w:color w:val="auto"/>
              </w:rPr>
            </w:pPr>
          </w:p>
        </w:tc>
      </w:tr>
      <w:tr>
        <w:trPr>
          <w:trHeight w:val="89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340" w:type="dxa"/>
            <w:vAlign w:val="bottom"/>
            <w:gridSpan w:val="10"/>
          </w:tcPr>
          <w:p>
            <w:pPr>
              <w:jc w:val="right"/>
              <w:ind w:right="5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About Forward-Looking Statements</w:t>
      </w:r>
    </w:p>
    <w:p>
      <w:pPr>
        <w:spacing w:after="0" w:line="19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Throughout this Annual Report on Form 10-K for the year ended June 30, 2021 (this “Annual Report”), we make “forward-looking statements” within the meaning of the U.S. Private Securities Litigation Reform Act of 1995, Section 27A of the Securities Act of 1933, as amended (the “Securities Act”) and Section 21E of the Securities Exchange Act of 1934, as amended (the “Exchange Act”). This Annual Report contains forward-looking statements that are subject to risks and uncertainties. All statements other than statements of historical fact included in this Annual Report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(many of which may be amplified on account of the novel coronavirus disease (“COVID-19”) pandemic) that may cause actual results to differ materially from those that we expected, including:</w:t>
      </w:r>
    </w:p>
    <w:p>
      <w:pPr>
        <w:spacing w:after="0" w:line="139"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cost of providing services will exceed our compensation under PACE;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revenues and operations upon a limited number of government payors;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rules governing the Medicare, Medicaid or PACE programs;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government payors may contain inaccurate or unsupportable information regarding risk adjustment scores of participants;</w:t>
      </w: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non-renewal or termination of capitation agreements with government payors;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healthcare spending;</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 pandemic, epidemic or outbreak of an infectious disease, including the ongoing outbreak of COVID-19;</w:t>
      </w: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our relatively limited operating history as a for-profit company on investors’ ability to evaluate our current business and future prospects;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participants and grow our revenue;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budget appropriations or any other adverse developments in the state of Colorado;</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 execute our business plan, maintain high levels of service and participant satisfaction and adequately address competitive challenges;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concentration of our presence in Colorado, California, New Mexico, Pennsylvania and Virginia;</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an economic downturn;</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adverse impact of inspection, reviews, audits, investigations, legal proceedings, enforcement actions and litigation;</w:t>
      </w:r>
    </w:p>
    <w:p>
      <w:pPr>
        <w:ind w:left="1040" w:right="79" w:hanging="315"/>
        <w:spacing w:after="0" w:line="265"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invest in, implement improvements to and properly maintain the uninterrupted operation and data integrity of our information technology and other business systems;</w:t>
      </w: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 or the risk scores of our participants;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use of “open-source” software;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ind w:left="1040" w:right="7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failures by our suppliers, material price increases on supplies or limitations on our ability to access new technology or medical products;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competition for physicians and other clinical personnel and related increases in our labor costs;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pandemics, such as the COVID-19 pandemic, weather and other factors beyond our control;</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an environment of increasing expenses;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business continuity planning;</w:t>
      </w:r>
    </w:p>
    <w:p>
      <w:pPr>
        <w:ind w:left="1040" w:hanging="315"/>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principles and guidance, resulting in unfavorable accounting charges or effects;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senior management team and other key employees;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retain and contract with highly qualified personnel;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the section entitled “Risk Factors” and elsewhere in this Annual Report.</w:t>
      </w:r>
    </w:p>
    <w:p>
      <w:pPr>
        <w:spacing w:after="0" w:line="40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Annual Report. You should evaluate all forward-looking statements made in this Annual Report in the context of these risks and uncertainties.</w:t>
      </w:r>
    </w:p>
    <w:p>
      <w:pPr>
        <w:spacing w:after="0" w:line="13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 We Are</w:t>
      </w:r>
    </w:p>
    <w:p>
      <w:pPr>
        <w:spacing w:after="0" w:line="18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InnovAge is the leading healthcare delivery platform by number of participants focused on providing all-inclusive, capitated care to high-cost, dual-eligible seniors. Our programs directly address two of the most pressing challenges facing the U.S. healthcare industry: rising costs and poor outcomes. Our participant-centered care delivery approach meaningfully improves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high-quality care is delivered while reducing unnecessary spend, (ii) eliminating excessive administrative costs by contracting directly with the government, (iii) focusing on the patient experience and (iv) addressing social determinants of health.</w:t>
      </w:r>
    </w:p>
    <w:p>
      <w:pPr>
        <w:spacing w:after="0" w:line="12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InnovAge Holding Corp. (formerly, TCO Group Holdings, Inc.)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and Total Community Options Foundation, Inc. (“Foundation”) and Johnson Adult Day Program, Inc. (“Johnson”), both not-for-profit organizations, separated from Total Community Options, Inc. In connection with our initial public offering (“IPO”), which occurred in March 2021, we changed the name of our company from TCO Group Holdings, Inc. to InnovAge Holding Corp. (“InnovAge”). In the following text, the terms “we”, “our”, “our company” and “us” may refer, as the context requires, to InnovAge or collectively to InnovAge and its subsidiaries.</w:t>
      </w:r>
    </w:p>
    <w:p>
      <w:pPr>
        <w:spacing w:after="0" w:line="15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InnovAge, which is headquartered in Denver, Colorado, aims to allow seniors in need of care and support to live life on their terms by aging in place, in their own homes and communities, for as long as safely possible. Through our Program of All-Inclusive Care for the Elderly (“PACE”), we manage, and in many cases directly provide,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the PACE center and third-party medical appointments; and care management. The Company manages its business as one reportable segment, PACE.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PACE</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2021, the Company served approximately 6,850 PACE participants, making it the largest PACE provider in the United States of America (the “U.S.”) based upon participants served, and operated 18 PACE centers across Colorado, California, New Mexico, Pennsylvania and Virginia.</w:t>
      </w:r>
    </w:p>
    <w:p>
      <w:pPr>
        <w:spacing w:after="0" w:line="15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 We deliver our participant-centered care through the InnovAge Platform, which we have designed to bring high-touch, comprehensive, value-based care.</w:t>
      </w:r>
    </w:p>
    <w:p>
      <w:pPr>
        <w:spacing w:after="0" w:line="140"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We believe the traditional fee-for-service reimbursement model in healthcare does not adequately incentivize providers to efficiently manage this complex population. Dual-eligible seniors must navigate a disjointed, separately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administered set of Medicare and Medicaid benefits, which often results in uncoordinated care delivered in silos. Our vertically integrated care model and full-risk contracts incentivize us to coordinate and proactively manage all aspects of a participant’s health. Costs under the PACE program are estimated to be 13% lower on average than for a comparable dual-eligible population aged 65 and older under Medicaid, based on an analysis of available data by the National PACE Association in November 2020, and our costs are estimated to be approximately 8% lower on a weighted average basis than costs for comparable fee-for-service Medicare beneficiaries, based on our analysis of the most recent Dartmouth Atlas data from 2017. Importantly, we believe we deliver significantly better health outcomes. Our care model reduces unnecessary or avoidable medical spend. Based on an analysis performed using most recently available data from 2018,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as of June 30, 2021, our participants had a 28% lower 30-day hospital readmission rate compared to a frail, dual-eligible or disabled waiver population. In addition to reducing spend, we also focus on ensuring our participants are satisfied and receive high-quality care. Our participant satisfaction, based on a survey of a random sample of participants and administered by an independent third party as of January 1, 2021, is 86%. Based on our analysis as of June 30, 2021, our participants live, on average, 1.4 years longer than comparable populations who choose nursing home care, based on a U.S. Department of Health and Human Services (“HHS”) report dated June 27, 2017.</w:t>
      </w:r>
    </w:p>
    <w:p>
      <w:pPr>
        <w:spacing w:after="0" w:line="16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our strong value proposition to each constituency translates into a superior economic model. We directly contract with Medicare and Medicaid on a per member, per month (“PMPM”) basis, which creates recurring revenue streams and provides significant visibility into our revenue growth trajectory. We receive 100% of the pooled capitated payment to directly provide or manage the healthcare needs of our participants. By proactively providing high-quality care and addressing risks related to social determinants of health, we have demonstrated our ability to reduce avoidable utilization of high-cost care settings, such as hospitals and nursing homes. As a result, we create a surplus that can be used to invest in refining our care model and providing even greater social supports for our participants. These investments further improve participants’ experiences and health outcomes, which we believe will result in more savings that will drive our profitable growth. The virtuous cycle we have created enables us to consistently deliver high-quality care, achieve high participant satisfaction and retention, and attract new participants. We believe that continuing to drive medical cost savings over a growing participant census will deliver an even greater surplus to our organization, enabling us to invest in more participant programs, evolve our care model, enhance our technology and fund new centers.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Challenges</w:t>
      </w:r>
    </w:p>
    <w:p>
      <w:pPr>
        <w:spacing w:after="0" w:line="18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Unsustainable and rising healthcare costs. </w:t>
      </w:r>
      <w:r>
        <w:rPr>
          <w:rFonts w:ascii="Arial" w:cs="Arial" w:eastAsia="Arial" w:hAnsi="Arial"/>
          <w:sz w:val="17"/>
          <w:szCs w:val="17"/>
          <w:color w:val="auto"/>
        </w:rPr>
        <w:t>According to data from the Office of the Actuary of CMS,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spending in the United States has grown at approximately 5% per year from 2014 to 2019, and in 2019 represented $3.8 trillion of annual spend, or 17.7% of U.S. GDP. The overall growth rate of healthcare spending is expected to accelerate due to the aging population. Furthermore, the government’s share of total healthcare spend through programs such as Medicare and Medicaid is expected to grow from approximately 37% in 2019 to more than 40% as early as 2024, indicating faster growth in government-sponsored healthcare than the overall market.</w:t>
      </w:r>
    </w:p>
    <w:p>
      <w:pPr>
        <w:spacing w:after="0" w:line="15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Government healthcare spend is disproportionally concentrated in the dual-eligible population, who typically suffer from multiple chronic conditions and require long-term services and supports.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spacing w:after="0" w:line="11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Highly fragmented, uncoordinated healthcare system. </w:t>
      </w:r>
      <w:r>
        <w:rPr>
          <w:rFonts w:ascii="Arial" w:cs="Arial" w:eastAsia="Arial" w:hAnsi="Arial"/>
          <w:sz w:val="18"/>
          <w:szCs w:val="18"/>
          <w:color w:val="auto"/>
        </w:rPr>
        <w:t>The U.S. healthcare system is complex and highly fragmented,</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work in silos. This lack of care coordination can result in missed or inaccurate diagnoses, gaps in care, unnecessary spend and ultimately sub-optimal patient outcomes.</w:t>
      </w:r>
    </w:p>
    <w:p>
      <w:pPr>
        <w:spacing w:after="0" w:line="15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high-frequency users of healthcare services. Based on InnovAge data as of June 30, 2021, the typical InnovAge participant had, on average, eight chronic conditions and, based on our most recently available data from a 2018 health outcomes survey, required, on average, assistance with three or more activities of daily living (“ADLs”). A lack of coordination across providers can have severe consequences given the high occurrence of chronic illnesses and other underlying health issues in this population.</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Prevalence of wasteful spending and sub-optimal outcomes. </w:t>
      </w:r>
      <w:r>
        <w:rPr>
          <w:rFonts w:ascii="Arial" w:cs="Arial" w:eastAsia="Arial" w:hAnsi="Arial"/>
          <w:sz w:val="17"/>
          <w:szCs w:val="17"/>
          <w:color w:val="auto"/>
        </w:rPr>
        <w:t>A 2019 study, published in the Journal of the American</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Association, estimated that approximately 25% of all annual healthcare spending is for unnecessary services, excessive administrative costs, fraud and other inefficiencies creating waste. At spending levels evaluated during the time of the study, this represented approximately $760 billion to $935 billion of wasteful spending.</w:t>
      </w:r>
    </w:p>
    <w:p>
      <w:pPr>
        <w:spacing w:after="0" w:line="13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was expected to reach approximately $191.8 billion in 2021, based on the latest projections made by the Office of the Actuary of CMS.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3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Despite high levels of spending, the U.S. healthcare system struggles to produce better health outcomes and delivers low levels of patient and provider satisfaction.</w:t>
      </w:r>
    </w:p>
    <w:p>
      <w:pPr>
        <w:spacing w:after="0" w:line="143"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Payment structures are evolving to address healthcare issues. </w:t>
      </w:r>
      <w:r>
        <w:rPr>
          <w:rFonts w:ascii="Arial" w:cs="Arial" w:eastAsia="Arial" w:hAnsi="Arial"/>
          <w:sz w:val="17"/>
          <w:szCs w:val="17"/>
          <w:color w:val="auto"/>
        </w:rPr>
        <w:t>Policymakers and healthcare experts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acknowledge that the fee-for-service model 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believe it unintentionally creates the opposite result—acute, episodic care delivered in high-cost settings that unnecessarily drive up the total cost of healthcare.</w:t>
      </w:r>
    </w:p>
    <w:p>
      <w:pPr>
        <w:spacing w:after="0" w:line="13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High-cost, dual-eligible seniors require proactive, coordinated care plans to address their medical acuity, need for long term support and risks related to social determinants of health. Without personalized, patient-centered care that removes barriers to treatment, high-cost, dual-eligible seniors would continue to over-utilize healthcare in higher-cost settings, such as emergency rooms and nursing homes.</w:t>
      </w:r>
    </w:p>
    <w:p>
      <w:pPr>
        <w:spacing w:after="0" w:line="14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Government payors have responded by incentivizing a transition to value-based reimbursement models for dual-eligible seniors. A recent example of this has been the growth of the PACE program.</w:t>
      </w:r>
    </w:p>
    <w:p>
      <w:pPr>
        <w:spacing w:after="0" w:line="143"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PACE is a government-sponsored, provider-led managed care program focused on enabling frail, dual-eligible seniors who qualify to live in a nursing home to age independently in their homes. PACE providers receive a monthly risk-adjusted payment for each participant (PMPM) directly from Medicare and Medicaid to oversee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37" w:lineRule="exact"/>
        <w:rPr>
          <w:sz w:val="20"/>
          <w:szCs w:val="20"/>
          <w:color w:val="auto"/>
        </w:rPr>
      </w:pPr>
    </w:p>
    <w:p>
      <w:pPr>
        <w:jc w:val="both"/>
        <w:ind w:left="60" w:right="79" w:firstLine="324"/>
        <w:spacing w:after="0" w:line="293" w:lineRule="auto"/>
        <w:rPr>
          <w:sz w:val="20"/>
          <w:szCs w:val="20"/>
          <w:color w:val="auto"/>
        </w:rPr>
      </w:pPr>
      <w:r>
        <w:rPr>
          <w:rFonts w:ascii="Arial" w:cs="Arial" w:eastAsia="Arial" w:hAnsi="Arial"/>
          <w:sz w:val="16"/>
          <w:szCs w:val="16"/>
          <w:color w:val="auto"/>
        </w:rPr>
        <w:t>InnovAge participants are, on average, more complex and medically fragile than other Medicare-eligible patients, including those in Medicare Advantage (“MA”) programs. As a result, we receive larger payments for our participants compared to MA participants. This is driven by two factors: (i) we provide care for a higher acuity population, with an average risk adjustment factor (“RAF”) score of 2.45 based on InnovAge data as of June 30, 2021, compared to an average RAF score of 1.08 for Medicare fee-for-service non-dual enrollees, as calculated in an analysis by Avalere Health in June 2020 of a cohort of individuals enrolled in Medicare Fee-for-Service in 2019, and (ii) we have Medicaid spend in addition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to Medicare. Our comprehensive care model and globally capitated payments are designed to cover participants from enrollment until the end of life, including coverage for participants requiring hospice and palliative care.</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successful clinical approaches of PACE helped inform certain aspects of the Center for Medicare and Medicaid Innovation’s recently announced Direct Contracting Program set to begin in 2021. The Direct Contracting Program aims to create value-based payment arrangements directly with provider groups for their current Medicare fee-for-service patients. By transitioning from fee-for-service arrangements to value-based payments, CMS expects healthcare providers will be financially incentivized to simultaneously improve quality while lowering the cost of care and focusing on patient experience, as is done in PACE today.</w:t>
      </w:r>
    </w:p>
    <w:p>
      <w:pPr>
        <w:spacing w:after="0" w:line="15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Legacy healthcare delivery infrastructure has been slow to transition from fee-for-service to value-based care models. </w:t>
      </w:r>
      <w:r>
        <w:rPr>
          <w:rFonts w:ascii="Arial" w:cs="Arial" w:eastAsia="Arial" w:hAnsi="Arial"/>
          <w:sz w:val="18"/>
          <w:szCs w:val="18"/>
          <w:color w:val="auto"/>
        </w:rPr>
        <w:t>In order for the shift to value-based 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is still heavily reliant on fee-for-service reimbursement models.</w:t>
      </w:r>
    </w:p>
    <w:p>
      <w:pPr>
        <w:spacing w:after="0" w:line="147" w:lineRule="exact"/>
        <w:rPr>
          <w:sz w:val="20"/>
          <w:szCs w:val="20"/>
          <w:color w:val="auto"/>
        </w:rPr>
      </w:pPr>
    </w:p>
    <w:p>
      <w:pPr>
        <w:jc w:val="both"/>
        <w:ind w:left="60" w:right="59" w:firstLine="324"/>
        <w:spacing w:after="0" w:line="217" w:lineRule="exact"/>
        <w:rPr>
          <w:sz w:val="20"/>
          <w:szCs w:val="20"/>
          <w:color w:val="auto"/>
        </w:rPr>
      </w:pPr>
      <w:r>
        <w:rPr>
          <w:rFonts w:ascii="Arial" w:cs="Arial" w:eastAsia="Arial" w:hAnsi="Arial"/>
          <w:sz w:val="18"/>
          <w:szCs w:val="18"/>
          <w:color w:val="auto"/>
        </w:rPr>
        <w:t>The novel coronavirus disease (“COVID-19”) pandemic has amplified several flaws in the current legacy healthcare delivery system. Traditional healthcare providers have faced dwindling fee-for-service visits in light of stay-at-home orders, government restrictions and general patient fear of medical settings. This has not only reduced revenues for traditional providers, but has strained their ability to provide necessary care for their patients. Patients with chronic conditions in the fee-for-service system have found themselves unable to access care because the broader healthcare system could not rapidly shift services from institutions to home-based environments. Patients in long-term care facilities, such as nursing homes, have also seen a disproportionately high infection rate as a result of the pandemic. The highly contagious nature of the virus that causes COVID-19 combined with the higher mortality rate in frail seniors created devastating conditions that led to many avoidable deaths. As of June 1, 2021, 4% of all U.S. COVID</w:t>
      </w:r>
      <w:r>
        <w:rPr>
          <w:rFonts w:ascii="MS PGothic" w:cs="MS PGothic" w:eastAsia="MS PGothic" w:hAnsi="MS PGothic"/>
          <w:sz w:val="18"/>
          <w:szCs w:val="18"/>
          <w:color w:val="auto"/>
        </w:rPr>
        <w:t>‑</w:t>
      </w:r>
      <w:r>
        <w:rPr>
          <w:rFonts w:ascii="Arial" w:cs="Arial" w:eastAsia="Arial" w:hAnsi="Arial"/>
          <w:sz w:val="18"/>
          <w:szCs w:val="18"/>
          <w:color w:val="auto"/>
        </w:rPr>
        <w:t>19 cases could be linked to long-term care facilities, according to The New York Times, but those cases translated into 31% of all U.S. COVID-19</w:t>
      </w:r>
      <w:r>
        <w:rPr>
          <w:rFonts w:ascii="MS PGothic" w:cs="MS PGothic" w:eastAsia="MS PGothic" w:hAnsi="MS PGothic"/>
          <w:sz w:val="18"/>
          <w:szCs w:val="18"/>
          <w:color w:val="auto"/>
        </w:rPr>
        <w:t>‑</w:t>
      </w:r>
      <w:r>
        <w:rPr>
          <w:rFonts w:ascii="Arial" w:cs="Arial" w:eastAsia="Arial" w:hAnsi="Arial"/>
          <w:sz w:val="18"/>
          <w:szCs w:val="18"/>
          <w:color w:val="auto"/>
        </w:rPr>
        <w:t>related deaths.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Providers that operate comprehensive value-based models, like us, were better positioned to quickly pivot their care delivery approach to safely treat patients in virtual and home-based settings without losing any revenue. We believe the COVID-19 pandemic has further highlighted the need for integrated, multimodal value-based care delivery models.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are one of the largest healthcare platforms focused on frail, dual-eligible seniors, and we serve participants primarily through PACE. We have built the largest PACE-focused operation in the country based on number of participants; we are twice the size of our closest PACE-focused competitor, more than 30 times larger than the typical PACE operator and the only for-profit PACE operator with a footprint in three or more states. Given our scale and track record of success across geographies, we believe we are well-positioned to capitalize on a significant market opportunity to provide care to frail, high-cost, dual-eligible seniors.</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According to CMS, healthcare spending in the U.S. was greater than $3.6 trillion in 2018, and Medicare and Medicaid combined accounted for greater than $1.3 trillion spent on the care of approximately 125 million individuals. In 2018, there were approximately 12 million individuals simultaneously enrolled in Medicare and Medicaid that we estimate accounted for approximately $464 billion, representing 34% of combined Medicare and Medicaid spend. Our care model targets the most complex, frail subset of the dual-eligible senior population. We estimate our target population at approximately 2.2 million in 2021 based on data from the U.S. Census Bureau from 2018, representing seniors who we believe are dually eligible for Medicare and Medicaid and meet the nursing home eligibility criteria for PACE. We prioritize high-density urban and suburban areas, where there are sizable numbers of frail dual-eligible seniors who would benefit most from our program. We leverage the InnovAge Platform to provide comprehensive, coordinated healthcare to enable our frail, nursing home-eligible seniors to live independently in their homes and communities. We believe people want to stay in their home for as long as possible, and the InnovAge Platform empowers seniors to age independently in their own homes, on their own terms, for as long as possible.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Based on historical results for the year ended June 30, 2021 and our experience and industry knowledge, we estimate an average annual revenue opportunity of $95,000 per participant ($7,900 PMPM) and a total addressable market opportunity of $210 billion, based on our estimated market of approximately 2.2 million PACE eligible in the United States in 2021, as described above. Of these estimated PACE eligible participants, only approximately 57,000 are enrolled in a PACE program, based on an August 2021 report from the National PACE Association, and over the next seven years, the National PACE Association is targeting a PACE enrollment increase at a CAGR of approximately 17%. As a result, we believe we have a substantial runway for growth by bringing our comprehensive value-based model of care to more frail, dual-eligible seniors across the country.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InnovAge Platform</w:t>
      </w:r>
    </w:p>
    <w:p>
      <w:pPr>
        <w:spacing w:after="0" w:line="18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participant-centered approach is tailored to address the complex medical and social needs of our frail dual-eligible senior population. We leverage the InnovAge Platform to deliver comprehensive, highly coordinated healthcare to our participants. The InnovAge Platform consists of (1) our interdisciplinary care teams and (2) our community-based care delivery model. The key attributes of the InnovAge Platform include:</w:t>
      </w:r>
    </w:p>
    <w:p>
      <w:pPr>
        <w:spacing w:after="0" w:line="14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Our participant focus. </w:t>
      </w:r>
      <w:r>
        <w:rPr>
          <w:rFonts w:ascii="Arial" w:cs="Arial" w:eastAsia="Arial" w:hAnsi="Arial"/>
          <w:sz w:val="16"/>
          <w:szCs w:val="16"/>
          <w:color w:val="auto"/>
        </w:rPr>
        <w:t>Our model is focused on caring for frail, high-cost, dual-eligible seniors. Our target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Based on InnovAge data as of June 30, 2021, the typical InnovAge participant had, on average, eight chronic conditions and, based on our most recently available data from a 2018 health outcomes survey, required, on average, assistance with three or more ADLs. As a result, the average InnovAge participant has a Medicare RAF of 2.45 based on InnovAge data as of June 30, 2021, compared to an average RAF score of 1.08 for Medicare fee-for-service non-dual enrollees, as calculated in an analysis by Avalere Health in June 2020 of a cohort of individuals enrolled in Medicare Fee-for-Service in 2019. A higher RAF score indicates poorer health and higher predicted health care costs. Our platform enables participants to exercise their preference to age independently in their homes and stay active in their communities for as long as safely possible. All of our participants are certified as nursing home-eligible, but, as a result of the InnovAge PACE care delivery model, as of June 2021, over 90% of our participants are able to live safely in their homes and communities.</w:t>
      </w:r>
    </w:p>
    <w:p>
      <w:pPr>
        <w:spacing w:after="0" w:line="14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Our interdisciplinary care teams. </w:t>
      </w:r>
      <w:r>
        <w:rPr>
          <w:rFonts w:ascii="Arial" w:cs="Arial" w:eastAsia="Arial" w:hAnsi="Arial"/>
          <w:sz w:val="17"/>
          <w:szCs w:val="17"/>
          <w:color w:val="auto"/>
        </w:rPr>
        <w:t>The IDT structure is core to our clinical model. Our IDTs oversee all aspects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unique care plan and function as the core group of care providers to our participants. Our IDT structure is designed to enhance access to care for our participants and eliminate information silos and gaps in care that frequently occur in a fee-for-service model. We are responsible for all of our participants’ medical care, and we direct care delivery across multiple settings. We deliver individualized care for each participant that addresses both his or her specific medical conditions and social determinants of health. We deliver or manage primary and specialist care, in-home care, hospital visits, nutrition, transportation to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4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Each IDT convenes, at a minimum, experts across at least 11 disciplines to collectively manage the complex care needs of each participant. IDTs are typically comprised of a primary care provider, registered nurse, master’s level social worker, physical therapist, occupational therapist, recreational therapist or activity coordinator, dietician, center manager, home care coordinator, personal care attendant and driver. The IDTs meet multiple times per week to discuss each participant’s care plan and closely monitor key clinical metrics to ensure each participant receives optimal treatment based on his or her current conditions.</w:t>
      </w:r>
    </w:p>
    <w:p>
      <w:pPr>
        <w:spacing w:after="0" w:line="15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Our community-based care delivery model. </w:t>
      </w:r>
      <w:r>
        <w:rPr>
          <w:rFonts w:ascii="Arial" w:cs="Arial" w:eastAsia="Arial" w:hAnsi="Arial"/>
          <w:sz w:val="17"/>
          <w:szCs w:val="17"/>
          <w:color w:val="auto"/>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health, regardless of what is traditionally covered by insurance. As a result, our capabilities are not limited to what we are able to offer inside of our centers.</w:t>
      </w:r>
    </w:p>
    <w:p>
      <w:pPr>
        <w:spacing w:after="0" w:line="143"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Our community-based care centers. </w:t>
      </w:r>
      <w:r>
        <w:rPr>
          <w:rFonts w:ascii="Arial" w:cs="Arial" w:eastAsia="Arial" w:hAnsi="Arial"/>
          <w:sz w:val="17"/>
          <w:szCs w:val="17"/>
          <w:color w:val="auto"/>
        </w:rPr>
        <w:t>Our purpose-built community-based care centers are designed for the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needs of our target population and 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deliver a significant portion of our participants’ care in one location, simplifying the healthcare experience for participants and their families.</w:t>
      </w:r>
    </w:p>
    <w:p>
      <w:pPr>
        <w:spacing w:after="0" w:line="14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Our in-home care capabilities</w:t>
      </w:r>
      <w:r>
        <w:rPr>
          <w:rFonts w:ascii="Arial" w:cs="Arial" w:eastAsia="Arial" w:hAnsi="Arial"/>
          <w:sz w:val="17"/>
          <w:szCs w:val="17"/>
          <w:color w:val="auto"/>
        </w:rPr>
        <w:t>. Our in-home care capabilities enable our participants to live safely in their homes and</w:t>
      </w:r>
      <w:r>
        <w:rPr>
          <w:rFonts w:ascii="Arial" w:cs="Arial" w:eastAsia="Arial" w:hAnsi="Arial"/>
          <w:sz w:val="17"/>
          <w:szCs w:val="17"/>
          <w:i w:val="1"/>
          <w:iCs w:val="1"/>
          <w:color w:val="auto"/>
        </w:rPr>
        <w:t xml:space="preserve"> </w:t>
      </w:r>
      <w:r>
        <w:rPr>
          <w:rFonts w:ascii="Arial" w:cs="Arial" w:eastAsia="Arial" w:hAnsi="Arial"/>
          <w:sz w:val="17"/>
          <w:szCs w:val="17"/>
          <w:color w:val="auto"/>
        </w:rPr>
        <w:t>avoid nursing homes to the extent safely possible. We directly deliver or manage all skilled and unskilled care a participant may require to live independently at home. Additionally, we have dedicated strategic partnerships with “hospital-at-home” providers to deliver acute care in-home when appropriate. In addition, we manage transportation not only to our centers but also to all third-party medical appointments. Our capitated payment model gives us the flexibility to invest in home modifications, such as ramps, grab bars and shower chairs, to reduce falls and make the home safer for our seniors. We believe our presence in our participants’ homes gives us real-time insight into our participants’ health and enables us to positively influence many environmentally-driven social determinants of health.</w:t>
      </w:r>
    </w:p>
    <w:p>
      <w:pPr>
        <w:spacing w:after="0" w:line="13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Our virtual care capabilities</w:t>
      </w:r>
      <w:r>
        <w:rPr>
          <w:rFonts w:ascii="Arial" w:cs="Arial" w:eastAsia="Arial" w:hAnsi="Arial"/>
          <w:sz w:val="17"/>
          <w:szCs w:val="17"/>
          <w:color w:val="auto"/>
        </w:rPr>
        <w:t>. Our virtual care capabilities give us the flexibility to deliver medical care and social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virtually when appropriate. Our physicians are equipped with several telehealth platforms to provide virtual care and utilize the option best suited for each individual participant’s preferences and needs. Our aim is to make virtual care access simple and convenient for our participants. In situations where a participant is unable to use telehealth technology on their own, we dispatch a team member to their home to assist.</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COVID-19 pandemic, we developed our telehealth capabilities, with almost half of our provider visits and almost one quarter of IDT visits provided to our participants remotely during the year ended June 30, 2021. The COVID-19 pandemic has highlighted the strength and adaptability of the InnovAge Platform and our community-based care delivery model. Though the COVID-19 pandemic has altered the mix of settings where we deliver care, our multimodal approach ensures our participants continue to receive the care they need.</w:t>
      </w:r>
    </w:p>
    <w:p>
      <w:pPr>
        <w:spacing w:after="0" w:line="14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Addressing social determinants of health</w:t>
      </w:r>
      <w:r>
        <w:rPr>
          <w:rFonts w:ascii="Arial" w:cs="Arial" w:eastAsia="Arial" w:hAnsi="Arial"/>
          <w:sz w:val="18"/>
          <w:szCs w:val="18"/>
          <w:color w:val="auto"/>
        </w:rPr>
        <w:t>. We believe a key element of the success of our care delivery model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services that mitigate challenges presented by participants’ social determinants of health. We designed our care delivery model to address the following areas:</w:t>
      </w:r>
    </w:p>
    <w:p>
      <w:pPr>
        <w:spacing w:after="0" w:line="143"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stability</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Physical environment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Community and social context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Food and nutrition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 literacy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Fitness</w:t>
      </w:r>
    </w:p>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Our technology suite. </w:t>
      </w:r>
      <w:r>
        <w:rPr>
          <w:rFonts w:ascii="Arial" w:cs="Arial" w:eastAsia="Arial" w:hAnsi="Arial"/>
          <w:sz w:val="18"/>
          <w:szCs w:val="18"/>
          <w:color w:val="auto"/>
        </w:rPr>
        <w:t>Our technology suite supports our ability to deliver consistent, high-quality care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at scale. Our fully capitated care model is operationally complex; it requires coordination among dozens 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Track Record of Profitable Growth</w:t>
      </w:r>
    </w:p>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have a record of driving profitable growth and achieving compelling unit economics. For the fiscal years ended June 30, 2021 and 2020, our consolidated Center-level Contribution Margin, expressed as a percentage of revenue, was 27.3% and 24.9%, respectively, and all of our centers had a positive Center-level Contribution Margin. Our de novo centers opened in the last seven years have generated positive Center-level Contribution Margins in fewer than 12 months of operation.</w:t>
      </w:r>
    </w:p>
    <w:p>
      <w:pPr>
        <w:spacing w:after="0" w:line="14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have demonstrated an ability to scale successfully, expanding our model to a network of 18 centers in five states, which provided care for approximately 6,850 participants during the year ended June 30, 2021. As of June 30 2021, our eligible participant penetration rate was, on average, 13% across our existing markets, and as the only designated PACE provider in most of the MSAs that we serve, we believe there is significant runway for further growth.</w:t>
      </w:r>
    </w:p>
    <w:p>
      <w:pPr>
        <w:spacing w:after="0" w:line="11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believe our track record of successfully operating across different markets gives us an advantage when opening centers in existing and new geographies. We aim to grow the InnovAge Platform by substantially increasing the number of centers we operate in new and existing markets to positively impact the lives of more frail, dual-eligible seniors and drive long-term value for our key stakeholders: participants and their families, government payors and providers.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Value Proposition</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that the InnovAge Platform has enabled us to create a healthcare model where all constituencies involved, including participants, their families, providers and government payors, have the ability to “Win.” Therefore, we “Win” through a virtuous cycle that promotes growth and drives our financial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05"/>
        <w:spacing w:after="0" w:line="269" w:lineRule="auto"/>
        <w:rPr>
          <w:sz w:val="20"/>
          <w:szCs w:val="20"/>
          <w:color w:val="auto"/>
        </w:rPr>
      </w:pPr>
      <w:r>
        <w:rPr>
          <w:rFonts w:ascii="Arial" w:cs="Arial" w:eastAsia="Arial" w:hAnsi="Arial"/>
          <w:sz w:val="17"/>
          <w:szCs w:val="17"/>
          <w:i w:val="1"/>
          <w:iCs w:val="1"/>
          <w:color w:val="auto"/>
        </w:rPr>
        <w:t xml:space="preserve">Our participants “Win” by enjoying a better participant experience, improved health outcomes and remaining in their homes and communities for longer. </w:t>
      </w:r>
      <w:r>
        <w:rPr>
          <w:rFonts w:ascii="Arial" w:cs="Arial" w:eastAsia="Arial" w:hAnsi="Arial"/>
          <w:sz w:val="17"/>
          <w:szCs w:val="17"/>
          <w:color w:val="auto"/>
        </w:rPr>
        <w:t>We leverage our differentiated care delivery model to improve the health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and help them avoid unnecessary hospitalizations and nursing home care. We enable our participants to remain in their homes and age independently. As a result, as of June 2021, over 90% of our participants live in their preferred setting: their home or community. Our care model also delivers superior clinical outcomes: our participants have fewer hospital admissions, fewer low- to medium-severity emergency room visits and lower 30-day hospital readmission rates. Based on our analysis as of June 30, 2021, our participants live, on average, 1.4 years longer than comparable populations who choose nursing home care, based on a report by HHS dated June 27, 2017. Our care model is not “one size fits all,” it is customized to the unique needs of each participant. This approach leads to high levels of participant satisfaction with our program.</w:t>
      </w:r>
    </w:p>
    <w:p>
      <w:pPr>
        <w:spacing w:after="0" w:line="15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Families “Win” as we reduce their caregiving burden and provide “peace of mind”. </w:t>
      </w:r>
      <w:r>
        <w:rPr>
          <w:rFonts w:ascii="Arial" w:cs="Arial" w:eastAsia="Arial" w:hAnsi="Arial"/>
          <w:sz w:val="18"/>
          <w:szCs w:val="18"/>
          <w:color w:val="auto"/>
        </w:rPr>
        <w:t>We significantly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caregiving burden on the families of our 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spacing w:after="0" w:line="15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Our providers “Win” as they are able to focus on improving the lives of their participants. </w:t>
      </w:r>
      <w:r>
        <w:rPr>
          <w:rFonts w:ascii="Arial" w:cs="Arial" w:eastAsia="Arial" w:hAnsi="Arial"/>
          <w:sz w:val="16"/>
          <w:szCs w:val="16"/>
          <w:color w:val="auto"/>
        </w:rPr>
        <w:t>We enable our providers to</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taking care of participants by providing them with meaningful clinical and administrative support. We remove the pressure of trying to optimize visit volume by rewarding quality, not quantity, of care. We estimate that our providers</w:t>
      </w:r>
    </w:p>
    <w:p>
      <w:pPr>
        <w:spacing w:after="0" w:line="2" w:lineRule="exact"/>
        <w:rPr>
          <w:sz w:val="20"/>
          <w:szCs w:val="20"/>
          <w:color w:val="auto"/>
        </w:rPr>
      </w:pPr>
    </w:p>
    <w:p>
      <w:pPr>
        <w:ind w:left="60" w:right="59" w:hanging="10"/>
        <w:spacing w:after="0" w:line="260" w:lineRule="auto"/>
        <w:tabs>
          <w:tab w:leader="none" w:pos="327"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smaller number of participants to care for and spend more time with each participant than providers in similar care organizations, and (2) benefit from the support of a multidisciplinary team.</w:t>
      </w:r>
    </w:p>
    <w:p>
      <w:pPr>
        <w:spacing w:after="0" w:line="14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Government payors “Win” through fiscal certainty and lower costs. </w:t>
      </w:r>
      <w:r>
        <w:rPr>
          <w:rFonts w:ascii="Arial" w:cs="Arial" w:eastAsia="Arial" w:hAnsi="Arial"/>
          <w:sz w:val="18"/>
          <w:szCs w:val="18"/>
          <w:color w:val="auto"/>
        </w:rPr>
        <w:t>We provide fiscal certainty through our capitated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arrangements and reduce the cost of both medical and long-term support and services for high-cost, dual-eligible seniors. Costs under the PACE program are estimated to be 13% lower on average than for a comparable dual-eligible population aged 65 and older under Medicaid, based on an analysis of available data by the National PACE Association in November 2020, and our costs are estimated to be approximately 8% lower on a weighted average basis than costs for comparable fee-for-service Medicare beneficiaries, based on our analysis of the most recent Dartmouth Atlas data from 2017.</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Advantages</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the leading healthcare delivery platform by number of participants focused on providing all-inclusive, capitated care to high-cost, dual-eligible seniors. Our size and scale confer significant competitive advantages that further differentiate us in the marketplace.</w:t>
      </w:r>
    </w:p>
    <w:p>
      <w:pPr>
        <w:spacing w:after="0" w:line="143"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Visionary leadership team with mission-focused culture. </w:t>
      </w:r>
      <w:r>
        <w:rPr>
          <w:rFonts w:ascii="Arial" w:cs="Arial" w:eastAsia="Arial" w:hAnsi="Arial"/>
          <w:sz w:val="16"/>
          <w:szCs w:val="16"/>
          <w:color w:val="auto"/>
        </w:rPr>
        <w:t>The members of our world-class senior leadership team, led</w:t>
      </w:r>
      <w:r>
        <w:rPr>
          <w:rFonts w:ascii="Arial" w:cs="Arial" w:eastAsia="Arial" w:hAnsi="Arial"/>
          <w:sz w:val="16"/>
          <w:szCs w:val="16"/>
          <w:i w:val="1"/>
          <w:iCs w:val="1"/>
          <w:color w:val="auto"/>
        </w:rPr>
        <w:t xml:space="preserve"> </w:t>
      </w:r>
      <w:r>
        <w:rPr>
          <w:rFonts w:ascii="Arial" w:cs="Arial" w:eastAsia="Arial" w:hAnsi="Arial"/>
          <w:sz w:val="16"/>
          <w:szCs w:val="16"/>
          <w:color w:val="auto"/>
        </w:rPr>
        <w:t>by our President and Chief Executive Officer, Maureen Hewitt, have considerable years of healthcare experience. Ms. Hewitt and the senior leadership team’s commitment have fostered a mission-focused, participant-centered culture that drives our leading performance in managing frail dual-eligible seniors. In 2016, Ms. Hewitt led the conversion of InnovAge from a not-for-profit entity to a for-profit entity, which allowed us to access the required capital to grow our footprint nationally and reach more participants. Since the for-profit conversion, the number of participants under our care grew 119% from the fiscal year ended June 30, 2016 to the fiscal year ended June 30, 2021. In the same period, our total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revenues grew 173%, reflecting a 22% CAGR, and our revenue grew organically at a 15% CAGR, which excludes contribution from acquired centers.</w:t>
      </w:r>
    </w:p>
    <w:p>
      <w:pPr>
        <w:spacing w:after="0" w:line="14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Our robust operating platform. </w:t>
      </w:r>
      <w:r>
        <w:rPr>
          <w:rFonts w:ascii="Arial" w:cs="Arial" w:eastAsia="Arial" w:hAnsi="Arial"/>
          <w:sz w:val="17"/>
          <w:szCs w:val="17"/>
          <w:color w:val="auto"/>
        </w:rPr>
        <w:t>We have standardized and streamlined our operations across markets and have invested</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meaningfully in the corporate infrastructure needed to drive participant satisfaction, manage healthcare costs and improve clinical outcomes at scale. Because of our scale, we have been able to invest in dedicated, well-staffed teams for all of our corporate and market-level functions. As a result, our physicians can focus on providing care and are not as burdened with additional administrative demands. Our scale also enables us to make large, organization-wide investments in sales and marketing, technology and clinical infrastructure. We leverage established technology solutions to drive improvements in our operations. We have developed robust internal marketing and referral source development capabilities, including significant investments in digital marketing. Our regulatory expertise and de novo development engine differentiate us from other providers. Importantly, we have a robust compliance infrastructure and team. These platform advantages, coupled with our mission-focused culture, give us confidence in our ability to drive growth and bring our participant-centered care model to more frail, dual-eligible seniors.</w:t>
      </w:r>
    </w:p>
    <w:p>
      <w:pPr>
        <w:spacing w:after="0" w:line="14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Our ability to recruit and retain participants. </w:t>
      </w:r>
      <w:r>
        <w:rPr>
          <w:rFonts w:ascii="Arial" w:cs="Arial" w:eastAsia="Arial" w:hAnsi="Arial"/>
          <w:sz w:val="16"/>
          <w:szCs w:val="16"/>
          <w:color w:val="auto"/>
        </w:rPr>
        <w:t>Our ability to recruit and retain participants has resulted in 10% annual,</w:t>
      </w:r>
      <w:r>
        <w:rPr>
          <w:rFonts w:ascii="Arial" w:cs="Arial" w:eastAsia="Arial" w:hAnsi="Arial"/>
          <w:sz w:val="16"/>
          <w:szCs w:val="16"/>
          <w:i w:val="1"/>
          <w:iCs w:val="1"/>
          <w:color w:val="auto"/>
        </w:rPr>
        <w:t xml:space="preserve"> </w:t>
      </w:r>
      <w:r>
        <w:rPr>
          <w:rFonts w:ascii="Arial" w:cs="Arial" w:eastAsia="Arial" w:hAnsi="Arial"/>
          <w:sz w:val="16"/>
          <w:szCs w:val="16"/>
          <w:color w:val="auto"/>
        </w:rPr>
        <w:t>organic census growth over the last four years. Despite our high levels of participant satisfaction, awareness of the PACE model among potential participants and their families has historically remained low. Based on August 2021 information from the National PACE Association and data from the U.S. Census Bureau from 2018, we estimate that approximately 3% of patients who are PACE-eligible are currently enrolled in a PACE program. We continually invest in targeted sales and marketing capabilities to improve awareness of our program among potential eligible participants. We take a multichannel approach to sales and marketing, relying on a mix of traditional provider referral sources in the community as well as leveraging targeted digital marketing. We have realigned our marketing strategy to focus more on digital channels during the COVID-19 pandemic and to reach those searching for senior care alternatives. We are proud of the fact that the friends and family of our participants remain one of our largest referral sources. We believe our average referral conversion rate of 39.1% across all referral sources, calculated using the last two quarters of our fiscal year, is a testament to the value and attractiveness of our model. We experience very low levels of voluntary disenrollment, averaging 5% annually over the last three fiscal years, suggesting participants are highly satisfied with their care.</w:t>
      </w:r>
    </w:p>
    <w:p>
      <w:pPr>
        <w:spacing w:after="0" w:line="13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Access to capital. </w:t>
      </w:r>
      <w:r>
        <w:rPr>
          <w:rFonts w:ascii="Arial" w:cs="Arial" w:eastAsia="Arial" w:hAnsi="Arial"/>
          <w:sz w:val="18"/>
          <w:szCs w:val="18"/>
          <w:color w:val="auto"/>
        </w:rPr>
        <w:t>Although most companies in the broader managed healthcare industry operate as for-profit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vast majority of our direct competitors are not-for-profit entities, which we believe limits their ability to access capital. Federal restrictions on for-profit PACE providers existed until 2015. We believe we are one of only a few for-profit PACE providers in the country and are the largest PACE-focused operator by number of participants. We are an early adopter of the for-profit PACE structure in a market with limited precedents. As a result, we have devoted resources to engaging with our non-profit community partners, some of which are unaccustomed to working with for-profit organizations, to familiarize them with our business model.</w:t>
      </w:r>
    </w:p>
    <w:p>
      <w:pPr>
        <w:spacing w:after="0" w:line="1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part of our growth-oriented mindset, we have strategically deployed our capital to achieve scale and make the PACE care delivery model accessible to more frail, dual-eligible seniors. We believe our ability to attract investors and access capital will accelerate our growth plans and provides flexibility to simultaneously invest in sales and marketing efforts, de novo centers and strategic acquisitions, all of which will further solidify our leadership position in a fragmented, growing market.</w:t>
      </w:r>
    </w:p>
    <w:p>
      <w:pPr>
        <w:spacing w:after="0" w:line="14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We have a first mover advantage in an industry with high barriers to entry. </w:t>
      </w:r>
      <w:r>
        <w:rPr>
          <w:rFonts w:ascii="Arial" w:cs="Arial" w:eastAsia="Arial" w:hAnsi="Arial"/>
          <w:sz w:val="16"/>
          <w:szCs w:val="16"/>
          <w:color w:val="auto"/>
        </w:rPr>
        <w:t>Our industry has high barriers to entry</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regulatory complexity, operating model complexity and to the cost associated with opening new locations. Furthermore, state and federal governments typically restrict the number of providers who can operate in a designated market service area, often allowing only a single provider per metropolitan statistical area (“MSA”). We believe this dynamic creates significant first-mover advantages in new markets and ample runway for future growth. We have invested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significant time and resources in partnering with state and federal governments to launch operations in new MSAs. We believe that each new program we build reinforces our competitive position.</w:t>
      </w:r>
    </w:p>
    <w:p>
      <w:pPr>
        <w:spacing w:after="0" w:line="143"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We are built to scale nationally. </w:t>
      </w:r>
      <w:r>
        <w:rPr>
          <w:rFonts w:ascii="Arial" w:cs="Arial" w:eastAsia="Arial" w:hAnsi="Arial"/>
          <w:sz w:val="16"/>
          <w:szCs w:val="16"/>
          <w:color w:val="auto"/>
        </w:rPr>
        <w:t>We have proven our ability to execute our model in multiple geographies, as</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evidenced by the strength of our center-level performance across markets. In all of our markets, our de novo centers opened in the last seven years generated positive Center-level Contribution Margins in fewer than 12 months of operation. This consistent performance highlights the predictability of our model and gives us the conviction to continue investing in building centers, hiring top-tier talent and attracting participants in new markets in order to drive long-term value creation.</w:t>
      </w:r>
    </w:p>
    <w:p>
      <w:pPr>
        <w:spacing w:after="0" w:line="12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are one of the few providers operating a globally capitated care model. We have a long track record of successfully managing medical risk, driven by the strength of our operational playbook as well as our risk pool. We believe that we have created a repeatable, data-driven playbook to expand our brand and operations across the United States, and we have made substantial investments to support each key component of our approach. The fundamental aspects of our expansion playbook include deep regulatory knowledge, a disciplined approach to site selection, a targeted sales and marketing approach, a concerted effort to recruit and develop talent, scalable underlying clinical technology and an efficient, uniform operating model.</w:t>
      </w:r>
    </w:p>
    <w:p>
      <w:pPr>
        <w:spacing w:after="0" w:line="15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We have invested in multimodal care delivery capabilities. </w:t>
      </w:r>
      <w:r>
        <w:rPr>
          <w:rFonts w:ascii="Arial" w:cs="Arial" w:eastAsia="Arial" w:hAnsi="Arial"/>
          <w:sz w:val="16"/>
          <w:szCs w:val="16"/>
          <w:color w:val="auto"/>
        </w:rPr>
        <w:t>The COVID-19 pandemic has highlighted the advantages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multimodal care delivery capabilities. The COVID-19 pandemic has disrupted traditional channels of care delivery and created barriers to accessing care for many dual-eligible seniors. Our investment in in-home and virtual care capabilities outside of the four walls of our care centers has enabled us to execute on each participant’s care plan without disruption. We believe the adaptability of our model and our ability to effectively engage our participants in numerous ways, without negatively impacting our capitation revenue, differentiates us from other care providers.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Increase participant enrollment and capacity within existing centers</w:t>
      </w:r>
    </w:p>
    <w:p>
      <w:pPr>
        <w:spacing w:after="0" w:line="185"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driven 10% annual, organic census growth over the last four years.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fiscal year ended June 30, 2021, our participant census was approximately 6,850 across our 18 centers in five states.</w:t>
      </w:r>
    </w:p>
    <w:p>
      <w:pPr>
        <w:jc w:val="both"/>
        <w:ind w:left="720" w:right="79" w:hanging="319"/>
        <w:spacing w:after="0" w:line="25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Inclusive of our in-progress centers and potential center expansion efforts, our centers are expected to have an average maximum capacity of 900 participants and are expected to be able to serve a total of approximately 19,100 participants, which we believe leaves ample runway to increase the number of participants we serve within our current footprint.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Build de novo centers</w:t>
      </w:r>
    </w:p>
    <w:p>
      <w:pPr>
        <w:spacing w:after="0" w:line="198" w:lineRule="exact"/>
        <w:rPr>
          <w:sz w:val="20"/>
          <w:szCs w:val="20"/>
          <w:color w:val="auto"/>
        </w:rPr>
      </w:pPr>
    </w:p>
    <w:p>
      <w:pPr>
        <w:jc w:val="both"/>
        <w:ind w:left="720" w:right="79" w:hanging="319"/>
        <w:spacing w:after="0" w:line="25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successful track record of building de novo centers, and currently have new opportunities in our pipeline which we expect to develop and open in the next one to two fiscal years, including opportunities in new states. We believe de novo centers generate compelling long-term unit economics and robust internal rates of return.</w:t>
      </w:r>
    </w:p>
    <w:p>
      <w:pPr>
        <w:spacing w:after="0" w:line="2"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demonstrated the portability of our platform across different geographies and have a prioritized list of target markets that we believe are optimal environments to launch the InnovAge Platform.</w:t>
      </w:r>
    </w:p>
    <w:p>
      <w:pPr>
        <w:ind w:left="720" w:right="79" w:hanging="319"/>
        <w:spacing w:after="0" w:line="26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approach to de novo developments includes building centers to our experience-based specifications, with flexibility for future center expansion factored into the blueprints where possible.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Execute tuck-in acquisitions</w:t>
      </w:r>
    </w:p>
    <w:p>
      <w:pPr>
        <w:spacing w:after="0" w:line="185" w:lineRule="exact"/>
        <w:rPr>
          <w:sz w:val="20"/>
          <w:szCs w:val="20"/>
          <w:color w:val="auto"/>
        </w:rPr>
      </w:pPr>
    </w:p>
    <w:p>
      <w:pPr>
        <w:jc w:val="both"/>
        <w:ind w:left="720" w:right="79" w:hanging="319"/>
        <w:spacing w:after="0" w:line="255"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the past three fiscal years, we have acquired and integrated three PACE organizations, expanding into one new state and four new markets through those acquisitions. Over the past fiscal year, we have also been transferred slots and appropriation in one new state.</w:t>
      </w:r>
    </w:p>
    <w:p>
      <w:pPr>
        <w:spacing w:after="0" w:line="2"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bringing acquired organizations under the InnovAge Platform, we are able to realize significant revenue growth and improve operational efficiency and care delivery post-integration.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there is a robust landscape of potential tuck-in acquisitions to supplement our organic growth, and that our known track record for improving and integrating acquired businesses while continuing to prioritize participant care positions us as the acquirer of choice in this market.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Reinvest in the InnovAge Platform to optimize performance</w:t>
      </w:r>
    </w:p>
    <w:p>
      <w:pPr>
        <w:spacing w:after="0" w:line="198" w:lineRule="exact"/>
        <w:rPr>
          <w:sz w:val="20"/>
          <w:szCs w:val="20"/>
          <w:color w:val="auto"/>
        </w:rPr>
      </w:pPr>
    </w:p>
    <w:p>
      <w:pPr>
        <w:jc w:val="both"/>
        <w:ind w:left="720" w:right="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that our ongoing investment in the InnovAge Platform drives greater efficiency across our business, creating a virtuous cycle that allows us to continue growing. Our platform is the largest among PACE providers and one of the most geographically diverse.</w:t>
      </w:r>
    </w:p>
    <w:p>
      <w:pPr>
        <w:spacing w:after="0" w:line="2"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plan to continually invest in technology improvements and seek to unlock new insights through enhanced data analytics capabilities that will advance our care model.</w:t>
      </w:r>
    </w:p>
    <w:p>
      <w:pPr>
        <w:jc w:val="both"/>
        <w:ind w:left="720" w:right="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our investments will ultimately result in better health outcomes and lower medical costs for participants. As we continue to reduce medical costs, we expect to generate incremental savings that can be reinvested to support continuous improvement of the InnovAge Platform.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operations are subject to extensive federal, state and local governmental laws and regulations. These laws and regulations require us to meet various standards relating to, among other things, arrangement and provision of covered health 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spacing w:after="0" w:line="195" w:lineRule="exact"/>
        <w:rPr>
          <w:sz w:val="20"/>
          <w:szCs w:val="20"/>
          <w:color w:val="auto"/>
        </w:rPr>
      </w:pPr>
    </w:p>
    <w:p>
      <w:pPr>
        <w:ind w:left="1040" w:hanging="315"/>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suspension, termination or exclusion of our participation in government payor programs;</w:t>
      </w:r>
    </w:p>
    <w:p>
      <w:pPr>
        <w:spacing w:after="0" w:line="23" w:lineRule="exact"/>
        <w:rPr>
          <w:rFonts w:ascii="Arial" w:cs="Arial" w:eastAsia="Arial" w:hAnsi="Arial"/>
          <w:sz w:val="18"/>
          <w:szCs w:val="18"/>
          <w:color w:val="auto"/>
        </w:rPr>
      </w:pPr>
    </w:p>
    <w:p>
      <w:pPr>
        <w:ind w:left="1040" w:right="79" w:hanging="315"/>
        <w:spacing w:after="0" w:line="25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loss of our licenses required to operate healthcare facilities or administer prescription drugs in the states in which we operate;</w:t>
      </w:r>
    </w:p>
    <w:p>
      <w:pPr>
        <w:spacing w:after="0" w:line="1" w:lineRule="exact"/>
        <w:rPr>
          <w:rFonts w:ascii="Arial" w:cs="Arial" w:eastAsia="Arial" w:hAnsi="Arial"/>
          <w:sz w:val="18"/>
          <w:szCs w:val="18"/>
          <w:color w:val="auto"/>
        </w:rPr>
      </w:pPr>
    </w:p>
    <w:p>
      <w:pPr>
        <w:jc w:val="both"/>
        <w:ind w:left="1040" w:right="79" w:hanging="315"/>
        <w:spacing w:after="0" w:line="293"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criminal or civil liability, fines, damages or monetary penalties for violations of healthcare fraud and abuse laws, including the federal Anti-Kickback Statute, Civil Monetary Penalties Law, the False Claims Act (“FCA”) and/or state analogs to these federal enforcement authorities, or other regulatory requirements;</w:t>
      </w:r>
    </w:p>
    <w:p>
      <w:pPr>
        <w:spacing w:after="0" w:line="1" w:lineRule="exact"/>
        <w:rPr>
          <w:rFonts w:ascii="Arial" w:cs="Arial" w:eastAsia="Arial" w:hAnsi="Arial"/>
          <w:sz w:val="16"/>
          <w:szCs w:val="16"/>
          <w:color w:val="auto"/>
        </w:rPr>
      </w:pPr>
    </w:p>
    <w:p>
      <w:pPr>
        <w:jc w:val="both"/>
        <w:ind w:left="1040" w:right="79" w:hanging="315"/>
        <w:spacing w:after="0" w:line="252"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enforcement actions by governmental agencies and/or state law claims for monetary damages by patients or employees who believe their protected health information (“PHI”) and other types of personal data or personally identifiable information (collectively, “PII” and, together with PHI, “PHI/PII”) has been impermissibly used or disclosed or not properly safeguarded, or their rights with respect to PHI/PII have been protected, in violation of federal or state health privacy laws, including, for example and without limitation, the Health Insurance Portability and Accountability Act of 1996, as amended by the Health Information Technology for Economic and Clinical Health Act of 2009 (the “HITECH Act”), and their implementing regulations (collectively, “HIPAA”), the California Consumer Privacy Act (“CCPA”), and the Privacy Act of 1974;</w:t>
      </w:r>
    </w:p>
    <w:p>
      <w:pPr>
        <w:spacing w:after="0" w:line="2" w:lineRule="exact"/>
        <w:rPr>
          <w:rFonts w:ascii="Arial" w:cs="Arial" w:eastAsia="Arial" w:hAnsi="Arial"/>
          <w:sz w:val="18"/>
          <w:szCs w:val="18"/>
          <w:color w:val="auto"/>
        </w:rPr>
      </w:pPr>
    </w:p>
    <w:p>
      <w:pPr>
        <w:ind w:left="1040" w:right="79" w:hanging="315"/>
        <w:spacing w:after="0" w:line="25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or decrease our revenue;</w:t>
      </w:r>
    </w:p>
    <w:p>
      <w:pPr>
        <w:spacing w:after="0" w:line="1" w:lineRule="exact"/>
        <w:rPr>
          <w:rFonts w:ascii="Arial" w:cs="Arial" w:eastAsia="Arial" w:hAnsi="Arial"/>
          <w:sz w:val="18"/>
          <w:szCs w:val="18"/>
          <w:color w:val="auto"/>
        </w:rPr>
      </w:pPr>
    </w:p>
    <w:p>
      <w:pPr>
        <w:jc w:val="both"/>
        <w:ind w:left="1040" w:right="79" w:hanging="315"/>
        <w:spacing w:after="0" w:line="260"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2" w:lineRule="exact"/>
        <w:rPr>
          <w:rFonts w:ascii="Arial" w:cs="Arial" w:eastAsia="Arial" w:hAnsi="Arial"/>
          <w:sz w:val="18"/>
          <w:szCs w:val="18"/>
          <w:color w:val="auto"/>
        </w:rPr>
      </w:pPr>
    </w:p>
    <w:p>
      <w:pPr>
        <w:ind w:left="1040" w:right="79" w:hanging="315"/>
        <w:spacing w:after="0" w:line="258"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government payors and real estate leases;</w:t>
      </w:r>
    </w:p>
    <w:p>
      <w:pPr>
        <w:spacing w:after="0" w:line="1" w:lineRule="exact"/>
        <w:rPr>
          <w:rFonts w:ascii="Arial" w:cs="Arial" w:eastAsia="Arial" w:hAnsi="Arial"/>
          <w:sz w:val="18"/>
          <w:szCs w:val="18"/>
          <w:color w:val="auto"/>
        </w:rPr>
      </w:pPr>
    </w:p>
    <w:p>
      <w:pPr>
        <w:ind w:left="1020" w:right="79" w:hanging="322"/>
        <w:spacing w:after="0" w:line="27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and reinterpretation of rules and laws by a regulatory agency or court, such as state corporate practice of medicine laws, that could affect the structure and management of our business;</w:t>
      </w:r>
    </w:p>
    <w:p>
      <w:pPr>
        <w:ind w:left="1020" w:right="79" w:hanging="322"/>
        <w:spacing w:after="0" w:line="26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adjustments to government payment models including, but not limited to, Medicare Parts C and D and Medicaid;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hanging="322"/>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 to our reputation, which could negatively impact our business relationships, the terms of government payor contracts, our ability to attract and retain participants and physicians, our ability to obtain financing and our access to new business opportunities, among other things.</w:t>
      </w:r>
    </w:p>
    <w:p>
      <w:pPr>
        <w:spacing w:after="0" w:line="19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with whom we contract at any time in the future. See Item 1A. Risk Factors, “Risks Related to Regulation.”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and State Regulation of PACE Providers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subject to a complex array of federal and state laws, regulations, and guidance, including legal requirements directly applicable to PACE providers as well as Medicare and Medicaid laws and regulations. These laws and guidances relate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 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requirements applicable to Medicare Part D plan sponsors.</w:t>
      </w:r>
    </w:p>
    <w:p>
      <w:pPr>
        <w:spacing w:after="0" w:line="18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a PACE provider, we and our centers are subject to audits by CMS and state agencies, which have in the past or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See Item 1A. Risk Factors, “Risks Related to Regulation” for a description of certain current audits. We expect these audits to continue in the future. In addition to risks associated with audits of our current centers, we also face risks associated with new centers that we may acquire in the future, which may not have developed the same compliance and quality infrastructure that we currently have in place. Issues identified through these audits can result in corrective action plans, civil monetary penalties, enrollment suspensions, and other financial penalties and enforcement actions, in addition to loss of our contracts with CMS and state agencies.</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regulations and contractual requirements applicable to PACE providers are complex and subject to change, making it necessary for us to invest significant resources in complying with these requirements. Scrutiny through federal and state government audits, oversight and enforcement and the highly technical regulatory scheme mean that our compliance efforts in this area will continue to require significant resources. CMS and state regulatory authorities regularly audit our performance to determine our compliance with CMS’s regulations and our contracts with CMS and to assess the quality of the services we provide to our participants. Whether identified through these audits or other avenues, our failure to comply with the federal and state laws applicable to our business may result in significant or material retroactive adjustments to and/or withholding of capitation payments, fines, criminal liability, civil monetary penalties, requirements to make significant changes to our operations, CMS imposed sanctions (including suspension or exclusion from participation in government programs), loss of contracts, or cessation of our services.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Licensing Laws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our healthcare professionals, and our centers are subject to various state and local licensure and certification requirements in connection with our provision of health care and other services. Specifically, in some of the states in which we operate, we are required to maintain licensure or certification as an adult day health center, home health or home care provider, diagnostic and treatment center, pharmacy provider, clinical laboratory and/or other type of facility, and our employed physicians and other clinicians also must be licensed or certified, as applicable, in the states in which they are providing services. We, our healthcare professionals and our centers are also subject to a variety of other state laws and regulations, relating to, among other things, the quality of medical care, equipment, privacy of health information, physician relationships, personnel and operating policies and procedures. In addition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to state requirements, we and/or our healthcare professionals are in some cases subject to federal licensing and certification requirements, such as certification or waiver under the Clinical Laboratory Improvement Amendments of 1988 for performing limited laboratory testing and Drug Enforcement Administration registration for writing prescriptions for controlled substances. In addition, certain of the states where we currently operate or may choose to operate in the future regulate the operations and financial condition of risk bearing providers. These regulations can include capital requirements, licensing or certification, governance controls and other similar matters. While the states in which we operate do not currently impose these regulations on entities solely bearing risk under the PACE program, these states or states that we expand into may in the future seek to license or otherwise regulate our operations and financial solvency.</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Failure to comply with federal, state and local licensing and certification laws, regulations and standards could result in a variety of consequences, including cessation of our services, loss of our contracts, prior payments by payors being subject to recoupment, requirements to make significant changes to our operations, or civil or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For example, in Pennsylvania, the statutes that pertain to the employment of health care practitioners by health care facilities do not explicitly include a PACE organization in the list of health care facilities by which a health care practitioner may be employed. Any failure to satisfy applicable laws and regulations could have a material adverse impact on our business, results of operations, financial condition, cash flows and reputation.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left="60" w:right="79" w:firstLine="324"/>
        <w:spacing w:after="0" w:line="253" w:lineRule="auto"/>
        <w:rPr>
          <w:sz w:val="20"/>
          <w:szCs w:val="20"/>
          <w:color w:val="auto"/>
        </w:rPr>
      </w:pPr>
      <w:r>
        <w:rPr>
          <w:rFonts w:ascii="Arial" w:cs="Arial" w:eastAsia="Arial" w:hAnsi="Arial"/>
          <w:sz w:val="18"/>
          <w:szCs w:val="18"/>
          <w:color w:val="auto"/>
        </w:rPr>
        <w:t>The laws and regulations relating to our operations vary from state to state, and some states in which we operate prohibit general business corporations, such as us, from practicing medicine, controlling physicians’ medical decisions or engaging in some practices such as splitting professional fees with physicians. In certain states, we currently contract with physicians to provide healthcare services that are required to be provided by licensed physicians. While we believe that we are in substantial compliance with state laws prohibiting the corporate practice of medicine, other parties may assert that we could be engaged in the corporate practice of medicine. Were such allegations to be asserted successfully before the appropriate judicial or administrative forums, we could be subject to adverse judicial or administrative penalties, certain contracts could be determined to be unenforceable and we may be required to restructure our contractual arrangements.</w:t>
      </w:r>
    </w:p>
    <w:p>
      <w:pPr>
        <w:spacing w:after="0" w:line="1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consequences associated with violating corporate practice of medicine laws vary by state and may result in physicians being subject to disciplinary action, as well as forfeiture of revenues from government payors for services rendered. For lay entities, violations may also bring both civil and, in more extreme cases, criminal liability for engaging in medical practice without a license. Some of the relevant laws, regulations and agency interpretations in states with corporate practice of medicine restrictions have been subject to limited judicial and regulatory interpretation. In limited cases, courts have required companies to divest or reorganize structures deemed to violate corporate practice restrictions. Moreover, state laws are subject to change. Any allegations or findings that we have violated these laws could have a material adverse impact on our reputation, business, results of operations and financial condition.</w:t>
      </w:r>
    </w:p>
    <w:p>
      <w:pPr>
        <w:spacing w:after="0" w:line="19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Item 1A. Risk Factors, “Risks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healthcare programs for a minimum of five years in the case of criminal conviction. Civil penalties for violation of the Anti-Kickback Statute include up to $104,330 in monetary penalties per violation, repayments of up to three times the total payments between the parties to the arrangement and potential exclusion from participation in Medicare and Medicaid. Court decisions have held that the statute may be violated even if only one purpose of remuneration is to induce referrals. The Affordable Care Act (the “ACA”) amended the federal Anti-Kickback Statute to clarify the intent that is required to prove a violation. Under the statute as amended, the defendant does not need to have actual knowledge of the federal Anti-Kickback Statute or have the specific intent to violate it. In addition, the ACA amended the federal Anti-Kickback Statute to provide that any claims for items or services resulting from a violation of the federal Anti-Kickback Statute are considered false or fraudulent for purposes of the FCA.</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federal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federal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enter into several arrangements that could potentially implicate the Anti-Kickback Statute if the requisite intent were present, such as:</w:t>
      </w:r>
    </w:p>
    <w:p>
      <w:pPr>
        <w:spacing w:after="0" w:line="170" w:lineRule="exact"/>
        <w:rPr>
          <w:sz w:val="20"/>
          <w:szCs w:val="20"/>
          <w:color w:val="auto"/>
        </w:rPr>
      </w:pPr>
    </w:p>
    <w:p>
      <w:pPr>
        <w:jc w:val="both"/>
        <w:ind w:left="1020" w:right="59" w:hanging="322"/>
        <w:spacing w:after="0" w:line="286"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Ventures. </w:t>
      </w:r>
      <w:r>
        <w:rPr>
          <w:rFonts w:ascii="Arial" w:cs="Arial" w:eastAsia="Arial" w:hAnsi="Arial"/>
          <w:sz w:val="16"/>
          <w:szCs w:val="16"/>
          <w:color w:val="auto"/>
        </w:rPr>
        <w:t>To prove the concept of our ability to work with not-for-profits, we operate one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centers under a joint venture with a not-for-profit healthcare provider. Although we do not expressly seek to enter into new joint ventures, it is possible that the government payor landscape in certain markets we may attempt to enter in the future may make entering into additional joint ventures attractive. Investment interests in the joint venture may not fully satisfy a safe harbor. Although failure to comply with a safe harbor does not render an arrangement illegal under the federal Anti-Kickback Statute, an arrangement that does not operate within a safe harbor may be subject to increased scrutiny and the Office of Inspector General (the “OIG”) of HHS has warned health care entities in the past that certain joint venture relationships have a potential for abuse. Joint ventures that fall outside the safe harbors are evaluated on a case-by-case basis under the federal Anti-Kickback Statute. In this regard, we have endeavored to structure our joint venture to satisfy as many elements of the applicable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spacing w:after="0" w:line="173" w:lineRule="exact"/>
        <w:rPr>
          <w:rFonts w:ascii="Arial" w:cs="Arial" w:eastAsia="Arial" w:hAnsi="Arial"/>
          <w:sz w:val="16"/>
          <w:szCs w:val="16"/>
          <w:color w:val="auto"/>
        </w:rPr>
      </w:pPr>
    </w:p>
    <w:p>
      <w:pPr>
        <w:jc w:val="both"/>
        <w:ind w:left="1020" w:right="59" w:hanging="322"/>
        <w:spacing w:after="0" w:line="25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Discounts. </w:t>
      </w:r>
      <w:r>
        <w:rPr>
          <w:rFonts w:ascii="Arial" w:cs="Arial" w:eastAsia="Arial" w:hAnsi="Arial"/>
          <w:sz w:val="18"/>
          <w:szCs w:val="18"/>
          <w:color w:val="auto"/>
        </w:rPr>
        <w:t>Our centers sometimes acquire certain items and services at a discount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reimbursed by a federal healthcare program. We endeavor to structure our vendor contracts that include discount or rebate provisions to comply with the federal Anti-Kickback Statute safe harbor for discounts.</w:t>
      </w:r>
    </w:p>
    <w:p>
      <w:pPr>
        <w:spacing w:after="0" w:line="20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Forces and Participant Recruitment. </w:t>
      </w:r>
      <w:r>
        <w:rPr>
          <w:rFonts w:ascii="Arial" w:cs="Arial" w:eastAsia="Arial" w:hAnsi="Arial"/>
          <w:sz w:val="18"/>
          <w:szCs w:val="18"/>
          <w:color w:val="auto"/>
        </w:rPr>
        <w:t>We employ our own sales force and attempt to meet the Anti-Kickback safe harbor for bona fide employment.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healthcare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programs and FCA liability. Any findings that we have violated these laws could have a material adverse impact on our business, results of operations, financial condition, cash flows, reputation and stock price.</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part of HHS’s Regulatory Sprint to Coordinated Care, OIG issued a request for information in August 2018 seeking input on regulatory provisions that may act as barriers to coordinated care or value-based care. Specifically, OIG sought to identify ways in which it might modify or add new safe harbors to the Anti-Kickback Statute (as well as exceptions to the definition of “remuneration” in the beneficiary inducements provision of the Civil Monetary Penalty Statute) in order to foster arrangements that promote care coordination and advance the delivery of value-based care, while also protecting against harms caused by fraud and abuse. OIG issued final rules effective January 19, 2021, that modify existing safe harbors and create new safe harbors and exceptions that may impact our business, results of operations and financial condition. However, it remains unclear how these final rules will be interpreted and implemented.</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Self-Referral Prohibition</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federal Ethics in Patient Referral Act (“Stark Law”) generally prohibits a physician who has (or whose immediate family member has) a financial relationship with a provider from making referrals to that “entity” for “designated health services” if payment for the services may be made under Medicare or Medicaid.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 If our operations ever result in us being included within the definition of an “entity” under the Stark Law, then any financial relationships that we have with a referring provider would be prohibited unless a statutory or regulatory exception is available.</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Providers are prohibited from filing Medicare claims for services related to a prohibited referral and a provider that has billed for prohibited services is obligated to notify and refund the amounts collected from the Medicare program or to make a self-disclosure to CMS under its Self-Referral Disclosure Protocol. Penalties for violation of the Stark Law include denial of payment, recoupment, refunds of amounts paid in violation of the law, exclusion from the Medicare or Medicaid programs, and substantial civil monetary penalties ($25,820 per prohibited item or service and $172,137 if there is a circumvention scheme; penalty amounts reflect current 2021 levels and are adjusted for inflation from time to time). Claims filed in violation of the Stark Law may be deemed false claims under the FCA. In addition to the Stark Law, various states in which we operate have adopted their own self-referral prohibition statutes.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Among other things, the FCA authorizes the imposition of up to three times the government’s damages and significant per claim civil penalties on any “person” (including an individual, organization or company) who, among other acts:</w:t>
      </w:r>
    </w:p>
    <w:p>
      <w:pPr>
        <w:spacing w:after="0" w:line="184" w:lineRule="exact"/>
        <w:rPr>
          <w:sz w:val="20"/>
          <w:szCs w:val="20"/>
          <w:color w:val="auto"/>
        </w:rPr>
      </w:pPr>
    </w:p>
    <w:p>
      <w:pPr>
        <w:jc w:val="both"/>
        <w:ind w:left="1020" w:right="59" w:hanging="322"/>
        <w:spacing w:after="0" w:line="25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presents or causes to be presented to the federal government a false or fraudulent claim for payment or approval, which may relate to our records or reports necessary to generate appropriate RAF determinations;</w:t>
      </w:r>
    </w:p>
    <w:p>
      <w:pPr>
        <w:spacing w:after="0" w:line="2" w:lineRule="exact"/>
        <w:rPr>
          <w:rFonts w:ascii="Arial" w:cs="Arial" w:eastAsia="Arial" w:hAnsi="Arial"/>
          <w:sz w:val="18"/>
          <w:szCs w:val="18"/>
          <w:color w:val="auto"/>
        </w:rPr>
      </w:pPr>
    </w:p>
    <w:p>
      <w:pPr>
        <w:ind w:left="1020" w:right="79" w:hanging="322"/>
        <w:spacing w:after="0" w:line="27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171" w:lineRule="exact"/>
        <w:rPr>
          <w:rFonts w:ascii="Arial" w:cs="Arial" w:eastAsia="Arial" w:hAnsi="Arial"/>
          <w:sz w:val="18"/>
          <w:szCs w:val="18"/>
          <w:color w:val="auto"/>
        </w:rPr>
      </w:pPr>
    </w:p>
    <w:p>
      <w:pPr>
        <w:jc w:val="both"/>
        <w:ind w:left="1020" w:right="59" w:hanging="322"/>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conspires to commit the above 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The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the extent we received improper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penalties for a violation of the FCA may include per claim penalties, plus up to three times the amount of damages caused by each false claim, which can be as much as the amounts received directly or indirectly from the government for each such false claim. The Department of Justice has adjusted the per claim penalty range from $11,665 to $23,331 for penalties assessed after June 19, 2020, if the underlying conduct occurred after November 2, 2015.</w:t>
      </w:r>
    </w:p>
    <w:p>
      <w:pPr>
        <w:spacing w:after="0" w:line="188"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addition to civil enforcement under the FCA,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reputation, business, results of operations and financial condition.</w:t>
      </w:r>
    </w:p>
    <w:p>
      <w:pPr>
        <w:spacing w:after="0" w:line="18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84" w:lineRule="exact"/>
        <w:rPr>
          <w:sz w:val="20"/>
          <w:szCs w:val="20"/>
          <w:color w:val="auto"/>
        </w:rPr>
      </w:pPr>
    </w:p>
    <w:p>
      <w:pPr>
        <w:jc w:val="both"/>
        <w:ind w:left="1020" w:right="59" w:hanging="322"/>
        <w:spacing w:after="0" w:line="25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1" w:lineRule="exact"/>
        <w:rPr>
          <w:rFonts w:ascii="Arial" w:cs="Arial" w:eastAsia="Arial" w:hAnsi="Arial"/>
          <w:sz w:val="18"/>
          <w:szCs w:val="18"/>
          <w:color w:val="auto"/>
        </w:rPr>
      </w:pPr>
    </w:p>
    <w:p>
      <w:pPr>
        <w:jc w:val="both"/>
        <w:ind w:left="1020" w:right="59" w:hanging="322"/>
        <w:spacing w:after="0" w:line="25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 w:lineRule="exact"/>
        <w:rPr>
          <w:rFonts w:ascii="Arial" w:cs="Arial" w:eastAsia="Arial" w:hAnsi="Arial"/>
          <w:sz w:val="18"/>
          <w:szCs w:val="18"/>
          <w:color w:val="auto"/>
        </w:rPr>
      </w:pPr>
    </w:p>
    <w:p>
      <w:pPr>
        <w:ind w:left="1020" w:right="59" w:hanging="322"/>
        <w:spacing w:after="0" w:line="25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arranging contracts with or making payments to an entity or individual excluded from participation in the federal health care programs or included on CMS’s preclusion list;</w:t>
      </w: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violating the federal Anti-Kickback Statute;</w:t>
      </w:r>
    </w:p>
    <w:p>
      <w:pPr>
        <w:spacing w:after="0" w:line="22" w:lineRule="exact"/>
        <w:rPr>
          <w:rFonts w:ascii="Arial" w:cs="Arial" w:eastAsia="Arial" w:hAnsi="Arial"/>
          <w:sz w:val="18"/>
          <w:szCs w:val="18"/>
          <w:color w:val="auto"/>
        </w:rPr>
      </w:pPr>
    </w:p>
    <w:p>
      <w:pPr>
        <w:ind w:left="1020" w:right="79" w:hanging="322"/>
        <w:spacing w:after="0" w:line="25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using or causing to be made or used a false record or statement material to a false or fraudulent claim for payment for items and services furnished under a federal health care program;</w:t>
      </w:r>
    </w:p>
    <w:p>
      <w:pPr>
        <w:jc w:val="both"/>
        <w:ind w:left="1020" w:right="59" w:hanging="322"/>
        <w:spacing w:after="0" w:line="25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 w:lineRule="exact"/>
        <w:rPr>
          <w:rFonts w:ascii="Arial" w:cs="Arial" w:eastAsia="Arial" w:hAnsi="Arial"/>
          <w:sz w:val="18"/>
          <w:szCs w:val="18"/>
          <w:color w:val="auto"/>
        </w:rPr>
      </w:pPr>
    </w:p>
    <w:p>
      <w:pPr>
        <w:ind w:left="1020" w:hanging="32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failing to report and return an overpayment owed to the federal government.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ensure that we do not make payments to contracted or noncontracted providers listed on CMS’s preclusion list nor make payments for drugs prescribed by individuals on the preclusion list. However,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of noncompliance with the Civil Monetary Penalty Statute that have the potential for a material adverse impact on our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225"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The federal regulations promulgated under the authority of HIPAA require us to provide certain protections to our participants and their health information. The HIPAA privacy and security regulations extensively regulate the use and disclosure of PHI and require covered entities, which include healthcare providers and their business associates, to implement and maintain administrative, physical and technical safeguards to protect the security of such information. Additional security requirements apply to electronic PHI. These regulations also provide our participants with substantive rights with respect to their health information.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HIPAA privacy and security regulations also require us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9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$1.5 million (not adjusted for inflation) per year for identical violations.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8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 addition to HIPAA, we may be subject to other laws governing the privacy and security of data, such as the CCPA and data breach notification laws.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 Efforts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 care consumers might react to federal and state healthcare legislation and regulation, whether already enacted or enacted in the future, nor can we predict what form many of these regulations will take before implementation. Some examples of legislative and regulatory changes impacting our business include:</w:t>
      </w:r>
    </w:p>
    <w:p>
      <w:pPr>
        <w:spacing w:after="0" w:line="177" w:lineRule="exact"/>
        <w:rPr>
          <w:sz w:val="20"/>
          <w:szCs w:val="20"/>
          <w:color w:val="auto"/>
        </w:rPr>
      </w:pPr>
    </w:p>
    <w:p>
      <w:pPr>
        <w:jc w:val="both"/>
        <w:ind w:left="1020" w:right="59" w:hanging="322"/>
        <w:spacing w:after="0" w:line="290"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March 2010, broad healthcare reform legislation was enacted in the United States through the ACA. There have since been numerous political and legal efforts to repeal, replace or modify the ACA, some of which have been successful, in part, in modifying the law. Although many of the provisions of the ACA did not take effect immediately and continue to be implemented, and some have been and may be modified before or during their implementation, the reforms could continue to have an impact on our business in a number of ways. Provisions of the ACA that impact the Medicare and Medicaid programs, in particular, may have an impact on our business. These and other provisions of the ACA remain subject to ongoing uncertainty due to developing regulations as well as continuing political and legal challenges at both the federal and state levels.</w:t>
      </w:r>
    </w:p>
    <w:p>
      <w:pPr>
        <w:spacing w:after="0" w:line="165" w:lineRule="exact"/>
        <w:rPr>
          <w:rFonts w:ascii="Arial" w:cs="Arial" w:eastAsia="Arial" w:hAnsi="Arial"/>
          <w:sz w:val="16"/>
          <w:szCs w:val="16"/>
          <w:color w:val="auto"/>
        </w:rPr>
      </w:pPr>
    </w:p>
    <w:p>
      <w:pPr>
        <w:jc w:val="both"/>
        <w:ind w:left="1020" w:right="59" w:hanging="322"/>
        <w:spacing w:after="0" w:line="272"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these types of changes are implemented in the future,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spacing w:after="0" w:line="177" w:lineRule="exact"/>
        <w:rPr>
          <w:rFonts w:ascii="Arial" w:cs="Arial" w:eastAsia="Arial" w:hAnsi="Arial"/>
          <w:sz w:val="17"/>
          <w:szCs w:val="17"/>
          <w:color w:val="auto"/>
        </w:rPr>
      </w:pPr>
    </w:p>
    <w:p>
      <w:pPr>
        <w:jc w:val="both"/>
        <w:ind w:left="1020" w:right="59" w:hanging="322"/>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Legislation enacted in 2011 requires CMS to sequester or reduce all Medicare payments, including payments to PACE organizations, by two percent per year for a period of years. Subsequent legislation extended these cuts through 2030, but legislation enacted in 2020 suspended the cuts during the pandemic. Currently, the 2% cuts under sequestration are scheduled to be reinstated in 2022, which, once reinstated, will negatively impact our revenue.</w:t>
      </w:r>
    </w:p>
    <w:p>
      <w:pPr>
        <w:spacing w:after="0" w:line="21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While there may be significant changes to the healthcare environment in the future, the specific changes and their timing are not yet apparent. Specifically, changes in Medicare and Medicaid could lower PACE rates or increase our expenses. Any failure to successfully implement strategic initiatives that respond to future legislative, regulatory, and executive changes could have a material adverse effect on government-sponsored PACE programs, our business, results of operations and financial condition.</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Item 1A. Risk Factors, “Risks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healthcare facilities, including our community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pacing w:after="0" w:line="1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Federal and state law also governs the dispensing of controlled substances by physicians. For example, the Prescription Drug Marketing Act governs the distribution of drug samples. Physicians are required to report relationships they have with the manufacturers of drugs, medical devices and biologics through the Open Payments Program database. Any allegations or findings that we or our providers have violated any of these laws or regulations could have a material adverse impact on our reputation, business, results of operations and financial condition. Certain states in which we do business or may desire to do business in the future have certificate of need programs regulating the establishment or expansion of healthcare facilities, including our community centers. These regulations can be complex and time-consuming. Any failure to comply with such regulatory requirements could adversely impact our business, results of operations and financial condition.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is unknown at this time. The virus has and continues to disproportionately impact older adults, especially those with chronic illnesses, which describes our participants. To date, we have experienced or expect to experience the following impacts on our business model due to COVID-19.</w:t>
      </w:r>
    </w:p>
    <w:p>
      <w:pPr>
        <w:spacing w:after="0" w:line="14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Care Model</w:t>
      </w:r>
      <w:r>
        <w:rPr>
          <w:rFonts w:ascii="Arial" w:cs="Arial" w:eastAsia="Arial" w:hAnsi="Arial"/>
          <w:sz w:val="16"/>
          <w:szCs w:val="16"/>
          <w:color w:val="auto"/>
        </w:rPr>
        <w:t>. Though the COVID-19 pandemic altered the mix of settings where we deliver care, our multimodal</w:t>
      </w:r>
      <w:r>
        <w:rPr>
          <w:rFonts w:ascii="Arial" w:cs="Arial" w:eastAsia="Arial" w:hAnsi="Arial"/>
          <w:sz w:val="16"/>
          <w:szCs w:val="16"/>
          <w:i w:val="1"/>
          <w:iCs w:val="1"/>
          <w:color w:val="auto"/>
        </w:rPr>
        <w:t xml:space="preserve"> </w:t>
      </w:r>
      <w:r>
        <w:rPr>
          <w:rFonts w:ascii="Arial" w:cs="Arial" w:eastAsia="Arial" w:hAnsi="Arial"/>
          <w:sz w:val="16"/>
          <w:szCs w:val="16"/>
          <w:color w:val="auto"/>
        </w:rPr>
        <w:t>model ensured that our participants continued to receive the care they needed. We closed all our centers in March 2020 and transitioned to a 100% in-home and virtual care model that allowed for seamless delivery of care while increasing participant visit volume and maintaining continuity of care. Our telehealth solution received high satisfaction among participants, caregivers and IDTs. In February 2021, as the prevalence of COVID-19 decreased in the communities we serve, we began re-opening our centers using a phased approach to ensure the safety of both our staff and participants. In addition, community assisted living and skilled nursing facilities began to open to allow in-person visits by all members of our IDT. By June 2021, we fully opened all our centers and transitioned to a predominantly in-person, center-based care model, supplemented by telehealth. We expect telehealth care delivery to remain a part of our ongoing care model.</w:t>
      </w:r>
    </w:p>
    <w:p>
      <w:pPr>
        <w:spacing w:after="0" w:line="12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Growth</w:t>
      </w:r>
      <w:r>
        <w:rPr>
          <w:rFonts w:ascii="Arial" w:cs="Arial" w:eastAsia="Arial" w:hAnsi="Arial"/>
          <w:sz w:val="16"/>
          <w:szCs w:val="16"/>
          <w:color w:val="auto"/>
        </w:rPr>
        <w:t>. As a result of the COVID-19 pandemic, at the end of March 2020, we pivoted to a virtual enrollment model</w:t>
      </w:r>
      <w:r>
        <w:rPr>
          <w:rFonts w:ascii="Arial" w:cs="Arial" w:eastAsia="Arial" w:hAnsi="Arial"/>
          <w:sz w:val="16"/>
          <w:szCs w:val="16"/>
          <w:i w:val="1"/>
          <w:iCs w:val="1"/>
          <w:color w:val="auto"/>
        </w:rPr>
        <w:t xml:space="preserve"> </w:t>
      </w:r>
      <w:r>
        <w:rPr>
          <w:rFonts w:ascii="Arial" w:cs="Arial" w:eastAsia="Arial" w:hAnsi="Arial"/>
          <w:sz w:val="16"/>
          <w:szCs w:val="16"/>
          <w:color w:val="auto"/>
        </w:rPr>
        <w:t>due to safety concerns for our employees and participants and to comply with local government ordinances. We also realigned our marketing strategy to increase our focus on digital channels during the COVID-19 pandemic and to reach those searching for senior care alternatives. During our fiscal fourth quarter, as we continue to recover from the pandemic, enrollment growth continued to improve and has returned to pre-COVID levels. We continue to build on our media strategy targeting lower funnel media tactics that have built a strong pipeline of digital leads for enrollment.</w:t>
      </w:r>
    </w:p>
    <w:p>
      <w:pPr>
        <w:spacing w:after="0" w:line="13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is capitated and not determined by the number of times we interact with our participants face-to-face. As of June 30, 2021, we had not experienced a decline in revenue as a result of the COVID-19 pandemic. The capitation payments we receive from Medicare are risk-adjusted based on documented encounters and diagnosed conditions. Government payors require that participants’ health issues be documented annually regardless of the permanence of the underlying causes. Historically, this documentation has been required to be completed during an in-person visit with a participant, but due to COVID-19 and going forward, CMS is now allowing documentation of conditions identified during qualifying telehealth visits with participants. Thus far, we have been able to document the health conditions of our participants during telehealth visits as well as we did during in-person visits prior to COVID-19; however, any issues with documenting such conditions could adversely impact Medicare RAF scores and our resulting revenue for future periods.</w:t>
      </w:r>
    </w:p>
    <w:p>
      <w:pPr>
        <w:spacing w:after="0" w:line="14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March 27, 2020, the Coronavirus Aid, Relief, and Economic Security Act (“CARES Act”) was signed into legislation. The CARES Act, in addition to other provisions, provided for the temporary suspension of the automatic 2%</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reduction of Medicare claim reimbursements (sequestration) for the period of May 1, 2020 through December 31, 2021, which positively impacted our revenue during the year ended June 30, 2021.</w:t>
      </w:r>
    </w:p>
    <w:p>
      <w:pPr>
        <w:spacing w:after="0" w:line="14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For the year ended June 30, 2021, as compared to the year ended June 30, 2020, on a PMPM basis,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care delivery costs decreased, while our external provider costs increased, as further described in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in part due to the impact of COVID-19 on our care delivery costs as we executed our participants’ care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different mix of care settings. On a PMPM basis, we did not experience material changes in our aggregate participant-related care expenses</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United States continues to experience supply chain issues with respect to personal protective equipment (“PPE”) and other medical supplies used to prevent transmission of COVID-19. During the years ended June 30, 2021 and 2020, we acquired significantly greater quantities of medical supplies at significantly higher prices than pre-pandemic rates to ensure the safety of our employees and our participants. Costs related to PPE medical supplies represented approximately 0.6% and 2.1% of our total cost of care for the years ended June 30, 2021 and 2020, respectively. While the price of PPE may remain higher than historical levels for the foreseeable future, we do not expect these incremental costs to be material as a percentage of our total expenses.</w:t>
      </w:r>
    </w:p>
    <w:p>
      <w:pPr>
        <w:spacing w:after="0" w:line="177" w:lineRule="exact"/>
        <w:rPr>
          <w:sz w:val="20"/>
          <w:szCs w:val="20"/>
          <w:color w:val="auto"/>
        </w:rPr>
      </w:pPr>
    </w:p>
    <w:p>
      <w:pPr>
        <w:ind w:left="60" w:right="299" w:firstLine="324"/>
        <w:spacing w:after="0" w:line="45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further discussion of the possible impact of the COVID-19 pandemic on our business. </w:t>
      </w:r>
      <w:r>
        <w:rPr>
          <w:rFonts w:ascii="Arial" w:cs="Arial" w:eastAsia="Arial" w:hAnsi="Arial"/>
          <w:sz w:val="18"/>
          <w:szCs w:val="18"/>
          <w:b w:val="1"/>
          <w:bCs w:val="1"/>
          <w:color w:val="auto"/>
        </w:rPr>
        <w:t>Trademarks and Intellectual Property</w:t>
      </w:r>
    </w:p>
    <w:p>
      <w:pPr>
        <w:spacing w:after="0" w:line="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Although we own trademarks and service marks such as “InnovAge,” which are protected under applicable intellectual property laws and are the property of us or our subsidiaries, we do not currently believe our intellectual property is material to our business.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U.S. healthcare industry is highly competitive. We compete directly with national, regional and local providers of healthcare for participants and clinical providers. We also compete with payors and other alternate managed care programs for participants. Of these providers,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continue to penetrate existing markets, successfully expand into new markets, recruit qualified physicians or if we experience significant participant attrition to our competitors. See “Risk Factors—Risks Related to Our Business—The healthcare industry is highly competitive.”</w:t>
      </w:r>
    </w:p>
    <w:p>
      <w:pPr>
        <w:spacing w:after="0" w:line="13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 We believe we compete favorably on these factors.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business experiences some variability depending upon the time of year. Medical costs will vary seasonally depending on a number of factors, but most significantly the weather. Certain illnesses, such as the influenza virus, are far more prevalent during colder months of the year, which will result in an increase in medical expenses during these time periods. We would therefore expect to see higher levels of per-participant medical costs in our second and third quarters. Medical costs also depend upon the number of business days in a period, and shorter periods will have lower medical costs. Business days can also create year-over-year comparability issues if a period in one year has a different number of business days compared to the same period in another. We also expect medical costs to be impacted by a pandemic such as the COVID-19 pandemic, which may result in increased or decreased total medical costs depending upon the severity of the infection, the duration of the infection and the availability of healthcare services for our participants.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the retrospective capitation payments we receive for each participant are determined by a participant’s RAF score, which is calculated twice per year and is based on the evolving acuity and chronic conditions of a participant. We estimate and accrue for the expected true-up payments of our participants. Though no assurances can be made in the future, we have historically used our best estimate for accruing for this payment, and we received net positive true-up payments during the fiscal years ended June 30, 2021 and 2020. Historically, these true-up payments typically occur between May and August, but the timing of these payments is determined by CMS, and we have neither visibility nor control over the timing of such payments.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InnovAge is a mission-driven organization, focused on providing its participants with improved quality of care and allowing them to live in their homes for as long as safely possible, all while reducing the overutilization of our hospitals and nursing homes. In terms of diversity, our senior management team strives to be a reflection of the communities it serves. Our employees drive our mission and share core values, many of whom have cared for an aging relative, that both stem from and define our culture and which plays a critical role in our execution at all levels in our organization. Our values are used in candidate screening and in employee evaluations to help reinforce their importance in our organization. As of June 30, 2021, our voluntary retention rate for employees was 75.9%. Additionally, in our annual employee engagement survey conducted in 2020, 68% of our employees responding agreed that they would recommend InnovAge as a great place to work</w:t>
      </w:r>
      <w:r>
        <w:rPr>
          <w:rFonts w:ascii="Arial" w:cs="Arial" w:eastAsia="Arial" w:hAnsi="Arial"/>
          <w:sz w:val="18"/>
          <w:szCs w:val="18"/>
          <w:b w:val="1"/>
          <w:bCs w:val="1"/>
          <w:color w:val="auto"/>
        </w:rPr>
        <w:t>.</w:t>
      </w:r>
    </w:p>
    <w:p>
      <w:pPr>
        <w:spacing w:after="0" w:line="15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2021, we had approximately 1,800 employees, including 1,200 clinical professionals. This count excludes contractors. We consider our relationship with our employees to be good. None of our employees are party to a collective bargaining agreement.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We will remain an emerging growth company until the earlier of (1) the last day of the fiscal year following the fifth anniversary of the completion of our initial public offering, (2) the last day of the fiscal year in which we have total annual gross revenue of at least $1.07 billion, (3) the date on which we are deemed to be a large accelerated filer or</w:t>
      </w:r>
    </w:p>
    <w:p>
      <w:pPr>
        <w:spacing w:after="0" w:line="1" w:lineRule="exact"/>
        <w:rPr>
          <w:sz w:val="20"/>
          <w:szCs w:val="20"/>
          <w:color w:val="auto"/>
        </w:rPr>
      </w:pPr>
    </w:p>
    <w:p>
      <w:pPr>
        <w:jc w:val="both"/>
        <w:ind w:left="60" w:right="59" w:hanging="10"/>
        <w:spacing w:after="0" w:line="252"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securities during the prior three-year period.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Securities Exchange Act of 1934, as amended (the “Exchange Act”) for a period of at least 12 months and (c) have filed at least one annual report pursuant to the Exchange Act.</w:t>
      </w:r>
    </w:p>
    <w:p>
      <w:pPr>
        <w:spacing w:after="0" w:line="153"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143" w:lineRule="exact"/>
        <w:rPr>
          <w:sz w:val="20"/>
          <w:szCs w:val="20"/>
          <w:color w:val="auto"/>
        </w:rPr>
      </w:pPr>
    </w:p>
    <w:p>
      <w:pPr>
        <w:ind w:left="720" w:right="79" w:hanging="319"/>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(the “Sarbanes-Oxley Act”);</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ind w:left="720" w:right="79" w:hanging="319"/>
        <w:spacing w:after="0" w:line="26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45"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As a result, the information that we provide to our shareholders may be different than you might receive from other public reporting companies in which you hold equity interests.</w:t>
      </w:r>
    </w:p>
    <w:p>
      <w:pPr>
        <w:spacing w:after="0" w:line="130"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intend to take advantage of the longer phase-in periods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internet website is www.innovage.com. We include our website address on this Annual Report on Form 10-K for reference only. The information contained on our website is not incorporated by reference into this Annual Report on Form 10-K or any other report or document we file with the SEC.</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Our business, results of operations, and financial condition are subject to numerous risks and uncertainties. You should carefully consider the following risk factors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You should read these risk factors in conjunction with “Management’s Discussion and Analysis of Financial Condition and Results of Operations” in Item 7 and our consolidated financial statements and related notes in Item 8 of this Annual Report on Form 10-K.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There are a number of risks related to our business, regulation, our indebtedness and our common stock that you should consider. You should carefully consider all the information presented in this section. Some of the principal risks related to our business include the following:</w:t>
      </w:r>
    </w:p>
    <w:p>
      <w:pPr>
        <w:spacing w:after="0" w:line="139" w:lineRule="exact"/>
        <w:rPr>
          <w:sz w:val="20"/>
          <w:szCs w:val="20"/>
          <w:color w:val="auto"/>
        </w:rPr>
      </w:pPr>
    </w:p>
    <w:p>
      <w:pPr>
        <w:jc w:val="both"/>
        <w:ind w:left="1040" w:right="79" w:hanging="315"/>
        <w:spacing w:after="0" w:line="273"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Under our PACE contracts, we assume all of the risk that the cost of providing services will exceed our compensation</w:t>
      </w:r>
      <w:r>
        <w:rPr>
          <w:rFonts w:ascii="Arial" w:cs="Arial" w:eastAsia="Arial" w:hAnsi="Arial"/>
          <w:sz w:val="17"/>
          <w:szCs w:val="17"/>
          <w:color w:val="auto"/>
        </w:rPr>
        <w:t>. Approximately 99.5% of our revenue for each of the years ended June 30, 2021 and 2020</w:t>
      </w:r>
      <w:r>
        <w:rPr>
          <w:rFonts w:ascii="Arial" w:cs="Arial" w:eastAsia="Arial" w:hAnsi="Arial"/>
          <w:sz w:val="17"/>
          <w:szCs w:val="17"/>
          <w:b w:val="1"/>
          <w:bCs w:val="1"/>
          <w:color w:val="auto"/>
        </w:rPr>
        <w:t xml:space="preserve"> </w:t>
      </w:r>
      <w:r>
        <w:rPr>
          <w:rFonts w:ascii="Arial" w:cs="Arial" w:eastAsia="Arial" w:hAnsi="Arial"/>
          <w:sz w:val="17"/>
          <w:szCs w:val="17"/>
          <w:color w:val="auto"/>
        </w:rPr>
        <w:t>is derived from capitation agreements with government payors in which we receive fixed PMPM fees. To the extent that our participants require more care than is anticipated and/or the cost of care increases, aggregate fixed capitation payments may be insufficient to cover the costs associated with treatment. If, in aggregate, our expenses exceed the underlying capitation payment received, we will not be able to fund operations and pursue acquisitions.</w:t>
      </w:r>
    </w:p>
    <w:p>
      <w:pPr>
        <w:spacing w:after="0" w:line="171"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Our revenues and operations are dependent upon a limited number of government payors, particularly Medicare and Medicaid. </w:t>
      </w:r>
      <w:r>
        <w:rPr>
          <w:rFonts w:ascii="Arial" w:cs="Arial" w:eastAsia="Arial" w:hAnsi="Arial"/>
          <w:sz w:val="17"/>
          <w:szCs w:val="17"/>
          <w:color w:val="auto"/>
        </w:rPr>
        <w:t>When aggregating the revenue associated with Medicare and Medicaid by state,</w:t>
      </w:r>
      <w:r>
        <w:rPr>
          <w:rFonts w:ascii="Arial" w:cs="Arial" w:eastAsia="Arial" w:hAnsi="Arial"/>
          <w:sz w:val="17"/>
          <w:szCs w:val="17"/>
          <w:b w:val="1"/>
          <w:bCs w:val="1"/>
          <w:color w:val="auto"/>
        </w:rPr>
        <w:t xml:space="preserve"> </w:t>
      </w:r>
      <w:r>
        <w:rPr>
          <w:rFonts w:ascii="Arial" w:cs="Arial" w:eastAsia="Arial" w:hAnsi="Arial"/>
          <w:sz w:val="17"/>
          <w:szCs w:val="17"/>
          <w:color w:val="auto"/>
        </w:rPr>
        <w:t>Colorado, California and Virginia accounted for a total of approximately 82.6% and 81.5% of our capitation revenue for the years ended June 30, 2021 and 2020, respectively. A majority of our revenues will continue to be derived from a limited number of key government payors, which may terminate their contracts with us upon the occurrence of certain events. The sudden loss of any of our government contracts or the renegotiation of any of our contracts could adversely affect our operating results and limit our ability to expand into new markets.</w:t>
      </w:r>
    </w:p>
    <w:p>
      <w:pPr>
        <w:spacing w:after="0" w:line="171" w:lineRule="exact"/>
        <w:rPr>
          <w:rFonts w:ascii="Arial" w:cs="Arial" w:eastAsia="Arial" w:hAnsi="Arial"/>
          <w:sz w:val="17"/>
          <w:szCs w:val="17"/>
          <w:color w:val="auto"/>
        </w:rPr>
      </w:pPr>
    </w:p>
    <w:p>
      <w:pPr>
        <w:jc w:val="both"/>
        <w:ind w:left="1040" w:right="79" w:hanging="315"/>
        <w:spacing w:after="0" w:line="294"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Reductions in PACE reimbursement rates or changes in the rules governing PACE programs could have a material adverse effect on our financial condition and results of operations. </w:t>
      </w:r>
      <w:r>
        <w:rPr>
          <w:rFonts w:ascii="Arial" w:cs="Arial" w:eastAsia="Arial" w:hAnsi="Arial"/>
          <w:sz w:val="16"/>
          <w:szCs w:val="16"/>
          <w:color w:val="auto"/>
        </w:rPr>
        <w:t>We receive a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our revenue through the PACE program, which accounted for 99.6% and 99.5% of our revenue for the years ended June 30, 2021 and 2020, respectively. As a result, our operations are dependent on government funding levels for PACE programs. Any changes that limit or reduce general PACE rates could have a material adverse effect on our business, results of operations, financial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condition and cash flows, restrict our ability to continue providing high quality care to our participants and limit our opportunities for growth.</w:t>
      </w:r>
    </w:p>
    <w:p>
      <w:pPr>
        <w:spacing w:after="0" w:line="166" w:lineRule="exact"/>
        <w:rPr>
          <w:sz w:val="20"/>
          <w:szCs w:val="20"/>
          <w:color w:val="auto"/>
        </w:rPr>
      </w:pPr>
    </w:p>
    <w:p>
      <w:pPr>
        <w:jc w:val="both"/>
        <w:ind w:left="1040" w:right="79" w:hanging="315"/>
        <w:spacing w:after="0" w:line="25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Our records and submissions to government payors may contain inaccurate or unsupportable information regarding risk adjustment scores of participants, which could cause us to overstate or understate our revenue and subject us to payment obligations or penalties. </w:t>
      </w:r>
      <w:r>
        <w:rPr>
          <w:rFonts w:ascii="Arial" w:cs="Arial" w:eastAsia="Arial" w:hAnsi="Arial"/>
          <w:sz w:val="18"/>
          <w:szCs w:val="18"/>
          <w:color w:val="auto"/>
        </w:rPr>
        <w:t>The submission of erroneous data could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inaccurate revenue and risk adjustment payments, which may be subject to correction or retroactive adjustment in later periods. CMS may audit PACE organizations’ risk adjustment data submissions. We could be required to refund a portion of the revenue that we received, which refund, depending on its magnitude, could have a material adverse effect on our business, results of operations, financial condition and cash flows. Moreover, substantial changes in the risk adjustment mechanism, including changes that result from enforcement or audit actions, could materially affect our capitated reimbursement.</w:t>
      </w:r>
    </w:p>
    <w:p>
      <w:pPr>
        <w:spacing w:after="0" w:line="194" w:lineRule="exact"/>
        <w:rPr>
          <w:rFonts w:ascii="Arial" w:cs="Arial" w:eastAsia="Arial" w:hAnsi="Arial"/>
          <w:sz w:val="18"/>
          <w:szCs w:val="18"/>
          <w:color w:val="auto"/>
        </w:rPr>
      </w:pPr>
    </w:p>
    <w:p>
      <w:pPr>
        <w:jc w:val="both"/>
        <w:ind w:left="1040" w:right="79" w:hanging="315"/>
        <w:spacing w:after="0" w:line="274"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Non-renewal or termination of capitation agreements with government payors could have a material adverse effect on our business, results of operations, financial condition and cash flows. </w:t>
      </w:r>
      <w:r>
        <w:rPr>
          <w:rFonts w:ascii="Arial" w:cs="Arial" w:eastAsia="Arial" w:hAnsi="Arial"/>
          <w:sz w:val="17"/>
          <w:szCs w:val="17"/>
          <w:color w:val="auto"/>
        </w:rPr>
        <w:t>If we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173"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If we fail to adhere to all of the complex government laws and regulations that apply to our business, we could suffer severe consequences that could have a material adverse effect on our business, results of operations, financial condition, cash flows, reputation and stock price. </w:t>
      </w:r>
      <w:r>
        <w:rPr>
          <w:rFonts w:ascii="Arial" w:cs="Arial" w:eastAsia="Arial" w:hAnsi="Arial"/>
          <w:sz w:val="16"/>
          <w:szCs w:val="16"/>
          <w:color w:val="auto"/>
        </w:rPr>
        <w:t>Our operations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extensive federal, state and local government laws and regulations. The various laws and regulations that apply to our operations are often subject to varying interpretations and additional laws and regulations potentially affecting providers continue to be promulgated that may impact us. A violation or departure from any of the legal requirements implicated by our business may result in, among other things, government audits, decreased payment rates, significant fines and penalties, the potential loss of certification, recoupment efforts or retractions of reimbursement previously paid, voluntary repayments, exclusion from governmental healthcare programs, written warnings, corrective action plans, monitoring, reputational harm, suspension of new enrollment (as is the case currently with respect to our Sacramento, California center) or the restriction of current enrollment, the withholding of payments under the PACE program agreement, and termination of the PACE program agreement, each of which could have a material adverse effect on our results of operations and our ability to grow our business.</w:t>
      </w:r>
    </w:p>
    <w:p>
      <w:pPr>
        <w:spacing w:after="0" w:line="170" w:lineRule="exact"/>
        <w:rPr>
          <w:rFonts w:ascii="Arial" w:cs="Arial" w:eastAsia="Arial" w:hAnsi="Arial"/>
          <w:sz w:val="16"/>
          <w:szCs w:val="16"/>
          <w:color w:val="auto"/>
        </w:rPr>
      </w:pPr>
    </w:p>
    <w:p>
      <w:pPr>
        <w:jc w:val="both"/>
        <w:ind w:left="1040" w:right="79" w:hanging="315"/>
        <w:spacing w:after="0" w:line="270"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Our existing indebtedness could adversely affect our business and growth prospects. </w:t>
      </w:r>
      <w:r>
        <w:rPr>
          <w:rFonts w:ascii="Arial" w:cs="Arial" w:eastAsia="Arial" w:hAnsi="Arial"/>
          <w:sz w:val="17"/>
          <w:szCs w:val="17"/>
          <w:color w:val="auto"/>
        </w:rPr>
        <w:t>As of June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we had (i) $75.0 million principal amount outstanding under the Term Loan Facility, (ii) $2.4 million principal amount outstanding under the convertible term loan and (iii) no amounts outstanding under the Revolving Credit Facility (each as defined in Note 10 to the consolidated financial statements). Our indebtedness may (1) limit funds otherwise available for financing our capital expenditures and pursuing our growth strategies by requiring us to dedicate a portion of our cash flows from operations to the repayment of debt and the interest on this debt, and (2) increase our vulnerability to rising interest rates. Our level of indebtedness may place us at a competitive disadvantage to our competitors that are not as highly leveraged. If we cannot generate sufficient cash flow from operations to service our debt, we may need to refinance our debt, dispose of assets or issue equity to obtain necessary funds.</w:t>
      </w:r>
    </w:p>
    <w:p>
      <w:pPr>
        <w:spacing w:after="0" w:line="176" w:lineRule="exact"/>
        <w:rPr>
          <w:rFonts w:ascii="Arial" w:cs="Arial" w:eastAsia="Arial" w:hAnsi="Arial"/>
          <w:sz w:val="17"/>
          <w:szCs w:val="17"/>
          <w:color w:val="auto"/>
        </w:rPr>
      </w:pPr>
    </w:p>
    <w:p>
      <w:pPr>
        <w:jc w:val="both"/>
        <w:ind w:left="1040" w:right="79" w:hanging="315"/>
        <w:spacing w:after="0" w:line="294"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We may not be able to generate sufficient cash flow to service all of our indebtedness, and may be forced to take other actions to satisfy our obligations under such indebtedness, which may not be successful.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ability to make scheduled payments or to refinance outstanding debt obligations depends on our financial and operating performance, which will be affected by prevailing economic, industry and competitive conditions and by financial, business and other factors beyond our control. Any failure to make payments of interest and principal on our outstanding indebtedness on a timely basis would likely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result in penalties or defaults, which would adversely impact our ability to incur additional indebtedness to fund our operating results or to support our growth strategies.</w:t>
      </w:r>
    </w:p>
    <w:p>
      <w:pPr>
        <w:spacing w:after="0" w:line="166" w:lineRule="exact"/>
        <w:rPr>
          <w:sz w:val="20"/>
          <w:szCs w:val="20"/>
          <w:color w:val="auto"/>
        </w:rPr>
      </w:pPr>
    </w:p>
    <w:p>
      <w:pPr>
        <w:jc w:val="both"/>
        <w:ind w:left="1040" w:right="79" w:hanging="315"/>
        <w:spacing w:after="0" w:line="289"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Our Principal Shareholders control us, and their interests may conflict with ours or yours in the future.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Shareholders beneficially own approximately 86% of our common stock, which means that, based on their combined percentage voting power, the Principal Shareholders together control the vote of all matters submitted to a vote of our stockholders, which enable them to control the election of the members of the Company board of directors (the “Board”) and all other corporate decisions. Accordingly, for such period of time as our Principal Shareholders beneficially own a majority of the voting power, the they will have significant influence with respect to our management, business plans and policies, including the appointment and removal of our officers, decisions on whether to raise future capital and amending our charter and bylaws, which govern the rights attached to our common stock.</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Under our PACE contracts, we assume all of the risk that the cost of providing services will exceed our compensation.</w:t>
      </w:r>
    </w:p>
    <w:p>
      <w:pPr>
        <w:spacing w:after="0" w:line="103"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Approximately 99.5% of our revenue for each of the years ended June 30, 2021 and 2020 is derived from capitation agreements with government payors in which we receive fixed PMPM fees. While there are variations specific to each agreement, we generally contract with government payors to receive a fixed per member per month fee to provide or manage all healthcare services a participant may require while assuming financial responsibility for the totality of our participants’ healthcare expenses. This type of contract is often referred to as an “at-risk” or a “capitation” contract. To the extent that our participants require more care than is anticipated and/or the cost of care increases, aggregate fixed capitation payments may be insufficient to cover the costs associated with treatment. If medical costs and expenses exceed the underlying capitation payment received, we will not be able to correspondingly increase our capitated payment and we could suffer losses with respect to such agreements.</w:t>
      </w:r>
    </w:p>
    <w:p>
      <w:pPr>
        <w:spacing w:after="0" w:line="10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Changes in our anticipated ratio of medical expense to revenue can significantly impact our financial results. Accordingly, the failure to adequately predict and control medical costs and expenses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that increase such expenses, such as emergency room visits or preventable hospital admissions.</w:t>
      </w:r>
    </w:p>
    <w:p>
      <w:pPr>
        <w:spacing w:after="0" w:line="11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Historically, our medical costs and expenses as a percentage of revenue have fluctuated. Factors that may cause medical expenses to exceed estimates include:</w:t>
      </w:r>
    </w:p>
    <w:p>
      <w:pPr>
        <w:spacing w:after="0" w:line="319" w:lineRule="exact"/>
        <w:rPr>
          <w:sz w:val="20"/>
          <w:szCs w:val="20"/>
          <w:color w:val="auto"/>
        </w:rPr>
      </w:pPr>
    </w:p>
    <w:p>
      <w:pPr>
        <w:ind w:left="1220" w:right="79" w:hanging="495"/>
        <w:spacing w:after="0" w:line="277"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health status of participants requiring higher levels of care, such as nursing home care or higher incidents of hospitalization;</w:t>
      </w:r>
    </w:p>
    <w:p>
      <w:pPr>
        <w:spacing w:after="0" w:line="170" w:lineRule="exact"/>
        <w:rPr>
          <w:rFonts w:ascii="Arial" w:cs="Arial" w:eastAsia="Arial" w:hAnsi="Arial"/>
          <w:sz w:val="18"/>
          <w:szCs w:val="18"/>
          <w:color w:val="auto"/>
        </w:rPr>
      </w:pPr>
    </w:p>
    <w:p>
      <w:pPr>
        <w:ind w:left="1180" w:hanging="4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utilization of new or existing healthcare services;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frequent catastrophic medical cases (e.g. transplants);</w:t>
      </w:r>
    </w:p>
    <w:p>
      <w:pPr>
        <w:spacing w:after="0" w:line="225" w:lineRule="exact"/>
        <w:rPr>
          <w:rFonts w:ascii="Arial" w:cs="Arial" w:eastAsia="Arial" w:hAnsi="Arial"/>
          <w:sz w:val="18"/>
          <w:szCs w:val="18"/>
          <w:color w:val="auto"/>
        </w:rPr>
      </w:pPr>
    </w:p>
    <w:p>
      <w:pPr>
        <w:jc w:val="both"/>
        <w:ind w:left="1220" w:right="79" w:hanging="495"/>
        <w:spacing w:after="0" w:line="263" w:lineRule="auto"/>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increase in the cost of healthcare services and supplies, whether as a result of inflation, wage increases, purchases of vaccines and personal protective equipment (“PPE”) as a result of the COVID-19 pandemic or otherwise;</w:t>
      </w:r>
    </w:p>
    <w:p>
      <w:pPr>
        <w:spacing w:after="0" w:line="183" w:lineRule="exact"/>
        <w:rPr>
          <w:rFonts w:ascii="Arial" w:cs="Arial" w:eastAsia="Arial" w:hAnsi="Arial"/>
          <w:sz w:val="18"/>
          <w:szCs w:val="18"/>
          <w:color w:val="auto"/>
        </w:rPr>
      </w:pPr>
    </w:p>
    <w:p>
      <w:pPr>
        <w:ind w:left="1180" w:hanging="4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mandated benefits or other changes in healthcare laws, regulations and practices;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attributable to specialist physicians, hospitals and ancillary providers;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demographics of our participants and medical trends;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80" w:hanging="4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contractual or claims disputes with providers, hospitals or other service providers;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catastrophes, major epidemics or pandemics or acts of terrorism; and</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reduction of government payor payments.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revenues and operations are dependent upon a limited number of government payors, particularly Medicare and Medicaid.</w:t>
      </w:r>
    </w:p>
    <w:p>
      <w:pPr>
        <w:spacing w:after="0" w:line="103"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Our operations are dependent on a limited number of government payors, particularly Medicare and Medicaid, with whom we directly contract to provide services to participants. We generally manage our contracts on a state by state basis, entering into a separate contract in each state. When aggregating the revenue associated with Medicare and Medicaid by state, Colorado, California and Virginia accounted for a total of approximately 82.6% and 81.5% of our capitation revenue for the years ended June 30, 2021 and 2020, respectively. A majority of our revenues will continue to be derived from a limited number of key government payors, which may terminate their contracts with us upon the occurrence of certain events. The sudden loss of any of our government contracts or the renegotiation of any of our contracts could adversely affect our operating results. In the ordinary course of business, we engage in active discussions and renegotiations with government payors in respect of the services we provide and the terms of our agreements. As the states respond to market dynamics and financial pressures, and as government payors make strategic budgetary decisions in respect of the programs in which they participate, certain government payors may seek to renegotiate or terminate their agreements with us. Any reduction in the budgetary appropriations for our services, whether as a result of fiscal constraints due to recession, emergency situations such as the COVID-19 pandemic, changes in policy or otherwise, could result in a reduction in our capitated fee payments and possibly loss of contracts. These discussions could result in reductions to the fees and changes to the scope of services contemplated by our original contracts and consequently could negatively impact our revenues, business and prospects. See “—A pandemic, epidemic or outbreak of an infectious disease in the United States or worldwide, including the ongoing outbreak of COVID-19, could adversely affect our business” and “—We conduct a significant percentage of our operations in the State of Colorado and, as a result, we are particularly susceptible to any reduction in budget appropriations for our services or any other adverse developments in that state.”</w:t>
      </w:r>
    </w:p>
    <w:p>
      <w:pPr>
        <w:spacing w:after="0" w:line="11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Because we rely on a limited number of government-funded agencies, namely CMS and state Medicaid agencies, for a significant portion of our revenues, we depend on federal funding, as well as the financial condition of the states in which we operate, and each state’s commitment to its participation in the PACE program. Government-funded healthcare programs in the states in which we operate face a number of risks, including higher than expected health care costs and lack of predictability of tax basis and budget needs. If the financial condition of the states in which we operate declines, our credit risk could increase.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Reductions in PACE reimbursement rates or changes in the rules governing PACE programs could have a material adverse effect on our financial condition and results of operations.</w:t>
      </w:r>
    </w:p>
    <w:p>
      <w:pPr>
        <w:spacing w:after="0" w:line="8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receive a substantial portion of our revenue through the PACE program, which accounted for 99.6% and 99.5% of our revenue for the years ended June 30, 2021 and 2020, respectively.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w:t>
      </w:r>
    </w:p>
    <w:p>
      <w:pPr>
        <w:spacing w:after="0" w:line="11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PACE programs and their respective reimbursement rates, payment structures and rules are subject to frequent change. These include statutory and regulatory changes, rate adjustments (including retroactive 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Implementation of these and other types of measures has in the past and could in the future result in substantial reductions in our revenue and operating margins. Legislation enacted in 2011 requires CMS to sequester or reduce all</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Medicare payments, including payments to PACE organizations, by two percent per year for a period of years. Subsequent legislation extended these cuts through 2030, but legislation enacted in 2020 suspended the cuts during the pandemic. Currently, the 2% cuts under sequestration are scheduled to be reinstated in 2022, which once reinstated will negatively impact our revenue. We cannot predict what other deficit reduction, other payment reduction or budget enforcement initiatives may be proposed by Congress, whether Congress will attempt to restructure or suspend sequestration or the impact sequestration, other payment reductions or budget enforcement initiatives may have on our business.</w:t>
      </w:r>
    </w:p>
    <w:p>
      <w:pPr>
        <w:spacing w:after="0" w:line="9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Each year, CMS establishes the Medicare PACE benchmark payment rates by county for the following calendar year. Because a substantial portion of our revenue is through the PACE program, any negative changes to the PACE benchmark 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w:t>
      </w:r>
    </w:p>
    <w:p>
      <w:pPr>
        <w:spacing w:after="0" w:line="10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spacing w:after="0" w:line="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Recent legislative, judicial and executive efforts to enact further healthcare reform legislation have caused the future state of reforms under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16"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The claims and encounter records that we submit to government payors impact data that support the Medicare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Historically, this documentation has been required to be completed during an in-person visit with a participant, but due to COVID-19 and going forward, CMS is now allowing documentation of conditions identified during qualifying telehealth visits with participants. Thus far, we have been able to document the health conditions of our participants during telehealth visits as well as we did during in-person visits prior to COVID-19; however, any issues with documenting such conditions could adversely impact Medicare RAF scores and our resulting revenue for future periods. CMS may periodically audit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 which may be reflected as provision for bad debt in our financial statements.</w:t>
      </w:r>
    </w:p>
    <w:p>
      <w:pPr>
        <w:spacing w:after="0" w:line="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If CMS seeks repayment from us for payment adjustments as a result of its audits, we could also be subject to liability for penalties for inaccurate or unsupportable RAF scores provided by us or our providers. In addition, we could be liable for penalties to the federal government under the FCA, which may include per claim penalties, plus up to three times the amount of damages caused by each false claim, which can be as much as the amounts received directly or indirectly from the government for each such false claim. Most recently, on June 19, 2020, the Department of Justice issued a final rule announcing adjustments to FCA penalties, under which the per claim penalty range increases to a range from $11,665 to $23,331 for penalties assessed after June 19, 2020, if the underlying conduct</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occurred after November 2, 2015. There is a high potential for substantial penalties in connection with any alleged FCA violations.</w:t>
      </w:r>
    </w:p>
    <w:p>
      <w:pPr>
        <w:spacing w:after="0" w:line="10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Elements of the risk adjustment mechanism continue to be challenged, reevaluated, and revised by the U.S. Department of Justice, the HHS Office of the Inspector General (“HHS OIG”), and CMS. For example, CMS has indicated that payment adjustments will not be limited to errors identified in the sampled population, but that the error rate identified in the sample may also be extrapolated to all risk adjusted payments made under the PACE contract being audited. CMS has described its audit process as plan-year specific and stated that it will not extrapolate audit results for plan years prior to 2011. Because CMS has not stated otherwise, there is a risk that payment adjustments made as a result of one plan year’s audit would be extrapolated to prior plan years after 2011. In addition, proposed regulations relating to the Risk Adjustment Data Validation Audit (“RADV audit”) and extrapolation methodology have been outstanding since 2018 and may result in additional changes in recoupments arising from RADV audits.</w:t>
      </w:r>
    </w:p>
    <w:p>
      <w:pPr>
        <w:spacing w:after="0" w:line="12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There can be no assurance that a PACE organization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Non-renewal or termination of capitation agreements with government payors could have a material adverse effect on our business, results of operations, financial condition and cash flows.</w:t>
      </w:r>
    </w:p>
    <w:p>
      <w:pPr>
        <w:spacing w:after="0" w:line="8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Under most of our capitation agreements with government payors, the state is generally permitted to adjust certain terms of the agreements from time to time. If a government payor exercises its right to adjust certain terms of the agreements, we are generally allowed a period of time to object to such adjustment. 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12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contracts with government payors may be terminated to the extent that state or federal funds are not appropriated at sufficient levels to fund our contracts or PACE programs in general. Certain of our contracts are terminable immediately upon the occurrence of certain events. Government payors may terminate, suspend or cancel our contracts, in whole or in part, for cause in the event of our noncompliance with the terms, conditions or responsibilities under the contracts, or if we are debarred or suspended from providing services by state or federal government authorities. CMS may also impose sanctions for noncompliance with regulatory or contractual requirements, including the suspension of enrollment of participants, the occurrence of which would adversely affect our operating results and our ability to pursue our growth strategies. If any of our contracts with government payors are terminated or if the government payors seek to renegotiate their contract rates with us, we may suffer a significant loss of revenue, which may adversely affect our operating results.</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State and federal efforts to reduce healthcare spending could adversely affect our financial condition and results of operations.</w:t>
      </w:r>
    </w:p>
    <w:p>
      <w:pPr>
        <w:spacing w:after="0" w:line="10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Most of our participants are dually-eligible, meaning they are qualified for coverage under both Medicare and Medicaid when enrolled in our PACE program, and nearly all our revenue is derived from government payors. Medicaid is a joint federal and state funded program for healthcare services for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increase, combined with slower state revenue growth, has led both the federal government and many states to institute measures aimed at controlling the growth of Medicaid spending, and in some instances reducing aggregate Medicaid spending. Due to budget constraints, including those resulting from the COVID-19 pandemic, we may experience negative Medicaid capitated rate payment pressure from certain states where we operate, such as Colorado, where we conduct a significant percentage of our operations.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 current payment amounts, or if it will be based on lower payment amounts, which would negatively impact those states that expanded their Medicaid programs in response to the ACA. We expect state and federal efforts to reduce healthcare spending to continue for the foreseeable future.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ongoing outbreak of COVID-19, could adversely affect our business.</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severity, magnitude and duration of the current COVID-19 pandemic is uncertain and rapidly changing. Because of our business model, the full impact of the COVID-19 pandemic may not be fully reflected in our results of operations and overall financial condition until future periods. Additionally, any future pandemic, epidemic or outbreak of an infectious disease may adversely affect our business if one of the geographies we serve is affected by the outbreak, particularly at the onset of any such outbreak before response protocols have been developed. Specifically, if our participants fall ill due to an outbreak, we may experience a high level of unexpected deaths, increased costs, and other effects, including a loss of revenue, negative publicity, litigation and inquiries from government regulators.</w:t>
      </w:r>
    </w:p>
    <w:p>
      <w:pPr>
        <w:spacing w:after="0" w:line="17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Even though to date, the COVID-19 pandemic has not materially adversely impacted our revenue or expenses, adverse market conditions resulting from the COVID-19 pandemic may materially and adversely affect our business and the value of our common stock. Numerous state and local jurisdictions, including some markets where we operate, have and could continue to impose, and others in the future may impose, travel bans and restrictions, “shelter-in-place” orders or shutdowns, quarantines, curfews, executive orders and similar government orders and restrictions for their residents to control the spread of the virus that causes COVID-19. Such orders or restrictions have resulted in largely remote operations at our headquarters and centers, work stoppages among some vendors and suppliers, slowdowns and delays, travel restrictions and cancellation of events and have restricted the ability of our front-line outreach teams to host and attend community events, among other effects, thereby significantly impacting our operations. In addition, the COVID-19 virus disproportionately impacts older adults, especially those with chronic illnesses, which describes many of our participants.</w:t>
      </w:r>
    </w:p>
    <w:p>
      <w:pPr>
        <w:spacing w:after="0" w:line="16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COVID-19 pandemic has significantly increased demand for our telehealth and in-home offerings. The telehealth market is relatively new, and it is uncertain whether it will achieve and sustain high levels of demand, consumer acceptance and market adoption. By June 2021, we fully opened all our centers and transitioned to a predominantly in-person, center-based care model, supplemented by telehealth. We expect telehealth care delivery to remain a part of our ongoing care model. If our participants do not perceive the benefits of telehealth services, or if our services are not competitive, it could have a material adverse effect on our business, financial condition or results of operations. Similarly, individual and healthcare industry concerns or negative publicity regarding participant confidentiality and privacy in the context of telehealth could limit market acceptance of such healthcare services. In addition, some of our participants may be unable to use the telehealth technology on their own. Because some of our participants may not be comfortable with a team member coming to their home to deliver face-to-face care or entering with a device to assist with using our telehealth services, participants may be reluctant to seek necessary care given their inability to use telehealth services, coupled with preference to stay at home due to the continuing risks of the COVID-19 pandemic. This could have the effect of deferring healthcare costs that we will need to incur at later periods and may also affect the health of participants who defer treatment, which may cause our costs to increase in the future.</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Due to the COVID-19 pandemic, we may not be able to document the health conditions of our participants as completely as we have in the past. Medicare pays capitation using a “risk adjustment model,” which compensates providers based on the health status (acuity) of each individual participant. Participants with higher RAF scores necessitate larger capitated payments, and those with lower RAF scores necessitate smaller capitated payments. Medicare requires that a participant’s health issues be documented annually regardless of the permanence of the underlying causes. Historically, this documentation has been required to be completed during an in-person visit with a participant, but due to COVID-19 and going forward, CMS is now allowing documentation of conditions identified during qualifying telehealth visits with participants. Thus far, we have been able to document the health conditions of our participants during telehealth visits as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well as we did during in-person visits prior to COVID-19; however, any issues with documenting such conditions could adversely impact Medicare RAF scores and our resulting revenue for future periods. See “Risk Factors—Risks Related to Our Business—Our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COVID-19 pandemic temporarily forced our centers to close or to perform operations remotely reducing our frequent in-person contact with participants and exacerbated difficulties to hire additional healthcare professionals, causing certain of our centers to be understaffed or staffed with personnel that requires training. The general lack of in-person interaction and the reduction in healthcare personnel, and specifically, trained personnel, has impacted and may continue to impact our ability to adhere to the complex government laws and regulations that apply to our business. PACE regulators require that new participants be assessed within a period of 30 days from enrollment to our programs and for us to provide them a personalized care plan. In the third quarter of 2021, we became aware that certain of our centers had failed to timely complete a portion of these participant assessments and care plans. We have implemented improvement plans and continue to work diligently and monitor our progress in remediating this issue. Failure to conduct assessments or produce care plans within the required period of time may subject us to suspension of new enrollment or restrict enrollment at the affected centers and other centers in the affected state. These or future violations of these requirements or other government laws or regulations could result in significant consequences that may have a material adverse effect on our business, results of operations, financial condition and cash flows.</w:t>
      </w:r>
    </w:p>
    <w:p>
      <w:pPr>
        <w:spacing w:after="0" w:line="17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March 27, 2020, the CARES Act was signed into law. The CARES Act provided for $100.0 billion in funding for healthcare providers, including hospitals on the front lines of the COVID-19 pandemic, and subsequent COVID-19 economic relief legislation authorized additional funding to be distributed to healthcare providers. The state of Pennsylvania enacted Act 24 of 2020 (“Act 24”), which allocated $10.0 million in federal CARES Act funding to Managed Long Term Care Organizations to cover COVID-19 related costs. Our Pennsylvania centers were granted $1.0 million of funding from Act 24. During the year ended June 30, 2020, we recognized $0.7 million of such funds as a reduction of expense within our consolidated statement of operations, with the remaining $0.3 million recognized during the year ended June 30, 2021. As a result of receiving this funding, we may be subject to audits and oversight by the federal government and Pennsylvania regulators, and there is no guarantee that the funds we received could not be subject to recoupment. Recipients are not required to repay these funds, provided that they attest to and comply with certain terms and conditions, including not using funds received to reimburse expenses or losses that other sources are obligated to reimburse, as well as certain audit and reporting requirements.</w:t>
      </w:r>
    </w:p>
    <w:p>
      <w:pPr>
        <w:spacing w:after="0" w:line="17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As of June 30, 2021, we incurred $8.3 million of COVID-19 related costs, $4.8 million of which related to the year ended June 30, 2021. It is uncertain whether our COVID-19 related expenses will continue to increase, which could have a material adverse effect on our business, results of operations, financial condition and cash flows.</w:t>
      </w:r>
    </w:p>
    <w:p>
      <w:pPr>
        <w:spacing w:after="0" w:line="16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including virus variants; government responses to the pandemic, including responses to state budget shortfalls; the impact on our participants and enrollment; the availability, effectiveness and receipt of vaccines by our participants and our employees; the impact on participant, industry or employee events; and the effect on our supply chains, all of which continue to be uncertain and are difficult to fully predict. Because of our business model, the full impact of the COVID-19 pandemic may not be fully reflected in our results of operations and overall financial condition until future periods.</w:t>
      </w:r>
    </w:p>
    <w:p>
      <w:pPr>
        <w:spacing w:after="0" w:line="17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began operating as a for-profit company in 2016 and have limited operating history as a for-profit company. Accordingly, our historical and recent financial and business results may not be representative of what they may be in the future.</w:t>
      </w:r>
    </w:p>
    <w:p>
      <w:pPr>
        <w:spacing w:after="0" w:line="11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were originally formed in 2007 as a not-for-profit company and converted to a for-profit company in 2016. Due to our relatively limited operating history as a for-profit company, our historical and recent financial and business results may not be representative of what they may be in the future. We have encountered and will continue to encounter significant risks and uncertainties frequently experienced by growing companies in rapidly changing and highly regulated industries, such as determining appropriate investments for our limited resources, competition from other providers, acquiring and retaining participants, hiring, integrating, training and retaining skilled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personnel, unforeseen expenses and challenges in forecasting accuracy. Although we have successfully expanded our footprint outside of Colorado and our other existing geographies and intend to continue to expand into new geographies, we cannot provide assurance that any new centers we open, centers that we acquire, or new geographies we enter will be successful. If we are unable to increase participant enrollment, successfully manage our external provider costs or successfully expand into new geographies, our revenue and our ability to sustain profitability could be impaired. If we make acquisitions to expand our footprint, we may experience operational difficulties or challenges with integrating and realizing the benefits of such acquisitions and we may need to expend resources to ensure such centers are operating in compliance with regulatory and contractual requirements, as well as any corrective action plans. 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 If our assumptions regarding these and other similar risks and uncertainties, which we use to plan our business, are incorrect or change as we gain more experience operating a for-profit business or due to changes in our industry, or if we do not address these challenges successfully, our operating and financial results could differ materially from our expectations and our reputation and business could suffer materially.</w:t>
      </w:r>
    </w:p>
    <w:p>
      <w:pPr>
        <w:spacing w:after="0" w:line="11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expect to continue to increase our headcount and to hire or contract with more physicians, nurses and other specialized medical personnel in the future as we grow our business and open or acquire new centers.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may be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58"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Our business strategy is to grow rapidly by expanding our network of centers and is significantly dependent on adding center capacity in our existing markets, expanding into new geographies by developing de novo centers, executing on tuck-in acquisitions, recruiting new participants and directly contracting with government payors, such as Medicare and Medicaid. We seek growth opportunities both organically and through acquisitions, the availability and success of which may be impacted by factors outside of our control. Our ability to grow organically depends upon a number of factors, including recruiting new participants, finding suitable geographies that have aging populations and viable rate structures, entering into government payor arrangements in new jurisdictions, ensuring compliance with regulatory and contractual requirements, identifying appropriate facilities, purchasing facilities or obtaining leases, completing build-outs of new facilities within proposed timelines and budgets and hiring members of our IDTs and other employees. We cannot guarantee that we will be successful in pursuing our growth strategy. If we fail to evaluate and execute new business opportunities properly, we may not achieve anticipated benefits and may incur increased costs.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333" w:lineRule="exact"/>
        <w:rPr>
          <w:sz w:val="20"/>
          <w:szCs w:val="20"/>
          <w:color w:val="auto"/>
        </w:rPr>
      </w:pPr>
    </w:p>
    <w:p>
      <w:pPr>
        <w:jc w:val="both"/>
        <w:ind w:left="1040" w:right="79" w:hanging="315"/>
        <w:spacing w:after="0" w:line="25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may intensify due to the ongoing consolidation in the healthcare industry, which may increase our costs to pursue such opportunities;</w:t>
      </w:r>
    </w:p>
    <w:p>
      <w:pPr>
        <w:spacing w:after="0" w:line="187"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recruit or retain a sufficient number of new participants to execute our growth strategy, and we may incur substantial costs to recruit new participants and we may be unable to recruit a sufficient number of new participants to offset those costs;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identify optimal target markets for our de novo centers, have difficulty entering into our prioritized list of markets, or the de novo centers we build may require more capital than expected and not yield anticipated returns;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hire sufficient numbers of physicians and other clinical staff, particularly on account of heightened demand for healthcare platforms on account of the COVID-19 pandemic;</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expanding our business into new states, we may be required to comply with laws and regulations that may differ from states in which we currently operate; and</w:t>
      </w:r>
    </w:p>
    <w:p>
      <w:pPr>
        <w:spacing w:after="0" w:line="170" w:lineRule="exact"/>
        <w:rPr>
          <w:rFonts w:ascii="Arial" w:cs="Arial" w:eastAsia="Arial" w:hAnsi="Arial"/>
          <w:sz w:val="18"/>
          <w:szCs w:val="18"/>
          <w:color w:val="auto"/>
        </w:rPr>
      </w:pPr>
    </w:p>
    <w:p>
      <w:pPr>
        <w:jc w:val="both"/>
        <w:ind w:left="1040" w:right="79" w:hanging="315"/>
        <w:spacing w:after="0" w:line="283" w:lineRule="auto"/>
        <w:tabs>
          <w:tab w:leader="none" w:pos="1040" w:val="left"/>
        </w:tabs>
        <w:numPr>
          <w:ilvl w:val="0"/>
          <w:numId w:val="26"/>
        </w:numPr>
        <w:rPr>
          <w:rFonts w:ascii="Arial" w:cs="Arial" w:eastAsia="Arial" w:hAnsi="Arial"/>
          <w:sz w:val="19"/>
          <w:szCs w:val="19"/>
          <w:color w:val="auto"/>
        </w:rPr>
      </w:pPr>
      <w:r>
        <w:rPr>
          <w:rFonts w:ascii="Arial" w:cs="Arial" w:eastAsia="Arial" w:hAnsi="Arial"/>
          <w:sz w:val="16"/>
          <w:szCs w:val="16"/>
          <w:color w:val="auto"/>
        </w:rPr>
        <w:t>we may have difficulty identifying appropriate acquisition targets, or make investments in acquisitions that we are unable to effectively integrate, involve associated risks or liabilities that we are unable to uncover in advance, or that require greater resources than anticipated (see “Risk factors—Risks Related to Our Business-Security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are unable to attract new participants, our revenue growth will be adversely affected.</w:t>
      </w:r>
    </w:p>
    <w:p>
      <w:pPr>
        <w:spacing w:after="0" w:line="15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To increase our revenue, our business strategy is to expand the number of centers and participants in our network. In order to support such growth, we must continue to recruit and retain a sufficient number of new participants both within our existing centers and in new centers. Our ability to do so depends in large part on the success of our sales and marketing efforts, which are subject to various federal and state laws and regulations that impact marketing. 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 Participant enrollment for PACE is ongoing each month and require states to verify eligibility, a process which can result in delays in enrollment. Our inability to identify and recruit new eligible participants and retain existing participants would harm our ability to execute our growth strategy and may have a material adverse effect on our business operations and financial position.</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conduct a significant percentage of our operations in the State of Colorado and, as a result, we are particularly susceptible to any reduction in budget appropriations for our services or any other adverse developments in that state.</w:t>
      </w:r>
    </w:p>
    <w:p>
      <w:pPr>
        <w:spacing w:after="0" w:line="11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For the fiscal year ended June 30, 2021, 26.0% of our total revenues were derived from contracts with government agencies in the State of Colorado. Accordingly, any reduction in Colorado’s budgetary appropriations for our services, whether as a result of fiscal constraints due to recession, emergency situations such as the COVID-19 pandemic, changes in policy or otherwise, could result in a reduction in our capitated fee payments and possibly the loss of contracts. In fiscal year 2021, we experienced a low single digit rate decrease as a result of COVID-19 related budget pressure borne by the State of Colorado. In June 2021, we completed negotiations relating to the capitated fee rates with government payors in the State of Colorado, which resulted in a mid-single digit rate increase applicable for the fiscal year ended June 30, 2021.</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service and participant satisfaction or adequately address competitive challenges.</w:t>
      </w:r>
    </w:p>
    <w:p>
      <w:pPr>
        <w:spacing w:after="0" w:line="8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have experienced, and may continue to experience, rapid growth and organizational change, which has placed, and may continue to place, significant demands on our management and our operational and financial resources. For example, we completed our conversion from a not-for-profit to a for-profit organization in 2016. Additionally, our organizational structure may become more complex as we expand our operational, financial and management controls, as well as our reporting systems and procedures as a public company. We may require significant capital expenditures and the allocation of valuable management resources to grow and evolve in these areas. We must effectively increase our headcount, ensure our personnel have the necessary licenses and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competencies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or fail to ensure that the level of care and services provided by our employees complies with regulatory and contractual requirements, the quality of our services may suffer, which could negatively affect our brand and reputation, harm our ability to attract and retain participants and employees and lead to the need for corrective actions.</w:t>
      </w:r>
    </w:p>
    <w:p>
      <w:pPr>
        <w:spacing w:after="0" w:line="1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as we expand our business, it is important that we continue to maintain high levels of patient service and satisfaction. As our participant base continues to grow, we will need to expand our services and personnel to provide personalized participant care. If we are not able to continue to provide high quality healthcare that meets PACE requirements and generates high levels of participant satisfaction, our reputation, as well as our business, results of operations and financial condition would be adversely affected.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58" w:lineRule="exact"/>
        <w:rPr>
          <w:sz w:val="20"/>
          <w:szCs w:val="20"/>
          <w:color w:val="auto"/>
        </w:rPr>
      </w:pPr>
    </w:p>
    <w:p>
      <w:pPr>
        <w:jc w:val="both"/>
        <w:ind w:left="60" w:right="59" w:firstLine="324"/>
        <w:spacing w:after="0" w:line="266" w:lineRule="auto"/>
        <w:rPr>
          <w:sz w:val="20"/>
          <w:szCs w:val="20"/>
          <w:color w:val="auto"/>
        </w:rPr>
      </w:pPr>
      <w:r>
        <w:rPr>
          <w:rFonts w:ascii="Arial" w:cs="Arial" w:eastAsia="Arial" w:hAnsi="Arial"/>
          <w:sz w:val="17"/>
          <w:szCs w:val="17"/>
          <w:color w:val="auto"/>
        </w:rPr>
        <w:t>We compete directly with national, regional and local providers of healthcare for participants and clinical providers. We also compete directly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ability to compete successfully varies from location to location and depends on a number of factors, including the number of payors who run competitive programs in the local market, our local reputation for quality participant care, the commitment and expertise of our medical staff or contracted health care providers, our local service offerings and community programs, the cost of care in each locality, and the physical appearance, location and condition of our centers. If we are unable to attract participants to our centers our revenue and profitability will be adversely affected.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Furthermore, while we budget for routine capital expenditures at our centers to keep them competitive in their respective markets, to the extent that competitive forces cause those expenditures to increase in the future, our financial condition may be negatively affected. In addition, our contracts with government payors are not exclusive for PACE programs in California, and competitors in California could seek to establish contracts with the state Medicaid agency and CMS to serve PACE eligible participants in our service areas. For example, the service area for our Sacramento, California center, opened July 1, 2020, overlaps with an existing PACE program in the region. Additionally, as we expand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 care services, and this competition may have a material adverse effect on our business operations and financial position.</w:t>
      </w:r>
    </w:p>
    <w:p>
      <w:pPr>
        <w:spacing w:after="0" w:line="19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presence is currently limited to Colorado, California, New Mexico, Pennsylvania and Virginia, and we may not be able to successfully establish a presence in new geographic markets.</w:t>
      </w:r>
    </w:p>
    <w:p>
      <w:pPr>
        <w:spacing w:after="0" w:line="8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currently operate in Colorado, California, New Mexico, Pennsylvania and Virginia, and currently have plans to provide our services in Florida and Kentucky. For the year ended June 30, 2021, approximately half of our revenue was driven by our businesses in Colorado. As a result, our exposure to many of the risks described herein are not mitigated by a diversification of geographic focus. To continue to expand our operations to other regions of the United States, we will have to devote resources to identifying and exploring such perceived opportunities. Thereafter, we will have to, among other things, recruit and retain qualified personnel, develop new centers and establish new relationships or contracts with physicians and other healthcare and services providers. In addition, we will be required to comply with laws and regulations of states that may differ from the ones in which we currently operate, and could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5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periods of high unemployment, including as a result of the COVID-19 pandemic,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PACE and similar programs, which represent nearly all of the payor sources for our centers.</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9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the ordinary course of our business, we create, receive, maintain, transmit, collect, store, use, disclose, share and process (collectively, “Process”) sensitive data, including protected health information (“PHI”) and other types of personal data or personally identifiable information (collectively, “PII” and, together with PHI, “PHI/PII”) relating to our employees, participants and others. We also Process and contract with third-party service providers to Process sensitive information, including PHI/PII, confidential information and other proprietary business information. We manage and maintain PHI/PII and other sensitive data and information using our on premise systems, and we plan to implement cloud-based computing center systems in the future. Third-party service providers that serve our participants may Process PHI/PII data either in their own on-site systems, at managed or co-located data centers, or in the cloud.</w:t>
      </w:r>
    </w:p>
    <w:p>
      <w:pPr>
        <w:spacing w:after="0" w:line="11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are highly dependent on information technology networks and systems, including the internet, to securely Process PHI/PII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have occurred in the past, and have in the past and could in the future, create system 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spacing w:after="0" w:line="124"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address certain HIPAA requirements or address situations that could lead to increased privacy or security risks, and agreements with contractors and other third-party service providers who handle this PHI/PII and other sensitive data and information for us. However, some PACE organizations that we have acquired in the past or may acquire in the future may not have implemented such agreements with their third-party service providers, which may expose us to legal claims or proceedings, liability, and penalties. The organizations that we have acquired, or may acquire, may not have in place all of the required agreements, and to the extent we terminate contracts with such third-party service providers, we may not be able to ensure that the relevant PHI/PII of our participants is maintained in compliance with HIPAA. The training that we provide to our workforce and measures taken to protect our systems, the systems of our contractors or third-party service providers, or more generally the PHI/PII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Despite our 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as a result of the COVID-19 pandemic or otherwise, using their household or personal internet networks. The success of any of these attempts could substantially impact our platform, and the privacy, security, or confidentiality of the PHI/PII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2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7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spacing w:after="0" w:line="12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Any such security breach or incident or interruption of our systems or those of any of our third-party service providers could compromise our networks or data security processes, and PHI/PII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PHI/PII, including, without limitation, HIPAA, the CCPA, other state PHI/PII privacy, security, or consumer protection laws, and state breach notification laws. Unauthorized access, loss or dissemination of PHI/PII could also disrupt our operations, including our ability to perform our services, access, collect, process, and prepare company financial information, provide information about our current and future services and engage in other participant and clinician education and outreach efforts.</w:t>
      </w:r>
    </w:p>
    <w:p>
      <w:pPr>
        <w:spacing w:after="0" w:line="11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Any such incident could also result in the compromise of our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Arial" w:cs="Arial" w:eastAsia="Arial" w:hAnsi="Arial"/>
          <w:sz w:val="17"/>
          <w:szCs w:val="17"/>
          <w:color w:val="auto"/>
        </w:rPr>
        <w:t>In February 2021, we became aware that a former third-party service provider of acquired organizations was the victim of a ransomware attack that occurred in December 2020. We understand that this attack resulted in the unauthorized access and exfiltration of the PHI/PII of over 2,000 of our current and former participants. The third-party service provider engaged outside counsel and a forensic investigator to assist. To date, the service provider has reported this incident to affected participants, their personal representatives or their next of kin, the U.S. Department of Health and Human Rights Office for Civil Rights (“OCR”), media outlets, state regulators, and others, as required. Participants affected by the incident have been offered the opportunity to enroll in credit monitoring service at the service provider’s expense. To date, the service provider has advised that they have not received any reports or concerns regarding misuse or potential identity theft issues. However, it is possible that OCR and/or state regulators could nonetheless initiate investigations of the Company and/or the former third-party service provider in connection with the incident, that the Company could be subject to civil penalties, resolution agreements, monitoring or similar agreements, or third-party claims against the Company, including class-action lawsuits. Although this attack was against a former third-party service-provider, we remain responsible under HIPAA for our participant’s PHI/PII, and any failure on our part to comply with HIPAA in connection with such data could subject us to civil penalties, resolution agreements, monitoring or similar agreements or other enforcement action. The Company confirmed that this former third-party service provider has removed the PHI/PII of our participants from its servers, and the service provider has advised that all vulnerabilities in its environment and lack of security controls have been resolved. In addition, future incidents of this nature that could occur with respect to our systems or the systems of our third-party service providers, as well as any other security incident or other misuse or disclosure of our participant or other data could lead to improper use or disclosure of Company information, including PHI/PII obtained from our participants, and information from employees. Any such incident or misuse of data could harm our reputation, lead to legal exposure, divert management attention and resources, increase our operating expenses due to the employment of consultants and third party experts and the purchase of additional security infrastructure, and/or subject us to liability, resulting in increased costs and loss of revenue. The perception that we do not adequately protect the privacy of information of our participants could inhibit our growth and damage our reputation.</w:t>
      </w:r>
    </w:p>
    <w:p>
      <w:pPr>
        <w:spacing w:after="0" w:line="20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enforcement actions and litigation, malpractice and privacy disputes, which are costly to defend and could materially harm our business and results of operations.</w:t>
      </w:r>
    </w:p>
    <w:p>
      <w:pPr>
        <w:spacing w:after="0" w:line="103"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We may be party to lawsuits and legal proceedings in the normal course of business. These matters are often expensive and disruptive to normal business operations. We may face allegations, lawsuits and regulatory inquiries, requests for information, audits and investigations regarding care and services provided to participants, the FCA, data privacy, security, labor and employment, consumer protection or intellectual property.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(as is the case currently with respect to our Sacramento, California center), monitoring, contract termination, and/or CMS and/or Medicaid agencies suspending or restricting enrollment with us, which 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regulatory inquiries, litigation and audits, even if we achieve favorable outcomes, is time-consuming and diverts management’s attention from our business.</w:t>
      </w:r>
    </w:p>
    <w:p>
      <w:pPr>
        <w:spacing w:after="0" w:line="124"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The results of regulatory proceedings, investigations, inquiries,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also may be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1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July 2021, we received a civil investigative demand (“CID”) from the Attorney General for the State of Colorado. The CID requests information and documents regarding Medicaid billing, patient services and referrals at InnovAge’s Colorado program. We are currently unable to predict the outcome of this investigation. See Item 3, Legal Proceedings.</w:t>
      </w:r>
    </w:p>
    <w:p>
      <w:pPr>
        <w:spacing w:after="0" w:line="11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Furthermore, our business exposes us to potential medical malpractice, professional negligence or other related actions or claims that are inherent in the provision of healthcare services. While the industry has not seen an increase in the number of claims of this nature due to the impact of the COVID-19 pandemic, this remains a possibility due to the relatively lengthy claim development inherent in professional liability claims. These claims, with or without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1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Although we maintain third-party professional liability insurance coverage,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9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5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business is highly dependent on maintaining effective information systems as well as the integrity and timeliness of the data we use to serve our participants, support our care teams and operate our business. Because of the large amount of data that we collect and manage, it is possible that hardware or software failures or errors in our systems could result in data loss or corruption or cause the information that we collect to be incomplete or contain significant inaccuracies.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participants and providers and hinder our ability to provide services, retain and attract participants, manage our participant risk profiles, establish reserves, report financial results timely and accurately and maintain regulatory compliance, among other things.</w:t>
      </w:r>
    </w:p>
    <w:p>
      <w:pPr>
        <w:spacing w:after="0" w:line="11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information technology strategy and execution are critical to our continued success. We must continue to invest in long-term solutions that will enable us to anticipate participant needs and expectations, enhance the participant experience, act as a differentiator in the market and protect against cybersecurity risks and threats. Our success is dependent, in large part, on maintaining the effectiveness of existing technology systems and continuing to deliver technology systems that support our business processes in a cost-efficient and resource-efficient manner, including through maintaining relationships with third-party providers of technology. Increasing regulatory and legislative changes will place additional demands on our information technology infrastructure that could have a direct impact on resources available for other projects tied to our strategic initiatives. In addition, recent trends toward greater participant engagement in health care require new and enhanced technologies, including more sophisticated applications for mobile devices. Connectivity among technologies is becoming increasingly important. Our failure to effectively invest in and properly maintain the uninterrupted operation and data integrity of our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information technology and other business systems could adversely affect our results of operations, financial position and cash flow.</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failure to accurately estimate incurred but not reported medical expenses or the risk scores of our participants could adversely affect our results of operations.</w:t>
      </w:r>
    </w:p>
    <w:p>
      <w:pPr>
        <w:spacing w:after="0" w:line="10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w:t>
      </w:r>
    </w:p>
    <w:p>
      <w:pPr>
        <w:spacing w:after="0" w:line="1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Due to certain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spacing w:after="0" w:line="87"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In addition, our operational and financial results will experience some variability depending upon the time of year in which they are measured. For example, medical costs vary seasonally depending primarily on the weather because certain illnesses, such as the influenza virus, are far more prevalent during colder months of the year. It is still uncertain if the virus that causes COVID-19 will follow seasonal patterns and whether, as a result, the seasonality of our results will change in the future. Historically, we have seen higher levels of per-participant medical costs in the second and third quarters of our fiscal year.</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8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may use open source software in connection with our services.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Such litigation could be costly and time consuming, divert the attention of management, and the outcomes may not be favorable.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or other contractual protections regarding infringement or the quality of the code, including the existence of security vulnerabilities.</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lease approximately half of our centers and may experience risks relating to lease termination, lease expense escalators, lease extensions and special charges.</w:t>
      </w:r>
    </w:p>
    <w:p>
      <w:pPr>
        <w:spacing w:after="0" w:line="10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currently lease eight of our 18 centers. Our leases typically have terms of nine years, and generally provide for renewal or extension options for an average total potential term of approximately 25 years.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there can be no assurance that we will be able to enter into a new lease agreement on similar or better terms or at all.</w:t>
      </w:r>
    </w:p>
    <w:p>
      <w:pPr>
        <w:spacing w:after="0" w:line="1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lease obligations often include annual fixed rent escalators ranging between 2% and 3%. These escalators could impact our ability to satisfy certain obligations and financial covenants. If the results of our operations do not increase at or above the escalator rates, it would place an additional burden on our results of operations, liquidity and financial position.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2" w:lineRule="auto"/>
        <w:rPr>
          <w:sz w:val="20"/>
          <w:szCs w:val="20"/>
          <w:color w:val="auto"/>
        </w:rPr>
      </w:pPr>
      <w:r>
        <w:rPr>
          <w:rFonts w:ascii="Arial" w:cs="Arial" w:eastAsia="Arial" w:hAnsi="Arial"/>
          <w:sz w:val="17"/>
          <w:szCs w:val="17"/>
          <w:color w:val="auto"/>
        </w:rPr>
        <w:t>As we continue to expand and have leases with different start dates, it is likely that some number of our leases will expire each year. Our lease agreements often provide for renewal or extension options. There can be no assurance that these rights will be exercised in the future or that we will be able to satisfy the conditions precedent to exercising any such renewal or extension. In addition, if we are unable to renew or extend any of our leases, we may lose all of the facilities subject to that master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spacing w:after="0" w:line="11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Leasing facilities pursuant to binding lease agreements may limit our ability to exit markets. For instance, if one facility under a lease becomes unprofitable, we may be required to continue operating such facility or, if allowed by the landlord to close such facility, we may remain obligated for the lease payments on such facility. We could incur special charges relating to the closing of such facility, including lease termination costs, impairment charges and other special charges that would reduce our profits and could have a material adverse effect on our business, financial condition or results of operations.</w:t>
      </w:r>
    </w:p>
    <w:p>
      <w:pPr>
        <w:spacing w:after="0" w:line="1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failure to pay the rent or otherwise comply with the provisions of any of our lease agreements could result in an “event of default” under such lease agreement and also could result in a cross default under other lease agreements and agreements for our indebtedness. Upon an event of default, remedies available to our landlords generally include, without limitation, terminating such lease agreement, repossessing and reletting the leased properties and requiring us to remain liable for all obligations under such lease agreement, including the difference between the rent under such lease agreement and the rent payable as a result of reletting the leased properties, or requiring us to pay the net present value of the rent due for the balance of the term of such lease agreement. The exercise of such remedies could have a material adverse effect on our business, financial position, results of operations and liquidity.</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If certain of our suppliers do not meet our needs, if there are material price increases on supplies, if we are not reimbursed or adequately reimbursed for medical products we purchase or if we are unable to effectively access new technology or medical products, it could negatively impact our ability to effectively provide the services we offer and could have a material adverse effect on our business, results of operations, financial condition and cash flows.</w:t>
      </w:r>
    </w:p>
    <w:p>
      <w:pPr>
        <w:spacing w:after="0" w:line="107"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in the event of a product recall, shortage or dispute, and we are not able to find adequate alternative sources, or if we experience material price increases from these suppliers that we are unable to mitigate, it could have a material adverse impact on our business, results of operations, financial condition and cash flows.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including PPE, we could face attrition with respect to our participants or health care providers and other personnel and other negative consequences which could have a material adverse effect on our business, results of operations, financial condition and cash flows.</w:t>
      </w:r>
    </w:p>
    <w:p>
      <w:pPr>
        <w:spacing w:after="0" w:line="20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7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additional personnel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shareholders following our IPO could lead to disparities of wealth among our employees, which could adversely impact relations among</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employees and our culture generally. Our anticipated headcount growth may result in a change of corporate culture, which could harm our business.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Competition for physicians and other clinical personnel or other factors could increase our labor costs and adversely affect our revenue, profitability and cash flows.</w:t>
      </w:r>
    </w:p>
    <w:p>
      <w:pPr>
        <w:spacing w:after="0" w:line="10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operations are dependent on the efforts, abilities and experience of our physicians and clinical personnel. We compete with other healthcare providers, primarily hospitals and other facilities, in attracting physicians, nurses and medical staff to support our centers, and recruiting and retaining qualified management and support personnel responsible for the daily operations of each of our centers. In some markets, the lack of availability of clinical personnel, such as nurses and mental health professionals, has become a significant operating issue facing all healthcare providers, which situation has been further exacerbated by the COVID-19 pandemic. This shortage may require us to continue to enhance wages and benefits to recruit and retain qualified personnel or to contract for more expensive temporary personnel. For the years ended June 30, 2021 and 2020, our total center-level employee costs represented 17.7% and 19.1%, respectively, of our revenue. We also depend on the available labor pool of semi-skilled and unskilled workers in each of the markets in which we operate.</w:t>
      </w:r>
    </w:p>
    <w:p>
      <w:pPr>
        <w:spacing w:after="0" w:line="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If our labor costs increase, we may not be able to offset these increased costs. Because the vast majority of our revenue consists of prospective monthly capitated, or fixed, payments per participant,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centers that may occur in the future could contribute to increased labor costs. Certain proposed changes in federal labor laws and the National Labor Relations Board’s modification of its election procedures to allow for faster elections and absentee ballots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or contract with qualified management and medical personnel, or to control our labor costs, could have a material adverse effect on our business, prospects, results of operations and financial condition.</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Negative publicity regarding the managed healthcare industry generally could adversely affect our results of operations or business.</w:t>
      </w:r>
    </w:p>
    <w:p>
      <w:pPr>
        <w:spacing w:after="0" w:line="103"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Negative publicity regarding the managed healthcare industry generally, or the PACE program in particular, may result in increased regulation and legislative review of industry practices that further increase our costs of doing business and adversely affect our results of operations or business by:</w:t>
      </w:r>
    </w:p>
    <w:p>
      <w:pPr>
        <w:spacing w:after="0" w:line="184" w:lineRule="exact"/>
        <w:rPr>
          <w:sz w:val="20"/>
          <w:szCs w:val="20"/>
          <w:color w:val="auto"/>
        </w:rPr>
      </w:pPr>
    </w:p>
    <w:p>
      <w:pPr>
        <w:ind w:left="1180" w:hanging="4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change our integrated healthcare services model;</w:t>
      </w:r>
    </w:p>
    <w:p>
      <w:pPr>
        <w:spacing w:after="0" w:line="225" w:lineRule="exact"/>
        <w:rPr>
          <w:rFonts w:ascii="Arial" w:cs="Arial" w:eastAsia="Arial" w:hAnsi="Arial"/>
          <w:sz w:val="18"/>
          <w:szCs w:val="18"/>
          <w:color w:val="auto"/>
        </w:rPr>
      </w:pPr>
    </w:p>
    <w:p>
      <w:pPr>
        <w:ind w:left="1340" w:right="59" w:hanging="642"/>
        <w:spacing w:after="0" w:line="263" w:lineRule="auto"/>
        <w:tabs>
          <w:tab w:leader="none" w:pos="11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regulatory, including compliance, burdens under which we operate, which, in turn, may negatively impact the manner in which we provide services and increase our costs of providing services;</w:t>
      </w:r>
    </w:p>
    <w:p>
      <w:pPr>
        <w:spacing w:after="0" w:line="183" w:lineRule="exact"/>
        <w:rPr>
          <w:rFonts w:ascii="Arial" w:cs="Arial" w:eastAsia="Arial" w:hAnsi="Arial"/>
          <w:sz w:val="18"/>
          <w:szCs w:val="18"/>
          <w:color w:val="auto"/>
        </w:rPr>
      </w:pPr>
    </w:p>
    <w:p>
      <w:pPr>
        <w:ind w:left="1340" w:right="59" w:hanging="642"/>
        <w:spacing w:after="0" w:line="263" w:lineRule="auto"/>
        <w:tabs>
          <w:tab w:leader="none" w:pos="11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affecting our ability to market our products or services through the imposition of further regulatory restrictions or guidelines regarding the manner in which plans and providers market to PACE enrollees; or</w:t>
      </w:r>
    </w:p>
    <w:p>
      <w:pPr>
        <w:spacing w:after="0" w:line="183" w:lineRule="exact"/>
        <w:rPr>
          <w:rFonts w:ascii="Arial" w:cs="Arial" w:eastAsia="Arial" w:hAnsi="Arial"/>
          <w:sz w:val="18"/>
          <w:szCs w:val="18"/>
          <w:color w:val="auto"/>
        </w:rPr>
      </w:pPr>
    </w:p>
    <w:p>
      <w:pPr>
        <w:ind w:left="1180" w:hanging="482"/>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affecting our ability to attract and retain participants.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centers may be negatively impacted by public health emergencies, such as the COVID-19 pandemic, weather and other factors beyond our control.</w:t>
      </w:r>
    </w:p>
    <w:p>
      <w:pPr>
        <w:spacing w:after="0" w:line="89"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Our results of operations may be adversely impacted by adverse conditions affecting our centers, including severe weather events such as tornadoes, hurricanes and widespread winter storms, earthquakes, public health concerns such as contagious disease outbreaks, epidemics and pandemics, such as the COVID-19 pandemic, violence or threats of violence or other factors beyond our control that cause disruption in provision of participant services,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pandemics, such as the COVID-19 pandemic, adverse weather conditions or other events. Our future operating results may be adversely affected by these and other factors that disrupt the operation of our centers.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we fail to adhere to all of the complex government laws and regulations that apply to our business, we could suffer severe consequences that could have a material adverse effect on our business, results of operations, financial condition, cash flows, reputation and stock price.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operations are subject to extensive federal, state and local government laws and regulations, such as:</w:t>
      </w:r>
    </w:p>
    <w:p>
      <w:pPr>
        <w:spacing w:after="0" w:line="225" w:lineRule="exact"/>
        <w:rPr>
          <w:sz w:val="20"/>
          <w:szCs w:val="20"/>
          <w:color w:val="auto"/>
        </w:rPr>
      </w:pPr>
    </w:p>
    <w:p>
      <w:pPr>
        <w:ind w:left="1180" w:hanging="482"/>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Medicare, Medicaid, and PACE statutes and regulations;</w:t>
      </w:r>
    </w:p>
    <w:p>
      <w:pPr>
        <w:spacing w:after="0" w:line="225" w:lineRule="exact"/>
        <w:rPr>
          <w:rFonts w:ascii="Arial" w:cs="Arial" w:eastAsia="Arial" w:hAnsi="Arial"/>
          <w:sz w:val="18"/>
          <w:szCs w:val="18"/>
          <w:color w:val="auto"/>
        </w:rPr>
      </w:pPr>
    </w:p>
    <w:p>
      <w:pPr>
        <w:jc w:val="both"/>
        <w:ind w:left="1220" w:right="79" w:hanging="495"/>
        <w:spacing w:after="0" w:line="255"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federal and state anti-kickback laws, which prohibit, among other things, the knowing and willful offer, payment, solicitation or receipt of any bribe, kickback or remuneration, whether in cash or in 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w:t>
      </w:r>
    </w:p>
    <w:p>
      <w:pPr>
        <w:spacing w:after="0" w:line="192" w:lineRule="exact"/>
        <w:rPr>
          <w:rFonts w:ascii="Arial" w:cs="Arial" w:eastAsia="Arial" w:hAnsi="Arial"/>
          <w:sz w:val="18"/>
          <w:szCs w:val="18"/>
          <w:color w:val="auto"/>
        </w:rPr>
      </w:pPr>
    </w:p>
    <w:p>
      <w:pPr>
        <w:jc w:val="both"/>
        <w:ind w:left="1220" w:right="79" w:hanging="495"/>
        <w:spacing w:after="0" w:line="254"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associated regulations, which impose civil and criminal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$11,665 to $23,331 for each false claim, plus treble damages, and exclude the entity from participation in Medicare, Medicaid and other federal healthcare programs;</w:t>
      </w:r>
    </w:p>
    <w:p>
      <w:pPr>
        <w:spacing w:after="0" w:line="191" w:lineRule="exact"/>
        <w:rPr>
          <w:rFonts w:ascii="Arial" w:cs="Arial" w:eastAsia="Arial" w:hAnsi="Arial"/>
          <w:sz w:val="18"/>
          <w:szCs w:val="18"/>
          <w:color w:val="auto"/>
        </w:rPr>
      </w:pPr>
    </w:p>
    <w:p>
      <w:pPr>
        <w:jc w:val="both"/>
        <w:ind w:left="1220" w:right="79" w:hanging="495"/>
        <w:spacing w:after="0" w:line="311"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spacing w:after="0" w:line="148" w:lineRule="exact"/>
        <w:rPr>
          <w:rFonts w:ascii="Arial" w:cs="Arial" w:eastAsia="Arial" w:hAnsi="Arial"/>
          <w:sz w:val="16"/>
          <w:szCs w:val="16"/>
          <w:color w:val="auto"/>
        </w:rPr>
      </w:pPr>
    </w:p>
    <w:p>
      <w:pPr>
        <w:jc w:val="both"/>
        <w:ind w:left="1220" w:right="79" w:hanging="495"/>
        <w:spacing w:after="0" w:line="293"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w:t>
      </w:r>
    </w:p>
    <w:p>
      <w:pPr>
        <w:spacing w:after="0" w:line="164" w:lineRule="exact"/>
        <w:rPr>
          <w:rFonts w:ascii="Arial" w:cs="Arial" w:eastAsia="Arial" w:hAnsi="Arial"/>
          <w:sz w:val="16"/>
          <w:szCs w:val="16"/>
          <w:color w:val="auto"/>
        </w:rPr>
      </w:pPr>
    </w:p>
    <w:p>
      <w:pPr>
        <w:jc w:val="both"/>
        <w:ind w:left="1220" w:right="79" w:hanging="495"/>
        <w:spacing w:after="0" w:line="286" w:lineRule="auto"/>
        <w:tabs>
          <w:tab w:leader="none" w:pos="12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federal health 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spacing w:after="0" w:line="165" w:lineRule="exact"/>
        <w:rPr>
          <w:rFonts w:ascii="Arial" w:cs="Arial" w:eastAsia="Arial" w:hAnsi="Arial"/>
          <w:sz w:val="17"/>
          <w:szCs w:val="17"/>
          <w:color w:val="auto"/>
        </w:rPr>
      </w:pPr>
    </w:p>
    <w:p>
      <w:pPr>
        <w:jc w:val="both"/>
        <w:ind w:left="1220" w:right="79" w:hanging="495"/>
        <w:spacing w:after="0" w:line="259"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federal and state laws regarding the Processing, protection, retention or destruction of health information or PHI/PII (e.g., HIPAA, CCPA) and the storage, handling, shipment, disposal and/or dispensing of pharmaceuticals and blood products and other biological materials, and many other applicable state and federal laws and requirements;</w:t>
      </w:r>
    </w:p>
    <w:p>
      <w:pPr>
        <w:spacing w:after="0" w:line="186" w:lineRule="exact"/>
        <w:rPr>
          <w:rFonts w:ascii="Arial" w:cs="Arial" w:eastAsia="Arial" w:hAnsi="Arial"/>
          <w:sz w:val="18"/>
          <w:szCs w:val="18"/>
          <w:color w:val="auto"/>
        </w:rPr>
      </w:pPr>
    </w:p>
    <w:p>
      <w:pPr>
        <w:ind w:left="1220" w:hanging="495"/>
        <w:spacing w:after="0"/>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state and federal statutes and regulations that govern workplace health and safety;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220" w:right="79" w:hanging="495"/>
        <w:spacing w:after="0" w:line="279"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w:t>
      </w:r>
    </w:p>
    <w:p>
      <w:pPr>
        <w:spacing w:after="0" w:line="171" w:lineRule="exact"/>
        <w:rPr>
          <w:rFonts w:ascii="Arial" w:cs="Arial" w:eastAsia="Arial" w:hAnsi="Arial"/>
          <w:sz w:val="17"/>
          <w:szCs w:val="17"/>
          <w:color w:val="auto"/>
        </w:rPr>
      </w:pPr>
    </w:p>
    <w:p>
      <w:pPr>
        <w:ind w:left="1220" w:right="79" w:hanging="49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scope of practice and other laws pertaining to the provision of services by qualified health care providers; and</w:t>
      </w:r>
    </w:p>
    <w:p>
      <w:pPr>
        <w:spacing w:after="0" w:line="170" w:lineRule="exact"/>
        <w:rPr>
          <w:rFonts w:ascii="Arial" w:cs="Arial" w:eastAsia="Arial" w:hAnsi="Arial"/>
          <w:sz w:val="18"/>
          <w:szCs w:val="18"/>
          <w:color w:val="auto"/>
        </w:rPr>
      </w:pPr>
    </w:p>
    <w:p>
      <w:pPr>
        <w:ind w:left="1220" w:right="79" w:hanging="495"/>
        <w:spacing w:after="0" w:line="27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laws pertaining to the provision of services by nurse practitioners and physician assistants in certain settings, including physician supervision of those services.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to the above, PACE contracts also impose complex and extensive requirements upon our operations.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Federal and state manuals, policies, and other guidances may also affect our operations.</w:t>
      </w:r>
    </w:p>
    <w:p>
      <w:pPr>
        <w:spacing w:after="0" w:line="211"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The various laws, regulations and agency guidances that apply or relate to our operations are often subject to varying interpretations, and additional laws and regulations potentially affecting healthcare organizations continue to be promulgated. A violation or departure from any of the legal requirements applicable to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may be civil or administrative in nature.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w:t>
      </w:r>
    </w:p>
    <w:p>
      <w:pPr>
        <w:spacing w:after="0" w:line="19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We endeavor to comply with all legal requirements. We further endeavor to structure all of our relationships with physicians, providers, and other third parties to comply with state and federal anti-kickback laws and other applicable healthcare laws. We utilize considerable resources to monitor laws and regulations and implement necessary changes.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if we fail to report and return government overpayments within 60 days of when the overpayment is identified and quantified. Additionally, the federal government has used the FCA to prosecute a wide variety of alleged false claims and fraud allegedly perpetrated against Medicare, Medicaid and other federally funded health care programs. Moreover, amendments to the federal Anti-Kickback Statute in the ACA make claims tainted by Anti-Kickback Statute violations subject to liability under the FCA, including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or whistleblower suits. Given the high volume of claims processed by our various operating units, the potential is high for substantial penalties in connection with any alleged FCA violations.</w:t>
      </w:r>
    </w:p>
    <w:p>
      <w:pPr>
        <w:spacing w:after="0" w:line="18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 addition to the provisions of the FCA, the federal government can use several criminal statutes to prosecute persons who are alleged to have submitted false or fraudulent claims for payment to the federal government.</w:t>
      </w:r>
    </w:p>
    <w:p>
      <w:pPr>
        <w:spacing w:after="0" w:line="7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If any of our operations are found to violate these or other government laws or regulations, we could suffer severe consequences that would have a material adverse effect on our business, results of operations, financial condition, cash flows, reputation and stock price, including:</w:t>
      </w:r>
    </w:p>
    <w:p>
      <w:pPr>
        <w:spacing w:after="0" w:line="184" w:lineRule="exact"/>
        <w:rPr>
          <w:sz w:val="20"/>
          <w:szCs w:val="20"/>
          <w:color w:val="auto"/>
        </w:rPr>
      </w:pPr>
    </w:p>
    <w:p>
      <w:pPr>
        <w:ind w:left="1220" w:hanging="49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termination or exclusion of our participation in government payment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20" w:right="79" w:hanging="49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refunds of amounts received in violation of law or applicable payment program requirements dating back to the applicable statute of limitation periods;</w:t>
      </w:r>
    </w:p>
    <w:p>
      <w:pPr>
        <w:spacing w:after="0" w:line="170" w:lineRule="exact"/>
        <w:rPr>
          <w:rFonts w:ascii="Arial" w:cs="Arial" w:eastAsia="Arial" w:hAnsi="Arial"/>
          <w:sz w:val="18"/>
          <w:szCs w:val="18"/>
          <w:color w:val="auto"/>
        </w:rPr>
      </w:pPr>
    </w:p>
    <w:p>
      <w:pPr>
        <w:ind w:left="1220" w:right="79" w:hanging="49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our licenses required to operate healthcare facilities, complete certain limited lab testing or administer prescription drugs in the states in which we operate;</w:t>
      </w:r>
    </w:p>
    <w:p>
      <w:pPr>
        <w:spacing w:after="0" w:line="170" w:lineRule="exact"/>
        <w:rPr>
          <w:rFonts w:ascii="Arial" w:cs="Arial" w:eastAsia="Arial" w:hAnsi="Arial"/>
          <w:sz w:val="18"/>
          <w:szCs w:val="18"/>
          <w:color w:val="auto"/>
        </w:rPr>
      </w:pPr>
    </w:p>
    <w:p>
      <w:pPr>
        <w:jc w:val="both"/>
        <w:ind w:left="1220" w:right="79" w:hanging="495"/>
        <w:spacing w:after="0" w:line="263"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or civil liability, fines, damages or monetary penalties for violations of healthcare fraud and abuse laws, including the Anti-Kickback Statute, Civil Monetary Penalties Statute and FCA, or other failures to meet regulatory requirements;</w:t>
      </w:r>
    </w:p>
    <w:p>
      <w:pPr>
        <w:spacing w:after="0" w:line="183" w:lineRule="exact"/>
        <w:rPr>
          <w:rFonts w:ascii="Arial" w:cs="Arial" w:eastAsia="Arial" w:hAnsi="Arial"/>
          <w:sz w:val="18"/>
          <w:szCs w:val="18"/>
          <w:color w:val="auto"/>
        </w:rPr>
      </w:pPr>
    </w:p>
    <w:p>
      <w:pPr>
        <w:jc w:val="both"/>
        <w:ind w:left="1220" w:right="79" w:hanging="495"/>
        <w:spacing w:after="0" w:line="25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enforcement actions by governmental agencies or state attorneys general and/or state law claims for monetary damages by patients or employees who believe their PHI/PII has been impermissibly used or disclosed or not properly safeguarded, or their rights with respect to PHI/PII have been protected, in violation of federal or state health privacy laws, including, for example and without limitation, HIPAA, CCPA, and the Privacy Act of 1974;</w:t>
      </w:r>
    </w:p>
    <w:p>
      <w:pPr>
        <w:spacing w:after="0" w:line="187" w:lineRule="exact"/>
        <w:rPr>
          <w:rFonts w:ascii="Arial" w:cs="Arial" w:eastAsia="Arial" w:hAnsi="Arial"/>
          <w:sz w:val="18"/>
          <w:szCs w:val="18"/>
          <w:color w:val="auto"/>
        </w:rPr>
      </w:pPr>
    </w:p>
    <w:p>
      <w:pPr>
        <w:ind w:left="1220" w:hanging="495"/>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w:t>
      </w:r>
    </w:p>
    <w:p>
      <w:pPr>
        <w:spacing w:after="0" w:line="225" w:lineRule="exact"/>
        <w:rPr>
          <w:rFonts w:ascii="Arial" w:cs="Arial" w:eastAsia="Arial" w:hAnsi="Arial"/>
          <w:sz w:val="18"/>
          <w:szCs w:val="18"/>
          <w:color w:val="auto"/>
        </w:rPr>
      </w:pPr>
    </w:p>
    <w:p>
      <w:pPr>
        <w:jc w:val="both"/>
        <w:ind w:left="1220" w:right="79" w:hanging="495"/>
        <w:spacing w:after="0" w:line="259"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monitoring agreements or corrective action plans that could subject us to ongoing audits and reporting requirements as well as increased scrutiny of our billing and business practices which could lead to potential fines, among other things;</w:t>
      </w:r>
    </w:p>
    <w:p>
      <w:pPr>
        <w:spacing w:after="0" w:line="186" w:lineRule="exact"/>
        <w:rPr>
          <w:rFonts w:ascii="Arial" w:cs="Arial" w:eastAsia="Arial" w:hAnsi="Arial"/>
          <w:sz w:val="18"/>
          <w:szCs w:val="18"/>
          <w:color w:val="auto"/>
        </w:rPr>
      </w:pPr>
    </w:p>
    <w:p>
      <w:pPr>
        <w:ind w:left="1220" w:right="79" w:hanging="49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real estate leases and consulting agreements; and</w:t>
      </w:r>
    </w:p>
    <w:p>
      <w:pPr>
        <w:spacing w:after="0" w:line="170" w:lineRule="exact"/>
        <w:rPr>
          <w:rFonts w:ascii="Arial" w:cs="Arial" w:eastAsia="Arial" w:hAnsi="Arial"/>
          <w:sz w:val="18"/>
          <w:szCs w:val="18"/>
          <w:color w:val="auto"/>
        </w:rPr>
      </w:pPr>
    </w:p>
    <w:p>
      <w:pPr>
        <w:jc w:val="both"/>
        <w:ind w:left="1220" w:right="79" w:hanging="495"/>
        <w:spacing w:after="0" w:line="263"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are, from time to time, and may in the future be, a party to various lawsuits, demands, claims, governmental investigations, and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will require management’s attention and cause us to incur significant legal expense. Negative findings or terms and conditions that we might agree to accept as part of a negotiated resolution of such matters could result in, among other things, substantial financial penalties or awards against us, substantial payments made by us, harm to our reputation, required changes to our business practices, exclusion from future participation in the Medicare, Medicaid and other healthcare programs and, in certain cases, criminal penalties, any of which could have a material adverse effect on our business. It is possible that criminal proceedings may be initiated against us and/or individuals in our business in connection with investigations by the federal government. The results of such lawsuits cannot be predicted and because qui tam suits are filed under seal, we could be subject to suits of which we are not aware.</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our healthcare professionals and the facilities in which we operate, are subject to various federal, state and local licensing, certification and other laws and regulations, relating to, among other things, the quality of medical care, equipment, privacy of health information, physician relationships, personnel and operating policies and procedures. Failure to comply with these licensing and certification laws, regulations and standards could result in cessation of our services, prior payments by government payors being subject to recoupment, corrective action plans, the suspension of participant enrollment or requirements to make significant changes to our operations and can give rise to civil or, in extreme cases,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regulations could have a material adverse impact on our business, results of operations, financial condition, cash flows and reputation.</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are unable to effectively adapt to changes in the healthcare industry, including changes to laws and regulations regarding or affecting U.S. healthcare reform, our business may be harmed.</w:t>
      </w:r>
    </w:p>
    <w:p>
      <w:pPr>
        <w:spacing w:after="0" w:line="103" w:lineRule="exact"/>
        <w:rPr>
          <w:sz w:val="20"/>
          <w:szCs w:val="20"/>
          <w:color w:val="auto"/>
        </w:rPr>
      </w:pPr>
    </w:p>
    <w:p>
      <w:pPr>
        <w:jc w:val="both"/>
        <w:ind w:left="60" w:right="79" w:firstLine="324"/>
        <w:spacing w:after="0" w:line="273" w:lineRule="auto"/>
        <w:rPr>
          <w:sz w:val="20"/>
          <w:szCs w:val="20"/>
          <w:color w:val="auto"/>
        </w:rPr>
      </w:pPr>
      <w:r>
        <w:rPr>
          <w:rFonts w:ascii="Arial" w:cs="Arial" w:eastAsia="Arial" w:hAnsi="Arial"/>
          <w:sz w:val="17"/>
          <w:szCs w:val="17"/>
          <w:color w:val="auto"/>
        </w:rPr>
        <w:t>Due to the importance of the healthcare industry in the lives of all Americans, federal, state, and local legislative bodies frequently pass legislation and administrative agencies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assure our stockholders as to the ultimate content, timing or effect of any new healthcare legislation or regulations, nor is it possible at this time to estimate the impact of potential new legislation or regulations on our business.</w:t>
      </w:r>
    </w:p>
    <w:p>
      <w:pPr>
        <w:spacing w:after="0" w:line="11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Since nearly all of our revenue is derived from government payors, we are always subject to regulatory changes. Federal and state legislators routinely introduce and consider proposed legislation that would impact Medicare, Medicaid, and PACE funding and operations, and state and federal agencies also consider and implement regulations and guidance that impact our business. We cannot predict with certainty what impact any federal and state healthcare legislation or regulation will have on us, but such changes could impose new and/or more stringent regulatory requirements on our activities or result in reduced capitated payments, any of which could adversely affect our business, financial condition, and results of operations.</w:t>
      </w:r>
    </w:p>
    <w:p>
      <w:pPr>
        <w:spacing w:after="0" w:line="11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It is possible that future legislation enacted by Congress or state legislatures, or regulations promulgated by regulatory authorities at the federal or state level, could adversely affect our business or could change the operating environment of our community centers. It is possible that the changes to Medicare, Medicaid or other governmental healthcare program reimbursement policies may serve as precedent to possible changes in other government payors’ programs in a manner that adversely impacts the capitation payment arrangements with us. Similarly, changes in private payor reimbursement policies could lead to adverse changes in Medicare, Medicaid and other governmental healthcare programs, which could have a material adverse effect on our business, financial condition and results of operations.</w:t>
      </w:r>
    </w:p>
    <w:p>
      <w:pPr>
        <w:spacing w:after="0" w:line="12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While we believe that we have structured our agreements and operations in material compliance with applicable healthcare laws and regulations, there can be no assurance that regulators will agree with our approach or that we will be able to successfully address changes in the current legislative and regulatory environment.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9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1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 care practitioners by health care facilities do not explicitly include a PACE organization in the list of health care facilities by which a health care practitioner may be employed. Other states in which we may operate in the future may also generally prohibit the corporate practice of medicine.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Penalties for violations of the corporate practice of medicine vary by state and may result in physicians being subject to disciplinary action, as well as forfeiture of revenues from payors for services rendered. For business entities, such as us, violations may also bring both civil and, in more extreme cases, criminal liability for engaging in medical practice without a license.</w:t>
      </w:r>
    </w:p>
    <w:p>
      <w:pPr>
        <w:spacing w:after="0" w:line="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of the relevant laws, regulations and agency interpretations in states with corporate practice of medicine restrictions have been subject to limited judicial and regulatory interpretation. State laws or regulations prohibiting the corporate practice of medicine may contemplate the employment of physicians by certain types of entities, but may not provide a specific exemption for PACE organizations. State laws and regulations are subject to change. Regulatory authorities and other parties may assert that our employment of physicians in some states means that we are engaged in the prohibited corporate practice of medicine. If this were to occur, we could be subject to civil and/or criminal penalties, our agreements with physicians could be found legally invalid and unenforceable (in whole or in part) or we could be required to restructure our arrangements with respect to the physicians that care for our participants, in each case in one or more of the jurisdictions in which we operate. Any of these outcomes may have a material adverse effect on our business, results of operations, financial condition, cash flows and reputation.</w:t>
      </w:r>
    </w:p>
    <w:p>
      <w:pPr>
        <w:spacing w:after="0" w:line="18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Our use, disclosure, and other Processing of PHI/PII is subject to HIPAA, CCPA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w:t>
      </w:r>
    </w:p>
    <w:p>
      <w:pPr>
        <w:spacing w:after="0" w:line="11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Numerous state and federal laws and regulations govern the collection, dissemination, use, disclosure, destruction, retention, privacy, confidentiality, security, availability, integrity and other Processing of PHI/PII.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12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HIPAA requires covered entities, such as ourselves, and their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9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HIPAA imposes mandatory penalties for certain violations. Under a notice of enforcement discretion issued by HHS in 2019, penalties for violations of HIPAA and its implementing regulations start at $100 (not adjusted for inflation) per violation and are not to exceed $50,000 (not adjusted for inflation) per violation, subject to a cap of $1.5 million (not adjusted for inflation)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1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in no case later than 60 calendar days after discovery, and HHS will automatically investigate the breach and post the name of the entity on its public breach portal. If a breach involves fewer than 500 people, the covered entity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must record it in a log and notify HHS at least annually. Breaches affecting more than 500 residents in the same state or jurisdiction must also be reported to the local media.</w:t>
      </w:r>
    </w:p>
    <w:p>
      <w:pPr>
        <w:spacing w:after="0" w:line="103" w:lineRule="exact"/>
        <w:rPr>
          <w:sz w:val="20"/>
          <w:szCs w:val="20"/>
          <w:color w:val="auto"/>
        </w:rPr>
      </w:pPr>
    </w:p>
    <w:p>
      <w:pPr>
        <w:jc w:val="both"/>
        <w:ind w:left="60" w:right="59" w:firstLine="324"/>
        <w:spacing w:after="0" w:line="266" w:lineRule="auto"/>
        <w:rPr>
          <w:sz w:val="20"/>
          <w:szCs w:val="20"/>
          <w:color w:val="auto"/>
        </w:rPr>
      </w:pPr>
      <w:r>
        <w:rPr>
          <w:rFonts w:ascii="Arial" w:cs="Arial" w:eastAsia="Arial" w:hAnsi="Arial"/>
          <w:sz w:val="17"/>
          <w:szCs w:val="17"/>
          <w:color w:val="auto"/>
        </w:rPr>
        <w:t>In addition to HIPAA, numerous other federal and state laws and regulations protect the confidentiality, privacy, availability, integrity and security of PHI/PII.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interpretations,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will come into effect on January 1, 2023, and will expand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30"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We also publish statements to our participants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9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We face inspections, reviews, audits and investigations under federal and state government programs and contracts. These audits could require corrective actions or have adverse findings that may negatively affect our business, including our results of operations, liquidity, financial condition and reputation.</w:t>
      </w:r>
    </w:p>
    <w:p>
      <w:pPr>
        <w:spacing w:after="0" w:line="84"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As a result of our PACE contracts with CMS and state government agencies, state licenses, and participation in Medicaid, we are routinely subject to, or may be subject to in the future,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pacing w:after="0" w:line="10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previously disclosed, on May 26, 2021, the Colorado Department of Health Care Policy &amp; Financing (“HCPF”) and the Colorado Department of Public Health and Environment (“CDPHE”) initiated a joint audit of our Colorado PACE centers, and on June 21, 2021, CMS also initiated a separate focused desk audit of our Colorado PACE program. We received preliminary findings from CMS and HCPF/CDPHE in July 2021 and expect to receive final reports from the agencies in early 2022. With respect to these three audits, to date, none of the agencies have indicated that they intend to suspend or otherwise curtail our programs, and we have not been notified of corrections that 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required to be implemented prior to issuance of the final reports. However, we cannot guarantee the outcome of these audits until we receive the respective final reports from each agency.</w:t>
      </w:r>
    </w:p>
    <w:p>
      <w:pPr>
        <w:spacing w:after="0" w:line="10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as previously disclosed, on May 10, 2021, CMS began a routine, scheduled audit of our Sacramento, California center. On September 17, 2021, we were notified that CMS had determined to suspend new enrollments at our Sacramento center based on deficiencies detected in the audit related to participant quality of care. The suspension will remain in effect until CMS determines that we have remediated the deficiencies to its satisfaction. We are currently working to develop a corrective action plan. In addition, we have a right to provide a written rebuttal and/or request a hearing to appeal CMS’ decision. At this time, we are assessing these options and cannot guarantee the outcome of this process. If CMS is not satisfied with proposed or implemented corrective actions, we could be subject to additional sanctions.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Inspections, reviews, audits, requests for information or investigations with adverse findings, can result in:</w:t>
      </w:r>
    </w:p>
    <w:p>
      <w:pPr>
        <w:spacing w:after="0" w:line="237" w:lineRule="exact"/>
        <w:rPr>
          <w:sz w:val="20"/>
          <w:szCs w:val="20"/>
          <w:color w:val="auto"/>
        </w:rPr>
      </w:pPr>
    </w:p>
    <w:p>
      <w:pPr>
        <w:ind w:left="1220" w:hanging="49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temporary or permanent enrollment sanctions in the affected center(s);</w:t>
      </w:r>
    </w:p>
    <w:p>
      <w:pPr>
        <w:spacing w:after="0" w:line="225" w:lineRule="exact"/>
        <w:rPr>
          <w:rFonts w:ascii="Arial" w:cs="Arial" w:eastAsia="Arial" w:hAnsi="Arial"/>
          <w:sz w:val="18"/>
          <w:szCs w:val="18"/>
          <w:color w:val="auto"/>
        </w:rPr>
      </w:pPr>
    </w:p>
    <w:p>
      <w:pPr>
        <w:ind w:left="1220" w:hanging="49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refunding amounts we have been paid by the government;</w:t>
      </w:r>
    </w:p>
    <w:p>
      <w:pPr>
        <w:spacing w:after="0" w:line="225" w:lineRule="exact"/>
        <w:rPr>
          <w:rFonts w:ascii="Arial" w:cs="Arial" w:eastAsia="Arial" w:hAnsi="Arial"/>
          <w:sz w:val="18"/>
          <w:szCs w:val="18"/>
          <w:color w:val="auto"/>
        </w:rPr>
      </w:pPr>
    </w:p>
    <w:p>
      <w:pPr>
        <w:ind w:left="1220" w:right="79" w:hanging="495"/>
        <w:spacing w:after="0" w:line="277" w:lineRule="auto"/>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state or federal agencies imposing corrective action plans, fines, penalties, training, policies and procedures, and other requirements or sanctions on us;</w:t>
      </w:r>
    </w:p>
    <w:p>
      <w:pPr>
        <w:spacing w:after="0" w:line="170" w:lineRule="exact"/>
        <w:rPr>
          <w:rFonts w:ascii="Arial" w:cs="Arial" w:eastAsia="Arial" w:hAnsi="Arial"/>
          <w:sz w:val="18"/>
          <w:szCs w:val="18"/>
          <w:color w:val="auto"/>
        </w:rPr>
      </w:pPr>
    </w:p>
    <w:p>
      <w:pPr>
        <w:ind w:left="1220" w:hanging="49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temporary suspension of payments;</w:t>
      </w:r>
    </w:p>
    <w:p>
      <w:pPr>
        <w:spacing w:after="0" w:line="225" w:lineRule="exact"/>
        <w:rPr>
          <w:rFonts w:ascii="Arial" w:cs="Arial" w:eastAsia="Arial" w:hAnsi="Arial"/>
          <w:sz w:val="18"/>
          <w:szCs w:val="18"/>
          <w:color w:val="auto"/>
        </w:rPr>
      </w:pPr>
    </w:p>
    <w:p>
      <w:pPr>
        <w:ind w:left="1220" w:hanging="49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debarment or exclusion from participation in federal health care programs;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self-disclosure of violations to applicable regulatory authorities;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revocation of a facility’s license; and</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certain rights under, or termination of, our contracts with government payors.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may be required to refund amounts we have been paid and/or pay fines and penalties as a result of these inspections, reviews, audits, requests for information and investigations. Any of the results noted above could have a material adverse effect on our business and operating results. Furthermore, the legal, document production and other costs associated with complying with these inspections, reviews, audits, requests for information or investigations could be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4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June 30, 2021, we had total outstanding debt of (i) $75.0 million principal amount under the Term Loan Facility (as defined in Note 10 to the consolidated financial statements), (ii) $2.4 million principal amount under the convertible term loan. Our indebtedness, or any additional indebtedness we may incur, could require us to divert funds identified for other purposes for debt service, impairing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or on terms satisfactory to us or at all.</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indebtedness and the cash flow needed to satisfy our debt have important consequences, including: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20" w:right="79" w:hanging="495"/>
        <w:spacing w:after="0" w:line="263"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and pursuing our growth strategies by requiring us to dedicate a portion of our cash flows from operations to the repayment of debt and the interest on this debt;</w:t>
      </w:r>
    </w:p>
    <w:p>
      <w:pPr>
        <w:spacing w:after="0" w:line="183" w:lineRule="exact"/>
        <w:rPr>
          <w:rFonts w:ascii="Arial" w:cs="Arial" w:eastAsia="Arial" w:hAnsi="Arial"/>
          <w:sz w:val="18"/>
          <w:szCs w:val="18"/>
          <w:color w:val="auto"/>
        </w:rPr>
      </w:pPr>
    </w:p>
    <w:p>
      <w:pPr>
        <w:ind w:left="1180" w:hanging="482"/>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expect to use cash flow from operations to meet current and future financial obligations, including funding our operations, debt service requirements and capital expenditures necessary to grow and maintain our businesses.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7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11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4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may need to refinance all or a portion of our indebtedness before maturity. There can be no assurance that we will be able to obtain sufficient funds to enable us to repay or refinance our debt obligations on commercially reasonable terms, or at all.</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terms of the Credit Agreement restrict our current and future operations, particularly our ability to respond to changes or to take certain actions.</w:t>
      </w:r>
    </w:p>
    <w:p>
      <w:pPr>
        <w:spacing w:after="0" w:line="103"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184" w:lineRule="exact"/>
        <w:rPr>
          <w:sz w:val="20"/>
          <w:szCs w:val="20"/>
          <w:color w:val="auto"/>
        </w:rPr>
      </w:pPr>
    </w:p>
    <w:p>
      <w:pPr>
        <w:ind w:left="1180" w:hanging="482"/>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acquisitions, loans, guarantees and advances;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transfer, lease or otherwise dispose of our assets;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10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 breach of the covenants or restrictions under the Credit Agreement could result in an event of default under such document. Such a default may allow the creditors to accelerate the related debt and terminate all commitments to extend credit thereunder and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195" w:lineRule="exact"/>
        <w:rPr>
          <w:sz w:val="20"/>
          <w:szCs w:val="20"/>
          <w:color w:val="auto"/>
        </w:rPr>
      </w:pPr>
    </w:p>
    <w:p>
      <w:pPr>
        <w:ind w:left="1180" w:hanging="482"/>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225" w:lineRule="exact"/>
        <w:rPr>
          <w:rFonts w:ascii="Arial" w:cs="Arial" w:eastAsia="Arial" w:hAnsi="Arial"/>
          <w:sz w:val="18"/>
          <w:szCs w:val="18"/>
          <w:color w:val="auto"/>
        </w:rPr>
      </w:pPr>
    </w:p>
    <w:p>
      <w:pPr>
        <w:ind w:left="1220" w:right="79" w:hanging="495"/>
        <w:spacing w:after="0" w:line="277" w:lineRule="auto"/>
        <w:tabs>
          <w:tab w:leader="none" w:pos="12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70" w:lineRule="exact"/>
        <w:rPr>
          <w:rFonts w:ascii="Arial" w:cs="Arial" w:eastAsia="Arial" w:hAnsi="Arial"/>
          <w:sz w:val="18"/>
          <w:szCs w:val="18"/>
          <w:color w:val="auto"/>
        </w:rPr>
      </w:pPr>
    </w:p>
    <w:p>
      <w:pPr>
        <w:ind w:left="1220" w:hanging="495"/>
        <w:spacing w:after="0"/>
        <w:tabs>
          <w:tab w:leader="none" w:pos="12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participant services in the future could reduce our ability to compete successfully and harm our results of operations.</w:t>
      </w:r>
    </w:p>
    <w:p>
      <w:pPr>
        <w:spacing w:after="0" w:line="11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178" w:lineRule="exact"/>
        <w:rPr>
          <w:sz w:val="20"/>
          <w:szCs w:val="20"/>
          <w:color w:val="auto"/>
        </w:rPr>
      </w:pPr>
    </w:p>
    <w:p>
      <w:pPr>
        <w:ind w:left="1180" w:hanging="4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and enhance our participant services;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expand our business either by increasing enrollment or building de novo centers;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80" w:hanging="482"/>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if we issue additional equity to raise capital, your interest in the Company will be diluted.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Principal Shareholders control us, and their interests may conflict with ours or yours in the future.</w:t>
      </w:r>
    </w:p>
    <w:p>
      <w:pPr>
        <w:spacing w:after="0" w:line="158"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Our Principal Shareholders own approximately 86% of our common stock, which means that, based on their combined percentage voting power held, the Principal Shareholders together control the vote of all matters submitted to a vote of our shareholders, which enables them to control the election of the members of the Board and all other corporate decisions. This concentration of ownership may delay, deter or prevent acts that would be favored by our other stockholders. The interests of the Principal Shareholders may not always coincide with our interests or the interests of our other stockholders. Even when the Principal Shareholders cease to own shares of our stock representing a majority of the total voting power, for so long as the Principal Shareholders continue to own a significant percentage of our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Shareholders continue to own a significant percentage of our stock, the Principal Shareholders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stockholders.</w:t>
      </w:r>
    </w:p>
    <w:p>
      <w:pPr>
        <w:spacing w:after="0" w:line="122" w:lineRule="exact"/>
        <w:rPr>
          <w:sz w:val="20"/>
          <w:szCs w:val="20"/>
          <w:color w:val="auto"/>
        </w:rPr>
      </w:pPr>
    </w:p>
    <w:p>
      <w:pPr>
        <w:jc w:val="both"/>
        <w:ind w:left="60" w:right="59" w:firstLine="324"/>
        <w:spacing w:after="0" w:line="266" w:lineRule="auto"/>
        <w:rPr>
          <w:sz w:val="20"/>
          <w:szCs w:val="20"/>
          <w:color w:val="auto"/>
        </w:rPr>
      </w:pPr>
      <w:r>
        <w:rPr>
          <w:rFonts w:ascii="Arial" w:cs="Arial" w:eastAsia="Arial" w:hAnsi="Arial"/>
          <w:sz w:val="17"/>
          <w:szCs w:val="17"/>
          <w:color w:val="auto"/>
        </w:rPr>
        <w:t>In addition, in connection with our IPO, we entered into a Director Nomination Agreement with the Principal Shareholders that provides the Principal Shareholders the right to designate: (i) all of the nominees for election to our Board for so long as the Principal Shareholders collectively beneficially own at least 40% of the Original Amount (as defined therein);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the investment vehicle through which the Principal Shareholders hold their investment is dissolved, then each of Apax and WCAS will be permitted to nominate (i) up to three directors so long as it owns at least 25% of the Original Amount, (ii) up to two directors so long as it owns at least 15% of the Original Amount and</w:t>
      </w:r>
    </w:p>
    <w:p>
      <w:pPr>
        <w:spacing w:after="0" w:line="7" w:lineRule="exact"/>
        <w:rPr>
          <w:sz w:val="20"/>
          <w:szCs w:val="20"/>
          <w:color w:val="auto"/>
        </w:rPr>
      </w:pPr>
    </w:p>
    <w:p>
      <w:pPr>
        <w:jc w:val="both"/>
        <w:ind w:left="60" w:right="59" w:hanging="10"/>
        <w:spacing w:after="0" w:line="270" w:lineRule="auto"/>
        <w:tabs>
          <w:tab w:leader="none" w:pos="4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one director so long as it owns at least 5% of the Original Amount. The Principal Shareholders may also assign such right to their affiliates. The Director Nomination Agreement also provides for certain consent rights for each of the Principal Shareholders so long as such stockholder owns at least 5% of the Original Amount, including for any increase to the size of our Board. Additionally, the Director Nomination Agreement prohibits us from increasing or decreasing the size of our Board without the prior written consent of the Principal Shareholders for so long as either of our Principal Shareholders holds at least 5% of the total outstanding voting power.</w:t>
      </w:r>
    </w:p>
    <w:p>
      <w:pPr>
        <w:spacing w:after="0" w:line="9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The Principal Shareholders also may pursue acquisition opportunities that may be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complementary to our business, and, as a result, those acquisition opportunities may not be available to us. In addition, the Principal Shareholders may have an interest in pursuing acquisitions, divestitures and other transactions that, in its judgment, could enhance its investment, even though such transactions might involve risks to you.</w:t>
      </w:r>
    </w:p>
    <w:p>
      <w:pPr>
        <w:spacing w:after="0" w:line="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we qualify for, and intend to continue relying on, exemptions from certain corporate governance requirements. Therefore, you do not have the same protections as those afforded to stockholders of companies that are subject to such governance requirements.</w:t>
      </w:r>
    </w:p>
    <w:p>
      <w:pPr>
        <w:spacing w:after="0" w:line="11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Principal Shareholders control a majority of the voting power of our outstanding common stock. As a result, we are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188" w:lineRule="exact"/>
        <w:rPr>
          <w:sz w:val="20"/>
          <w:szCs w:val="20"/>
          <w:color w:val="auto"/>
        </w:rPr>
      </w:pPr>
    </w:p>
    <w:p>
      <w:pPr>
        <w:ind w:left="1220" w:hanging="495"/>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225" w:lineRule="exact"/>
        <w:rPr>
          <w:rFonts w:ascii="Arial" w:cs="Arial" w:eastAsia="Arial" w:hAnsi="Arial"/>
          <w:sz w:val="18"/>
          <w:szCs w:val="18"/>
          <w:color w:val="auto"/>
        </w:rPr>
      </w:pPr>
    </w:p>
    <w:p>
      <w:pPr>
        <w:jc w:val="both"/>
        <w:ind w:left="1220" w:right="79" w:hanging="495"/>
        <w:spacing w:after="0" w:line="263"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183" w:lineRule="exact"/>
        <w:rPr>
          <w:rFonts w:ascii="Arial" w:cs="Arial" w:eastAsia="Arial" w:hAnsi="Arial"/>
          <w:sz w:val="18"/>
          <w:szCs w:val="18"/>
          <w:color w:val="auto"/>
        </w:rPr>
      </w:pPr>
    </w:p>
    <w:p>
      <w:pPr>
        <w:ind w:left="1220" w:right="79" w:hanging="495"/>
        <w:spacing w:after="0" w:line="308" w:lineRule="auto"/>
        <w:tabs>
          <w:tab w:leader="none" w:pos="1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 and</w:t>
      </w:r>
    </w:p>
    <w:p>
      <w:pPr>
        <w:spacing w:after="0" w:line="146" w:lineRule="exact"/>
        <w:rPr>
          <w:rFonts w:ascii="Arial" w:cs="Arial" w:eastAsia="Arial" w:hAnsi="Arial"/>
          <w:sz w:val="17"/>
          <w:szCs w:val="17"/>
          <w:color w:val="auto"/>
        </w:rPr>
      </w:pPr>
    </w:p>
    <w:p>
      <w:pPr>
        <w:ind w:left="1220" w:right="79" w:hanging="49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currently utilize and intend to continue utilizing these exemptions as long as they are available to us. As a result of these exemptions, we do not have a majority of independent directors on our Board, our Compensation, Nominating and Governance Committee does not consist entirely of independent directors and our Compensation, Nominating and Governance Committee may not be subject to annual performance evaluations. Accordingly, you do not have the same protections afforded to stockholders of companies that are subject to all of the corporate governance requirements of Nasdaq.</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have elected to comply with reduced public company reporting requirements, which could make our common stock less attractive to investors.</w:t>
      </w:r>
    </w:p>
    <w:p>
      <w:pPr>
        <w:spacing w:after="0" w:line="103" w:lineRule="exact"/>
        <w:rPr>
          <w:sz w:val="20"/>
          <w:szCs w:val="20"/>
          <w:color w:val="auto"/>
        </w:rPr>
      </w:pPr>
    </w:p>
    <w:p>
      <w:pPr>
        <w:jc w:val="both"/>
        <w:ind w:left="60" w:right="59"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We could be an emerging growth company for up to five years after the first sale of our common stock pursuant to an effective registration statement under the Securities Act of 1933, as amended (the “Securities Act”), which first occurred in March 2021. However, if certain events occur prior to the end of such five-year period, including if we become a “large accelerated filer,” our annual gross revenue exceeds $1.07 billion or we issue more than $1.0 billion of non-convertible debt in any three-year period, we would cease to be an emerging growth company prior to the end of such five-year period. We expect that our 2021 proxy statement will include reduced disclosure regarding executive compensation . In addition, we have chosen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attractive as a result of any choice we make to reduce disclosure, there may be a less active trading market for our common stock and the market price for our common stock may be more volatile.</w:t>
      </w:r>
    </w:p>
    <w:p>
      <w:pPr>
        <w:spacing w:after="0" w:line="103"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56"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As a new public company, we incur legal, accounting and other expenses that we did not previously incur. We are now subject to the reporting requirements of the Exchange Act and the Sarbanes-Oxley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continue establishing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These additional obligations could have a material adverse effect on our business, financial condition and results of operations.</w:t>
      </w:r>
    </w:p>
    <w:p>
      <w:pPr>
        <w:spacing w:after="0" w:line="11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7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b w:val="1"/>
          <w:bCs w:val="1"/>
          <w:i w:val="1"/>
          <w:iCs w:val="1"/>
          <w:color w:val="auto"/>
        </w:rPr>
        <w:t>As a result of becoming a public company, we are obligated to develop and maintain proper and effective internal controls over financial reporting in order to comply with Section 404 of the Sarbanes-Oxley Act. We may not complete our analysis of our internal controls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controls over financial reporting for the foreseeable future.</w:t>
      </w:r>
    </w:p>
    <w:p>
      <w:pPr>
        <w:spacing w:after="0" w:line="11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a public company, we are required by Section 404 of the Sarbanes-Oxley Act to furnish a report by management on, among other things, the effectiveness of our internal controls over financial reporting in our annual report for the fiscal year ended June 30, 2022. This assessment will need to include disclosure of any material weaknesses identified by management in our internal controls over financial reporting. We are also required to disclose changes made in our internal controls and procedures on a quarterly basis. To comply with these requirements, we may need to undertake various costly and time-consuming actions, such as implementing new controls and procedures and hiring additional accounting or internal audit staff. The process of designing and implementing internal controls over financial reporting required to comply with this requirement will be time-consuming, costly and complicated. If during the evaluation and testing process we identify one or more other material weaknesses in our internal controls over financial reporting, our management will be unable to assert that our internal controls over financial reporting is effective. In addition, if we fail to achieve and maintain the adequacy</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1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Even if our management concludes that our internal controls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controls over financial reporting pursuant to Section 404 of the Sarbanes-Oxley Act until the later of the filing of our annual report for the fiscal year ended June 30, 2022 or the date we are no longer an “emerging growth company,” as defined in the JOBS Act. Accordingly, you will not be able to depend on any attestation concerning our internal controls over financial reporting from our independent registered public accountants for the foreseeable future.</w:t>
      </w:r>
    </w:p>
    <w:p>
      <w:pPr>
        <w:spacing w:after="0" w:line="1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existence of any material weaknesses or significant deficiency in internal controls over financial reporting would require management to devote significant time and incur significant expenses to remediate any such issue and management may not be able to remediate the issue in a timely manner. The existence of any material weaknesses or significant deficiency could cause us to reissue our financial statements, fail to meet reporting deadlines or undermine shareholders’ confidence in our reported financial statements, all of which could materially and adversely impact our stock price.</w:t>
      </w:r>
    </w:p>
    <w:p>
      <w:pPr>
        <w:spacing w:after="0" w:line="1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executive management team does not have extensive experience managing a public company.</w:t>
      </w:r>
    </w:p>
    <w:p>
      <w:pPr>
        <w:spacing w:after="0" w:line="15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executive management team does not have extensive experience managing a publicly-traded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1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Principal Shareholders’ beneficial ownership of a combined 86% of our common stock, our Director Nomination Agreement, certificate of incorporation and bylaws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spacing w:after="0" w:line="188" w:lineRule="exact"/>
        <w:rPr>
          <w:sz w:val="20"/>
          <w:szCs w:val="20"/>
          <w:color w:val="auto"/>
        </w:rPr>
      </w:pPr>
    </w:p>
    <w:p>
      <w:pPr>
        <w:jc w:val="both"/>
        <w:ind w:left="1220" w:right="79" w:hanging="495"/>
        <w:spacing w:after="0" w:line="259"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86" w:lineRule="exact"/>
        <w:rPr>
          <w:rFonts w:ascii="Arial" w:cs="Arial" w:eastAsia="Arial" w:hAnsi="Arial"/>
          <w:sz w:val="18"/>
          <w:szCs w:val="18"/>
          <w:color w:val="auto"/>
        </w:rPr>
      </w:pPr>
    </w:p>
    <w:p>
      <w:pPr>
        <w:ind w:left="1220" w:hanging="495"/>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20" w:right="79" w:hanging="495"/>
        <w:spacing w:after="0" w:line="263"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shareholder action by written consent from and after the date on which the Principal Shareholders beneficially own, in the aggregate, less than 35% of our common stock then outstanding;</w:t>
      </w:r>
    </w:p>
    <w:p>
      <w:pPr>
        <w:spacing w:after="0" w:line="183" w:lineRule="exact"/>
        <w:rPr>
          <w:rFonts w:ascii="Arial" w:cs="Arial" w:eastAsia="Arial" w:hAnsi="Arial"/>
          <w:sz w:val="18"/>
          <w:szCs w:val="18"/>
          <w:color w:val="auto"/>
        </w:rPr>
      </w:pPr>
    </w:p>
    <w:p>
      <w:pPr>
        <w:jc w:val="both"/>
        <w:ind w:left="1220" w:right="79" w:hanging="495"/>
        <w:spacing w:after="0" w:line="257"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662⁄3% in voting power of all the then-outstanding shares of our stock entitled to vote thereon, voting together as a single class; and</w:t>
      </w:r>
    </w:p>
    <w:p>
      <w:pPr>
        <w:spacing w:after="0" w:line="187" w:lineRule="exact"/>
        <w:rPr>
          <w:rFonts w:ascii="Arial" w:cs="Arial" w:eastAsia="Arial" w:hAnsi="Arial"/>
          <w:sz w:val="18"/>
          <w:szCs w:val="18"/>
          <w:color w:val="auto"/>
        </w:rPr>
      </w:pPr>
    </w:p>
    <w:p>
      <w:pPr>
        <w:jc w:val="both"/>
        <w:ind w:left="1220" w:right="79" w:hanging="495"/>
        <w:spacing w:after="0" w:line="257"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shareholders at shareholder meetings, provided, however, that at any time when a Principal Shareholders beneficially owns, in the aggregate, at least 5% of our common stock then outstanding, such advance notice procedure will not apply to the Principal Shareholders.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certificate of incorporation contains a provision that provides us with protections similar to Section 203 of the DGCL, and prevents us from engaging in a business combination with a person (excluding the Principal Shareholders and any of their direct or indirect transferees and any group as to which such persons are a party) who acquires at least 85% of our common stock for a period of three years from the date such person acquired such common stock,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11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Pursuant to our certificate of incorporation,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w:t>
      </w:r>
    </w:p>
    <w:p>
      <w:pPr>
        <w:spacing w:after="0" w:line="1" w:lineRule="exact"/>
        <w:rPr>
          <w:sz w:val="20"/>
          <w:szCs w:val="20"/>
          <w:color w:val="auto"/>
        </w:rPr>
      </w:pPr>
    </w:p>
    <w:p>
      <w:pPr>
        <w:jc w:val="both"/>
        <w:ind w:left="60" w:right="59" w:hanging="10"/>
        <w:spacing w:after="0" w:line="267" w:lineRule="auto"/>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of incorporation further provides that any person or entity purchasing or otherwise acquiring any interest in shares of our capital stock is deemed to have notice of and consented to the provisions of our certificate of incorporation described above; however, our stockholders will not be deemed to have waived our compliance with the federal securities laws and the rules and regulations thereunder.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operating results and stock price may be volatile.</w:t>
      </w:r>
    </w:p>
    <w:p>
      <w:pPr>
        <w:spacing w:after="0" w:line="15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188" w:lineRule="exact"/>
        <w:rPr>
          <w:sz w:val="20"/>
          <w:szCs w:val="20"/>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our industry or the broader stock market;</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solutions or services by us or our competitors;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225"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investors’ perception of us and our prospects;</w:t>
      </w:r>
    </w:p>
    <w:p>
      <w:pPr>
        <w:spacing w:after="0" w:line="225" w:lineRule="exact"/>
        <w:rPr>
          <w:rFonts w:ascii="Arial" w:cs="Arial" w:eastAsia="Arial" w:hAnsi="Arial"/>
          <w:sz w:val="18"/>
          <w:szCs w:val="18"/>
          <w:color w:val="auto"/>
        </w:rPr>
      </w:pPr>
    </w:p>
    <w:p>
      <w:pPr>
        <w:ind w:left="1220" w:right="79" w:hanging="495"/>
        <w:spacing w:after="0" w:line="277" w:lineRule="auto"/>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events beyond our control such as weather, public health events, such as the COVID-19 pandemic, and war; and</w:t>
      </w:r>
    </w:p>
    <w:p>
      <w:pPr>
        <w:spacing w:after="0" w:line="170" w:lineRule="exact"/>
        <w:rPr>
          <w:rFonts w:ascii="Arial" w:cs="Arial" w:eastAsia="Arial" w:hAnsi="Arial"/>
          <w:sz w:val="18"/>
          <w:szCs w:val="18"/>
          <w:color w:val="auto"/>
        </w:rPr>
      </w:pPr>
    </w:p>
    <w:p>
      <w:pPr>
        <w:ind w:left="1180" w:hanging="482"/>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default on our indebtedness.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7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2021, we had 135,516,513 outstanding shares of common stock. All of the shares of common stock sold in our IPO are available for sale in the public market. In addition, we have registered shares of common stock that we may issue under our equity compensation plans. Such shares can be freely sold in the public market upon issuance, subject to vesting, the lock-up agreements and Rule 144 and Rule 701 under the Securities Act. As restrictions on resale end, the market price of our stock could decline if the holders of currently restricted shares sell them or are perceived by the market as intending to sell them.</w:t>
      </w:r>
    </w:p>
    <w:p>
      <w:pPr>
        <w:spacing w:after="0" w:line="11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Additionally, in connection with our IPO, we entered into a registration rights agreement with our Principal Shareholders, which requires us to effect the registration of the Principal Shareholders’ shares in certain circumstances. The Principal Shareholders are also entitled to participate in certain of our registered offerings, subject to the restrictions in the registration rights agreement. These registration rights would facilitate the resale of such securities into the public market, and any such resale would increase the number of shares of our common stock available for public trading.</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issued in connection with an investment or acquisition could constitute a material portion of our then-outstanding common stock.</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for the foreseeable future, you may not receive any return on investment unless you sell your common stock for a price greater than that which you paid for it.</w:t>
      </w:r>
    </w:p>
    <w:p>
      <w:pPr>
        <w:spacing w:after="0" w:line="103"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1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1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by us may materially adversely affect the market price of our common stock.</w:t>
      </w:r>
    </w:p>
    <w:p>
      <w:pPr>
        <w:spacing w:after="0" w:line="10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spacing w:after="0" w:line="12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our business and results of operations will be harmed.</w:t>
      </w:r>
    </w:p>
    <w:p>
      <w:pPr>
        <w:spacing w:after="0" w:line="8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maintaining and enhancing the InnovAge reputation and its brand recognition is critical to our relationships with our stakeholders and to our ability to attract new participants.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We have made efforts to protect our brand through trademark registration, but we cannot guarantee that these efforts will prevent third parties from infringing our trademarks or using trademarks confusingly similar to ours, nor can we guarantee we will be successful in obtaining or maintaining trademark registrations that we believe are important to our business. If we cannot stop third parties from using trademarks confusingly similar to ours, patients and others could be confused and our reputation could be harmed.</w:t>
      </w:r>
    </w:p>
    <w:p>
      <w:pPr>
        <w:spacing w:after="0" w:line="11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addition, any factor that diminishes our reputation or that of our management, including failing to meet the expectations of or provide quality medical care for our participants, adverse cyber or data security events, or any adverse publicity or litigation involving or surrounding us, one of our centers or our management, could harm our brand and make it substantially more difficult for us to attract new participants. Similarly, because our existing participants and their families often act as references for us with prospective new participants, any existing participant or family member of a participant that questions the quality of our care could impair our ability to secure additional new participants. In addition, negative publicity resulting from any adverse government payor audit could injure our brand and reputation. If we do not successfully maintain and enhance our reputation and brand recognition, our business may not grow and we could lose our relationships with participants, which would harm our business, results of operations and financial condition.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likely to experience increased expenditures in the future.</w:t>
      </w:r>
    </w:p>
    <w:p>
      <w:pPr>
        <w:spacing w:after="0" w:line="15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expect to make significant investments in growing our business and increasing our participant base, expanding our operations, hiring additional employees and operating as a public company. As a result of these increased expenditures, we may not succeed in increasing our revenue sufficiently to maintain our current profit margins. To date, we have financed our operations principally from the sale of our equity, revenue from our participant services and the incurrence of indebtedness. We may not continue to generate positive cash flow from</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operations, access sufficient capital or sustain our current levels of profitability in any given period, and our limited operating history as a for-profit company may make it difficult for you to rely on our historical results as indicative of future performance</w:t>
      </w:r>
    </w:p>
    <w:p>
      <w:pPr>
        <w:spacing w:after="0" w:line="11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have encountered and will continue to encounter risks and difficulties frequently experienced by growing companies in rapidly changing and highly regulated industries, including increasing expenses as we continue to grow our business. We expect our operating expenses to increase over the next several years as we continue to hire additional personnel, expand our operations and infrastructure, and continue to expand to reach more participants. In addition to the expected costs to grow our business, we also are incurring and expect to incur additional legal, accounting and other expenses as a newly public company. These investments may be more costly than we expect, and if we do not achieve the benefits anticipated from these investments, or if the realization of these benefits is delayed, our profitability could decline in future periods.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Accordingly, we may not be able to maintain our current levels of profitability, and we may incur losses in the future, which could negatively impact the value of our common stock.</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Disruptions in our disaster recovery systems or business continuity planning could limit our ability to operate our business effectively.</w:t>
      </w:r>
    </w:p>
    <w:p>
      <w:pPr>
        <w:spacing w:after="0" w:line="10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ransomware and other cybersecurity incidents and similar disruptions from unauthorized tampering or any weather-related disruptions in Denver, Colorado, where our headquarters is located. In addition, in the event that a significant number of our management personnel were unavailable in the event of a disaster, our ability to effectively conduct business could be adversely affected.</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accounting principles and guidance could result in unfavorable accounting charges or effects.</w:t>
      </w:r>
    </w:p>
    <w:p>
      <w:pPr>
        <w:spacing w:after="0" w:line="15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prepare our consolidated financial statements in accordance with GAAP. These principles are subject to interpretation by the Securities and Exchange Commission (the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 For example, during February 2016, the Financial Accounting Standards Board issued ASU 2016-02, Leases (Topic 842). The updated standard requires the recognition of a liability for lease obligations and a corresponding right-of-use asset on the balance sheet, and disclosures of certain information regarding leasing arrangements. We are currently in the process of evaluating the impact this pronouncement will have on our consolidated financial statements.</w:t>
      </w:r>
    </w:p>
    <w:p>
      <w:pPr>
        <w:spacing w:after="0" w:line="19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7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in our executive management team resulting from the hiring or departure of executives, which could disrupt our business.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In particular, the loss of the services of our President and Chief Executive Officer, Maureen Hewitt, could significantly delay or prevent the achievement of</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strategic objectives. Changes in our executive management team may also cause disruptions in, and harm to, our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must attract, retain and contract with highly qualified personnel in order to execute our growth plan.</w:t>
      </w:r>
    </w:p>
    <w:p>
      <w:pPr>
        <w:spacing w:after="0" w:line="15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Competition for highly qualified personnel is intense, especially for physicians and other medical professionals who are experienced in providing care services to older adults. We have, from time to time, experienced, and we expect to continue to experience, difficulty in hiring and retaining employees with appropriate qualifications or contracting with physicians to provide care for our participants.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potentially resulting in time-consuming and expensive litigation. If we fail to attract new personnel, fail to retain and motivate our current personnel, or fail to contract with qualified physicians, our business and future growth prospects could be harmed.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2021, we operated an aggregate of 18 centers, of which 10 were owned and eight were leased, representing approximately 410,000 and 160,000 gross square feet, respectively. Our centers are located in 11 markets and five states.</w:t>
      </w:r>
    </w:p>
    <w:p>
      <w:pPr>
        <w:spacing w:after="0" w:line="143"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principal executive offices are located in Denver, Colorado, where we own facilities totaling approximately 290,000 square feet across the state. We occupy approximately 45,000 square feet of a 69,000 square foot facility for administration, sales and marketing, technology and development and professional services in Denver, Colorado. We also own and lease properties for operational PACE centers in Denver, Colorado; Pueblo, Colorado; Loveland, Colorado; Albuquerque, New Mexico; San Bernardino, California; Sacramento, California; Philadelphia, Pennsylvania; Roanoke, Virginia; Richmond, Virginia; Newport News, Virginia; and Charlottesville, Virginia. We do not have any PACE centers or properties located outside of the United States.</w:t>
      </w:r>
    </w:p>
    <w:p>
      <w:pPr>
        <w:spacing w:after="0" w:line="15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leases typically have terms of nine years, and generally provide for renewal or extension options for an average total potential term of approximately 25 years. Our lease obligations often include annual fixed rent escalators ranging between 2.0% and 3.0%. Generally, our leases are “modified gross” leases, which require us to pay all of the cost of insurance, taxes, maintenance and utilities, but not for costs related to the structure of the building. We generally cannot cancel these leases at our option</w:t>
      </w:r>
    </w:p>
    <w:p>
      <w:pPr>
        <w:spacing w:after="0" w:line="14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that our facilities and centers are adequate to meet our needs for the immediate future, and that, should it be needed, suitable additional space will be available to accommodate any such expansion of our operations.</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In July 2021, we received a CID from the Attorney General for the State of Colorado. The CID requests information and documents regarding Medicaid billing, patient services and referrals at InnovAge’s Colorado program. We have been fully cooperating with the Attorney General and are producing the requested information and documentation. We are currently unable to predict the outcome of this investigation.</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financial condition. Regardless of the outcome, litigation has the potential to have an adverse impact on us due to any related defense and settlement costs, diversion of management resources, and other factors.</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Refer to Note 12 “Commitments and Contingencies” to the Consolidated Financial Statements included in this Annual Report for more information.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60" w:right="2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SHAREHOLDERS MATTERS AND ISSUER PURCHASES OF EQUITY SECURITIES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Market Information</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“INNV” since March 4, 2021. Prior to that, there was no public trading market for our common stock.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As of September 20, 2021, there were approximately two stockholders of record for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following graph and related information shows a comparison of the change in the cumulative total return for our common stock, the Nasdaq Health Care Index, and the S&amp;P 500 Index between March 4, 2021 (the date our common stock commenced trading on Nasdaq) through June 30, 2021. All values assume an initial investment of $100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reinvestment of any dividends.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were no unregistered sales of equity securities during the year ended June 30, 2021, except as previously reported.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On March 8, 2021, we completed the initial public offering (“IPO”) of our common stock pursuant to a Registration Statement on Form S-1 (File No. 333-252853) (“Registration Statement”), which was declared effective on March 3, 2021. The Company sold 18,995,901 shares of common stock, including the partial exercise of the underwriters’ option to purchase additional shares of common stock at the IPO price of $21.00 per share. The managing underwriters of the IPO were J.P. Morgan Securities LLC, Barclays Capital Inc., Goldman Sachs &amp; Co. LLC and Citigroup Global Markets Inc.</w:t>
      </w:r>
    </w:p>
    <w:p>
      <w:pPr>
        <w:spacing w:after="0" w:line="12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aggregate, the shares issued in the IPO generated $373.6 million in net proceeds, which amount is net of $23.9 million in underwriters’ discounts and commissions and offering costs of $1.4 million. No offering expenses were paid directly or indirectly to any of our officers or directors (or their associates) or persons owning 10% or more of any class of our equity securities or to any other affiliates.</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year ended June 30, 2021, we used the net proceeds of the IPO, together with proceeds from our 2021 Credit Agreement, to repay all borrowings outstanding under the 2016 Credit Agreement and to fund the related prepayment fees and expenses and to satisfy an earn-out arrangement in connection with the acquisition of NewCourtland. There was no material change in the expected use of the net proceeds from the IPO as described in the Registration Statement.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information required by Item 301 of Regulation S-K has been omitted as we have elected to early adopt the changes to Item 301 contained in SEC Release No. 33-10890.</w:t>
      </w:r>
    </w:p>
    <w:p>
      <w:pPr>
        <w:spacing w:after="0" w:line="180" w:lineRule="exact"/>
        <w:rPr>
          <w:sz w:val="20"/>
          <w:szCs w:val="20"/>
          <w:color w:val="auto"/>
        </w:rPr>
      </w:pPr>
    </w:p>
    <w:p>
      <w:pPr>
        <w:ind w:left="60" w:right="29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5" w:lineRule="exact"/>
        <w:rPr>
          <w:sz w:val="20"/>
          <w:szCs w:val="20"/>
          <w:color w:val="auto"/>
        </w:rPr>
      </w:pPr>
    </w:p>
    <w:p>
      <w:pPr>
        <w:jc w:val="both"/>
        <w:ind w:left="60" w:right="79" w:firstLine="247"/>
        <w:spacing w:after="0" w:line="311" w:lineRule="auto"/>
        <w:rPr>
          <w:sz w:val="20"/>
          <w:szCs w:val="20"/>
          <w:color w:val="auto"/>
        </w:rPr>
      </w:pPr>
      <w:r>
        <w:rPr>
          <w:rFonts w:ascii="Arial" w:cs="Arial" w:eastAsia="Arial" w:hAnsi="Arial"/>
          <w:sz w:val="16"/>
          <w:szCs w:val="16"/>
          <w:i w:val="1"/>
          <w:iCs w:val="1"/>
          <w:color w:val="auto"/>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thereto included elsewhere in this Annual Report on Form 10-K.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in the sections entitled “Risk Factors” and “Forward-Looking Statements” included in this Annual Report on Form 10-K.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InnovAge Holding Corp. (“InnovAge”), formerly TCO Group Holdings, Inc., became a public company in March 2021. The Company serves approximately 6,850 PACE participants, making it the largest PACE provider in the United States of America (the U.S.) based upon participants served, and operates 18 PACE centers across Colorado, California, New Mexico, Pennsylvania and Virginia.</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Operations</w:t>
      </w:r>
    </w:p>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aims to allow frail seniors to live life on their terms by aging in place, in their own homes and communities, for as long as safely possible. Through our Program of All-Inclusive Care for the Elderly (“PACE”), we manage, and in many cases directly provide,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the PACE center and third-party medical appointments; and care management. The Company manages its business as one reportable segment, PACE.</w:t>
      </w:r>
    </w:p>
    <w:p>
      <w:pPr>
        <w:spacing w:after="0" w:line="154"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We are the leading healthcare delivery platform by number of participants focused on providing all-inclusive, capitated care to high-cost, dual-eligible seniors. Our programs directly address two of the most pressing challenges facing the U.S. healthcare industry: rising costs and poor outcomes. Our participant-centered care delivery approach meaningfully improves the quality of care our participants receive, while keeping them in their homes for as long as safely possible and reducing over-utilization of high-cost care settings such as hospitals and nursing homes. Our participant-centered approach is led by our Interdisciplinary Care Teams (“IDTs”),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high-quality care is delivered while reducing unnecessary spend,</w:t>
      </w:r>
    </w:p>
    <w:p>
      <w:pPr>
        <w:spacing w:after="0" w:line="5" w:lineRule="exact"/>
        <w:rPr>
          <w:sz w:val="20"/>
          <w:szCs w:val="20"/>
          <w:color w:val="auto"/>
        </w:rPr>
      </w:pPr>
    </w:p>
    <w:p>
      <w:pPr>
        <w:ind w:left="60" w:right="59" w:hanging="10"/>
        <w:spacing w:after="0" w:line="260" w:lineRule="auto"/>
        <w:tabs>
          <w:tab w:leader="none" w:pos="3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eliminating excessive administrative costs by contracting directly with the government, (iii) focusing on the participant experience and (iv) addressing social determinants of health.</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continues to be unknown at this time. The virus has and continues to disproportionately impact older adults, especially those with chronic illnesses, which describes our participants. To date, we have experienced or expect to experience the following impacts on our business model due to COVID-19.</w:t>
      </w:r>
    </w:p>
    <w:p>
      <w:pPr>
        <w:spacing w:after="0" w:line="14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Care Model</w:t>
      </w:r>
      <w:r>
        <w:rPr>
          <w:rFonts w:ascii="Arial" w:cs="Arial" w:eastAsia="Arial" w:hAnsi="Arial"/>
          <w:sz w:val="16"/>
          <w:szCs w:val="16"/>
          <w:color w:val="auto"/>
        </w:rPr>
        <w:t>. Though the COVID-19 pandemic altered the mix of settings where we deliver care, our multimodal</w:t>
      </w:r>
      <w:r>
        <w:rPr>
          <w:rFonts w:ascii="Arial" w:cs="Arial" w:eastAsia="Arial" w:hAnsi="Arial"/>
          <w:sz w:val="16"/>
          <w:szCs w:val="16"/>
          <w:i w:val="1"/>
          <w:iCs w:val="1"/>
          <w:color w:val="auto"/>
        </w:rPr>
        <w:t xml:space="preserve"> </w:t>
      </w:r>
      <w:r>
        <w:rPr>
          <w:rFonts w:ascii="Arial" w:cs="Arial" w:eastAsia="Arial" w:hAnsi="Arial"/>
          <w:sz w:val="16"/>
          <w:szCs w:val="16"/>
          <w:color w:val="auto"/>
        </w:rPr>
        <w:t>model ensured that our participants continued to receive the care they needed. We closed all our centers in March 2020 and transitioned to a 100% in-home and virtual care model that allowed for seamless delivery of care while increasing participant visit volume and maintaining continuity of care. Our telehealth solution received high satisfaction among participants, caregivers and IDTs. In February 2021, as the prevalence of COVID-19 decreased in the communities we serve, we began re-opening our centers using a phased approach to ensure the safety of both our staff and participants. In addition, community assisted living and skilled nursing facilities began to open to allow in-person visits by all members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of our IDT. By June 2021, we fully opened all our centers and transitioned to a predominantly in-person, center-based care model, supplemented by telehealth. We expect telehealth care delivery to remain a part of our ongoing care model.</w:t>
      </w:r>
    </w:p>
    <w:p>
      <w:pPr>
        <w:spacing w:after="0" w:line="9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Growth</w:t>
      </w:r>
      <w:r>
        <w:rPr>
          <w:rFonts w:ascii="Arial" w:cs="Arial" w:eastAsia="Arial" w:hAnsi="Arial"/>
          <w:sz w:val="17"/>
          <w:szCs w:val="17"/>
          <w:color w:val="auto"/>
        </w:rPr>
        <w:t>. As a result of the COVID-19 pandemic, at the end of March 2020, we pivoted to a virtual enrollment model</w:t>
      </w:r>
      <w:r>
        <w:rPr>
          <w:rFonts w:ascii="Arial" w:cs="Arial" w:eastAsia="Arial" w:hAnsi="Arial"/>
          <w:sz w:val="17"/>
          <w:szCs w:val="17"/>
          <w:i w:val="1"/>
          <w:iCs w:val="1"/>
          <w:color w:val="auto"/>
        </w:rPr>
        <w:t xml:space="preserve"> </w:t>
      </w:r>
      <w:r>
        <w:rPr>
          <w:rFonts w:ascii="Arial" w:cs="Arial" w:eastAsia="Arial" w:hAnsi="Arial"/>
          <w:sz w:val="17"/>
          <w:szCs w:val="17"/>
          <w:color w:val="auto"/>
        </w:rPr>
        <w:t>due to safety concerns for our employees and participants and to comply with local government ordinances. We also realigned our marketing strategy to increase our focus on digital channels during the COVID-19 pandemic and to reach those searching for senior care alternatives. During our fiscal fourth quarter, as we continue to recover from the pandemic, enrollment growth continued to improve and has returned to pre-COVID levels.</w:t>
      </w:r>
    </w:p>
    <w:p>
      <w:pPr>
        <w:spacing w:after="0" w:line="13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Our revenue is capitated and not determined by the number of times we interact with our participants face-to-face. As of June 30, 2021, we had not experienced a decline in revenue as a result of the COVID-19 pandemic. The capitation payments we receive from Medicare are risk-adjusted based on documented encounters and diagnosed conditions. Government payors require that participants’ health issues be documented annually regardless of the permanence of the underlying causes. Historically, this documentation has been required to be completed during an in-person visit with a participant, but due to COVID-19 and going forward, CMS is now allowing documentation of conditions identified during qualifying telehealth visits with participants. Thus far, we have been able to document the health conditions of our participants during telehealth visits as well as we did during in-person visits prior to COVID-19; however, any issues with documenting such conditions could adversely impact Medicare RAF scores and our resulting revenue for future periods.</w:t>
      </w:r>
    </w:p>
    <w:p>
      <w:pPr>
        <w:spacing w:after="0" w:line="14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legislation. The CARES Act, in addition to other provisions, provided for the temporary suspension of the automatic 2% reduction of Medicare claim reimbursements (sequestration) for the period of May 1, 2020 through December 31, 2021, which positively impacted our revenue during the year ended June 30, 2021.</w:t>
      </w:r>
    </w:p>
    <w:p>
      <w:pPr>
        <w:spacing w:after="0" w:line="16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For the year ended June 30, 2021, as compared to the year ended June 30, 2020, on a PMPM basis,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care delivery costs decreased, while our external provider costs increased, as further described in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in part due to the impact of COVID-19 on our care delivery costs as we executed our participants’ care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different mix of care settings. On a PMPM basis, we did not experience material changes in our aggregate participant-related care expenses.</w:t>
      </w:r>
    </w:p>
    <w:p>
      <w:pPr>
        <w:spacing w:after="0" w:line="14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United States continues to experience supply chain issues with respect to personal protective equipment (“PPE”) and other medical supplies used to prevent transmission of COVID-19. During the years ended June 30, 2021 and 2020, we acquired significantly greater quantities of medical supplies at significantly higher prices than pre-pandemic rates to ensure the safety of our employees and our participants. Costs related to PPE medical supplies represented approximately 0.6% and 2.1% of our total cost of care for the years ended June 30, 2021 and 2020, respectively. While the price of PPE may remain higher than historical levels for the foreseeable future, we do not expect these incremental costs to be material as a percentage of our total expenses.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Part I of this Annual Report on Form 10-K for further discussion of the possible impact of the COVID-19 pandemic on our business.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30" w:lineRule="exact"/>
        <w:rPr>
          <w:sz w:val="20"/>
          <w:szCs w:val="20"/>
          <w:color w:val="auto"/>
        </w:rPr>
      </w:pPr>
    </w:p>
    <w:p>
      <w:pPr>
        <w:jc w:val="both"/>
        <w:ind w:left="1040" w:right="79" w:hanging="315"/>
        <w:spacing w:after="0" w:line="290"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Our participants. </w:t>
      </w:r>
      <w:r>
        <w:rPr>
          <w:rFonts w:ascii="Arial" w:cs="Arial" w:eastAsia="Arial" w:hAnsi="Arial"/>
          <w:sz w:val="16"/>
          <w:szCs w:val="16"/>
          <w:color w:val="auto"/>
        </w:rPr>
        <w:t>We focus on providing all-inclusive care to frail, high-cost, dual-eligible seniors. We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RAF score of 2.45 based on InnovAge data as of June 30, 2021, compared to an average RAF score of 1.08 for Medicare fee-for-service non-dual enrollees, as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3" w:lineRule="auto"/>
        <w:rPr>
          <w:sz w:val="20"/>
          <w:szCs w:val="20"/>
          <w:color w:val="auto"/>
        </w:rPr>
      </w:pPr>
      <w:r>
        <w:rPr>
          <w:rFonts w:ascii="Arial" w:cs="Arial" w:eastAsia="Arial" w:hAnsi="Arial"/>
          <w:sz w:val="18"/>
          <w:szCs w:val="18"/>
          <w:color w:val="auto"/>
        </w:rPr>
        <w:t>calculated in an analysis by Avalere Health in June 2020 of a cohort of individuals enrolled in Medicare Fee-for-Service in 2019; and (ii) we manage Medicaid spend in addition to Medicare. Our participants are managed on a capitated, or at-risk, basis, where InnovAge is financially responsible for all of their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growth trajectory. The Medicare portion of our capitated payment is risk-based on the underlying medical conditions and frailty of each participant.</w:t>
      </w:r>
    </w:p>
    <w:p>
      <w:pPr>
        <w:spacing w:after="0" w:line="169" w:lineRule="exact"/>
        <w:rPr>
          <w:sz w:val="20"/>
          <w:szCs w:val="20"/>
          <w:color w:val="auto"/>
        </w:rPr>
      </w:pPr>
    </w:p>
    <w:p>
      <w:pPr>
        <w:jc w:val="both"/>
        <w:ind w:left="1040" w:right="79" w:hanging="315"/>
        <w:spacing w:after="0" w:line="287"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grow enrollment and capacity within existing centers. </w:t>
      </w:r>
      <w:r>
        <w:rPr>
          <w:rFonts w:ascii="Arial" w:cs="Arial" w:eastAsia="Arial" w:hAnsi="Arial"/>
          <w:sz w:val="16"/>
          <w:szCs w:val="16"/>
          <w:color w:val="auto"/>
        </w:rPr>
        <w:t>We believe our demonstrated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drive sustained, organic census growth is a key indicator of the attractiveness of the InnovAge Platform to our key constituents: participants; their families and government payors. We have driven 10% annual, organic census growth over the last four years. Awareness of PACE programs remains low among potential participants, despite high levels of participant satisfaction. To improve awareness of InnovAge and attract new participants, our sales and marketing teams educate prospective participants and their families on our powerful value proposition, superior health outcomes and participant satisfaction. We have a large, embedded growth opportunity within our existing center base. As of June 30, 2021, our eligible participant penetration rate was, on average, 13% across our existing markets, and as the only designated PACE provider in most of the MSAs that we serve, we believe there is significant runway for further growth. We also believe that we will continue to conduct a portion of visits via telehealth after the COVID-19 pandemic subsides, which could potentially increase the average capacity of our centers.</w:t>
      </w:r>
    </w:p>
    <w:p>
      <w:pPr>
        <w:spacing w:after="0" w:line="127" w:lineRule="exact"/>
        <w:rPr>
          <w:rFonts w:ascii="Arial" w:cs="Arial" w:eastAsia="Arial" w:hAnsi="Arial"/>
          <w:sz w:val="16"/>
          <w:szCs w:val="16"/>
          <w:color w:val="auto"/>
        </w:rPr>
      </w:pPr>
    </w:p>
    <w:p>
      <w:pPr>
        <w:jc w:val="both"/>
        <w:ind w:left="1040" w:right="79" w:hanging="315"/>
        <w:spacing w:after="0" w:line="270"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maintain high participant satisfaction and retention. </w:t>
      </w:r>
      <w:r>
        <w:rPr>
          <w:rFonts w:ascii="Arial" w:cs="Arial" w:eastAsia="Arial" w:hAnsi="Arial"/>
          <w:sz w:val="17"/>
          <w:szCs w:val="17"/>
          <w:color w:val="auto"/>
        </w:rPr>
        <w:t>Our comprehensive individualized care</w:t>
      </w:r>
      <w:r>
        <w:rPr>
          <w:rFonts w:ascii="Arial" w:cs="Arial" w:eastAsia="Arial" w:hAnsi="Arial"/>
          <w:sz w:val="17"/>
          <w:szCs w:val="17"/>
          <w:i w:val="1"/>
          <w:iCs w:val="1"/>
          <w:color w:val="auto"/>
        </w:rPr>
        <w:t xml:space="preserve"> </w:t>
      </w:r>
      <w:r>
        <w:rPr>
          <w:rFonts w:ascii="Arial" w:cs="Arial" w:eastAsia="Arial" w:hAnsi="Arial"/>
          <w:sz w:val="17"/>
          <w:szCs w:val="17"/>
          <w:color w:val="auto"/>
        </w:rPr>
        <w:t>model and frequency of interaction with participants generates high levels of participant satisfaction. We have multiple touch points with participants and their families, which enhances participant receptivity to our services, leading to an 86% participant satisfaction rating as of January 1, 2021 and average participant tenure of 3.0 years as of June 30, 2021, measured as tenure from enrollment to disenrollment, among our centers that have been operated by us for at least five years. Furthermore, we experience low levels of voluntary disenrollment, averaging 5% annually over the last three fiscal years. Approximately 75% of our historical disenrollments have been involuntary, due primarily to participant death and otherwise to participants moving out of our service areas.</w:t>
      </w:r>
    </w:p>
    <w:p>
      <w:pPr>
        <w:spacing w:after="0" w:line="140" w:lineRule="exact"/>
        <w:rPr>
          <w:rFonts w:ascii="Arial" w:cs="Arial" w:eastAsia="Arial" w:hAnsi="Arial"/>
          <w:sz w:val="17"/>
          <w:szCs w:val="17"/>
          <w:color w:val="auto"/>
        </w:rPr>
      </w:pPr>
    </w:p>
    <w:p>
      <w:pPr>
        <w:jc w:val="both"/>
        <w:ind w:left="1040" w:right="79" w:hanging="315"/>
        <w:spacing w:after="0" w:line="270"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Effectively managing the cost of care for our participants</w:t>
      </w:r>
      <w:r>
        <w:rPr>
          <w:rFonts w:ascii="Arial" w:cs="Arial" w:eastAsia="Arial" w:hAnsi="Arial"/>
          <w:sz w:val="17"/>
          <w:szCs w:val="17"/>
          <w:color w:val="auto"/>
        </w:rPr>
        <w:t>. We receive capitated payments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73% of our revenue in the year ended June 30, 2021.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 therefore, we are liable for potentially large medical claims should we not effectively manage our participants’ health.</w:t>
      </w:r>
    </w:p>
    <w:p>
      <w:pPr>
        <w:spacing w:after="0" w:line="153" w:lineRule="exact"/>
        <w:rPr>
          <w:rFonts w:ascii="Arial" w:cs="Arial" w:eastAsia="Arial" w:hAnsi="Arial"/>
          <w:sz w:val="17"/>
          <w:szCs w:val="17"/>
          <w:color w:val="auto"/>
        </w:rPr>
      </w:pPr>
    </w:p>
    <w:p>
      <w:pPr>
        <w:jc w:val="both"/>
        <w:ind w:left="1040" w:right="79" w:hanging="315"/>
        <w:spacing w:after="0" w:line="25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Center-level Contribution Margin</w:t>
      </w:r>
      <w:r>
        <w:rPr>
          <w:rFonts w:ascii="Arial" w:cs="Arial" w:eastAsia="Arial" w:hAnsi="Arial"/>
          <w:sz w:val="18"/>
          <w:szCs w:val="18"/>
          <w:color w:val="auto"/>
        </w:rPr>
        <w:t>. Over time, we plan to both expand our number of centers and grow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number of participants at each center. As we add participants to existing centers, we further leverage our fixed cost base at those centers and the value of a center to our business increases over time. We have a history of achieving profitable Center-level Contribution Margin, as defined and described below under </w:t>
      </w:r>
      <w:r>
        <w:rPr>
          <w:rFonts w:ascii="Arial" w:cs="Arial" w:eastAsia="Arial" w:hAnsi="Arial"/>
          <w:sz w:val="18"/>
          <w:szCs w:val="18"/>
          <w:i w:val="1"/>
          <w:iCs w:val="1"/>
          <w:color w:val="auto"/>
        </w:rPr>
        <w:t>Key</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Metrics and Non-GAAP Measures</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jc w:val="both"/>
        <w:ind w:left="1040" w:right="79" w:hanging="315"/>
        <w:spacing w:after="0" w:line="296" w:lineRule="auto"/>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expand via acquisition or de novo centers within existing and new markets. </w:t>
      </w:r>
      <w:r>
        <w:rPr>
          <w:rFonts w:ascii="Arial" w:cs="Arial" w:eastAsia="Arial" w:hAnsi="Arial"/>
          <w:sz w:val="16"/>
          <w:szCs w:val="16"/>
          <w:color w:val="auto"/>
        </w:rPr>
        <w:t>We have a large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addressable market and believe we serve a very small portion of PACE-eligible participants in those markets, reflecting significant unmet demand for PACE services and creating opportunities for us to grow in new and existing markets. We have proven our ability to integrate and improve acquired organizations, as well as expand and operationalize new centers across multiple geographies while generating consistent center-level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performance. Based upon our success to date, we believe our innovative care model can scale nationally, and we expect to continue selectively and strategically expanding into new geographies.</w:t>
      </w:r>
    </w:p>
    <w:p>
      <w:pPr>
        <w:spacing w:after="0" w:line="143" w:lineRule="exact"/>
        <w:rPr>
          <w:sz w:val="20"/>
          <w:szCs w:val="20"/>
          <w:color w:val="auto"/>
        </w:rPr>
      </w:pPr>
    </w:p>
    <w:p>
      <w:pPr>
        <w:jc w:val="both"/>
        <w:ind w:left="1040" w:right="79" w:hanging="315"/>
        <w:spacing w:after="0" w:line="269"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Execute tuck-in acquisitions. </w:t>
      </w:r>
      <w:r>
        <w:rPr>
          <w:rFonts w:ascii="Arial" w:cs="Arial" w:eastAsia="Arial" w:hAnsi="Arial"/>
          <w:sz w:val="17"/>
          <w:szCs w:val="17"/>
          <w:color w:val="auto"/>
        </w:rPr>
        <w:t>We believe there is a sizeable landscape of potential tuck-in acquisitions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our organic growth strategy. Over the past three fiscal years, we have acquired and integrated three PACE organizations, expanding our InnovAge Platform to one new state and four new markets through those acquisitions. We are disciplined in our approach to acquisitions and have executed multiple types of transactions, including turnarounds and non-profit conversions. When integrating acquired programs, we work closely with key constituencies, including local governments, health systems and senior housing providers, to ensure continuity of high-quality care for participants. Based on our experience, joining the InnovAge Platform enables revenue growth and improved operational efficiency and care delivery post-integration. We believe our track record of and reputation for integrating and improving acquired organizations, while continuing to prioritize high-quality patient care, positions us as the acquirer of choice in this market.</w:t>
      </w:r>
    </w:p>
    <w:p>
      <w:pPr>
        <w:spacing w:after="0" w:line="141" w:lineRule="exact"/>
        <w:rPr>
          <w:rFonts w:ascii="Arial" w:cs="Arial" w:eastAsia="Arial" w:hAnsi="Arial"/>
          <w:sz w:val="17"/>
          <w:szCs w:val="17"/>
          <w:color w:val="auto"/>
        </w:rPr>
      </w:pPr>
    </w:p>
    <w:p>
      <w:pPr>
        <w:jc w:val="both"/>
        <w:ind w:left="1040" w:right="79" w:hanging="315"/>
        <w:spacing w:after="0" w:line="25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Contracting with government payors</w:t>
      </w:r>
      <w:r>
        <w:rPr>
          <w:rFonts w:ascii="Arial" w:cs="Arial" w:eastAsia="Arial" w:hAnsi="Arial"/>
          <w:sz w:val="18"/>
          <w:szCs w:val="18"/>
          <w:color w:val="auto"/>
        </w:rPr>
        <w:t>. Our economic model relies on our capitated arrangements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particularly as we enter new geographies, is critical to our long-term success.</w:t>
      </w:r>
    </w:p>
    <w:p>
      <w:pPr>
        <w:spacing w:after="0" w:line="147"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Investing to support growth</w:t>
      </w:r>
      <w:r>
        <w:rPr>
          <w:rFonts w:ascii="Arial" w:cs="Arial" w:eastAsia="Arial" w:hAnsi="Arial"/>
          <w:sz w:val="18"/>
          <w:szCs w:val="18"/>
          <w:color w:val="auto"/>
        </w:rPr>
        <w:t>. We intend to continue investing in our centers, value-based care model,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67" w:lineRule="exact"/>
        <w:rPr>
          <w:rFonts w:ascii="Arial" w:cs="Arial" w:eastAsia="Arial" w:hAnsi="Arial"/>
          <w:sz w:val="18"/>
          <w:szCs w:val="18"/>
          <w:color w:val="auto"/>
        </w:rPr>
      </w:pPr>
    </w:p>
    <w:p>
      <w:pPr>
        <w:jc w:val="both"/>
        <w:ind w:left="1040" w:right="79" w:hanging="315"/>
        <w:spacing w:after="0" w:line="287"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Seasonality to our business</w:t>
      </w:r>
      <w:r>
        <w:rPr>
          <w:rFonts w:ascii="Arial" w:cs="Arial" w:eastAsia="Arial" w:hAnsi="Arial"/>
          <w:sz w:val="16"/>
          <w:szCs w:val="16"/>
          <w:color w:val="auto"/>
        </w:rPr>
        <w:t>. Our operational and financial results, including medical costs and per-participant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i w:val="1"/>
          <w:iCs w:val="1"/>
          <w:color w:val="auto"/>
        </w:rPr>
        <w:t>Capitation Revenue</w:t>
      </w:r>
      <w:r>
        <w:rPr>
          <w:rFonts w:ascii="Arial" w:cs="Arial" w:eastAsia="Arial" w:hAnsi="Arial"/>
          <w:sz w:val="17"/>
          <w:szCs w:val="17"/>
          <w:color w:val="auto"/>
        </w:rPr>
        <w:t>. In order to provide comprehensive services to manage the totality of a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care across all settings, we receive fixed or capitated fees per participant that are paid monthly by Medicare,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Medicaid, Veterans Affairs (“VA”) and private pay sources. The concentration of revenue from our various payors was:</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Medicare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0"/>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denotes less than 1%</w:t>
      </w:r>
    </w:p>
    <w:p>
      <w:pPr>
        <w:spacing w:after="0" w:line="23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agreements have been executed for the periods (i) January 1, 2021 through December 31, 2021 for California and (ii) July 1, 2021 through June 30, 2022 for all other states except Pennsylvania, for which we are currently operating in good standing under the 2020 amended agreement while the agency finalizes its 2021 amendment. For a discussion of our revenue recognition policies, please see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xml:space="preserve"> below and Note 2 “Summary of Significant Accounting Policies” to our consolidated financial statements included in this Annual Report on Form 10-K.</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primarily consists of revenues derived from fee-for-service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arrangements, state food grants, rent revenues and management fees. We generate fee-for-service revenue from providing home-care services to non-PACE patients in their homes, for which we bill the patient or their insurance plan on a fee-for-service basis. For a discussion of our revenue recognition policies, please see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below and Note 2 “Summary of Significant Accounting Policies”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Annual Report on Form 10-K.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non-InnovAge providers. We separate external provider costs into four categories: inpatient (e.g., hospital), housing (e.g., assisted living), outpatient and pharmacy. In aggregate, external provider costs represent the largest portion of our expenses.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 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18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of employee-related expenses,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participant growth and will invest more heavily in sales and marketing from time-to-time to the extent we believe such investment can accelerate our growth without negatively affecting profitability.</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Corporate, General and Administrative Expenses. </w:t>
      </w:r>
      <w:r>
        <w:rPr>
          <w:rFonts w:ascii="Arial" w:cs="Arial" w:eastAsia="Arial" w:hAnsi="Arial"/>
          <w:sz w:val="17"/>
          <w:szCs w:val="17"/>
          <w:color w:val="auto"/>
        </w:rPr>
        <w:t>Corporate, general and administrative expenses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following the closing of this offering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78"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6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relates to our equity method investment in InnovAge Sacramento, which began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2020 and subsequently became a consolidated entity effective January 1, 2021.</w:t>
      </w:r>
    </w:p>
    <w:p>
      <w:pPr>
        <w:spacing w:after="0" w:line="14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consists of the payment and re-measurement of contingent consideration to fair value relating to our acquisition of NewCourtland.</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 xml:space="preserve">For more information relating to the components of our results of operations, see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below and Note 2 “Summary of Significant Accounting Policies” to our consolidated financial statements included in this Annual Report on Form 10-K for more detailed information regarding our critical accounting policies.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following table sets forth our results of operations for the periods presented. For comparisons of the results of operations for the fiscal year ended June 30, 2020 to the fiscal year ended June 30, 2019, refer to the section entitled “Management’s Discussion and Analysis of Financial Condition and Results of Operations” included in our IPO prospectus, dated March 3, 2021 filed with the Securities and Exchange Commission on March 5, 2021.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8"/>
          </w:tcPr>
          <w:p>
            <w:pPr>
              <w:ind w:left="20"/>
              <w:spacing w:after="0"/>
              <w:rPr>
                <w:sz w:val="20"/>
                <w:szCs w:val="20"/>
                <w:color w:val="auto"/>
              </w:rPr>
            </w:pPr>
            <w:r>
              <w:rPr>
                <w:rFonts w:ascii="Arial" w:cs="Arial" w:eastAsia="Arial" w:hAnsi="Arial"/>
                <w:sz w:val="16"/>
                <w:szCs w:val="16"/>
                <w:b w:val="1"/>
                <w:bCs w:val="1"/>
                <w:color w:val="auto"/>
              </w:rPr>
              <w:t>Year ended June 30,</w:t>
            </w: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5"/>
          </w:tcPr>
          <w:p>
            <w:pPr>
              <w:jc w:val="right"/>
              <w:ind w:right="653"/>
              <w:spacing w:after="0"/>
              <w:rPr>
                <w:sz w:val="20"/>
                <w:szCs w:val="20"/>
                <w:color w:val="auto"/>
              </w:rPr>
            </w:pPr>
            <w:r>
              <w:rPr>
                <w:rFonts w:ascii="Arial" w:cs="Arial" w:eastAsia="Arial" w:hAnsi="Arial"/>
                <w:sz w:val="16"/>
                <w:szCs w:val="16"/>
                <w:i w:val="1"/>
                <w:iCs w:val="1"/>
                <w:color w:val="auto"/>
                <w:w w:val="90"/>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Capitation revenue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635,322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564,834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service revenue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637,800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567,192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External provider costs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89"/>
              </w:rPr>
              <w:t>309,317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272,832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care, excluding depreciation and amortization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154,403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22,236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general and administrative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132,333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12,294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operating expense</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18,211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650,137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(12,337)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5"/>
              </w:rPr>
              <w:t>(16,787)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5"/>
          </w:tcPr>
          <w:p>
            <w:pPr>
              <w:jc w:val="right"/>
              <w:ind w:right="200"/>
              <w:spacing w:after="0"/>
              <w:rPr>
                <w:sz w:val="20"/>
                <w:szCs w:val="20"/>
                <w:color w:val="auto"/>
              </w:rPr>
            </w:pPr>
            <w:r>
              <w:rPr>
                <w:rFonts w:ascii="Arial" w:cs="Arial" w:eastAsia="Arial" w:hAnsi="Arial"/>
                <w:sz w:val="18"/>
                <w:szCs w:val="18"/>
                <w:color w:val="auto"/>
                <w:w w:val="95"/>
              </w:rPr>
              <w:t>(14,479)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equity method investment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5"/>
          </w:tcPr>
          <w:p>
            <w:pPr>
              <w:jc w:val="right"/>
              <w:ind w:right="20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(22,632)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(34,969)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(44,740)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InnovAge Holding Corp.</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(43,986)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40" w:type="dxa"/>
            <w:vAlign w:val="bottom"/>
          </w:tcPr>
          <w:p>
            <w:pPr>
              <w:spacing w:after="0"/>
              <w:rPr>
                <w:sz w:val="24"/>
                <w:szCs w:val="24"/>
                <w:color w:val="auto"/>
              </w:rPr>
            </w:pPr>
          </w:p>
        </w:tc>
        <w:tc>
          <w:tcPr>
            <w:tcW w:w="17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b w:val="1"/>
                <w:bCs w:val="1"/>
                <w:color w:val="auto"/>
                <w:w w:val="99"/>
              </w:rPr>
              <w:t>Year ended June 30,</w:t>
            </w: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7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7"/>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Capitation revenue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$ 635,322</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$ 564,834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70,488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service revenue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2,358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$ 637,800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$ 567,192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70,608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Capitation revenue. </w:t>
      </w:r>
      <w:r>
        <w:rPr>
          <w:rFonts w:ascii="Arial" w:cs="Arial" w:eastAsia="Arial" w:hAnsi="Arial"/>
          <w:sz w:val="16"/>
          <w:szCs w:val="16"/>
          <w:color w:val="auto"/>
        </w:rPr>
        <w:t>Capitation revenue was $635.3 million for the year ended June 30,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$70.5 million, or 12.5%, compared to $564.8 million for the year ended June 30, 2020. This increase was driven by (i) an increase in capitation rates and (ii) a 6.1% increase in member months (as defined below). The increase in capitation rates was primarily driven by the net effect of (a) an increase in Medicare rates due to (1) a 5.3% increase in average risk score and (2) the temporary suspension of the automatic 2% reduction of Medicare claim reimbursements (sequestration) beginning May 1, 2020 and, to a lesser extent, (b) an increase in Medicaid rates across the majority of our markets.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was $2.5 million for the year ended June 30, 2021, an increase of $0.1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5.1%, from $2.4 million for the year ended June 30,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92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June 30,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right"/>
              <w:ind w:right="471"/>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5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External provider costs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$ 309,317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$ 272,832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Cost of care (excluding depreciation and amortization)</w:t>
            </w:r>
          </w:p>
        </w:tc>
        <w:tc>
          <w:tcPr>
            <w:tcW w:w="800" w:type="dxa"/>
            <w:vAlign w:val="bottom"/>
          </w:tcPr>
          <w:p>
            <w:pPr>
              <w:jc w:val="right"/>
              <w:spacing w:after="0"/>
              <w:rPr>
                <w:sz w:val="20"/>
                <w:szCs w:val="20"/>
                <w:color w:val="auto"/>
              </w:rPr>
            </w:pPr>
            <w:r>
              <w:rPr>
                <w:rFonts w:ascii="Arial" w:cs="Arial" w:eastAsia="Arial" w:hAnsi="Arial"/>
                <w:sz w:val="18"/>
                <w:szCs w:val="18"/>
                <w:color w:val="auto"/>
              </w:rPr>
              <w:t>154,403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Corporate, general, and administrative</w:t>
            </w:r>
          </w:p>
        </w:tc>
        <w:tc>
          <w:tcPr>
            <w:tcW w:w="800" w:type="dxa"/>
            <w:vAlign w:val="bottom"/>
          </w:tcPr>
          <w:p>
            <w:pPr>
              <w:jc w:val="right"/>
              <w:spacing w:after="0"/>
              <w:rPr>
                <w:sz w:val="20"/>
                <w:szCs w:val="20"/>
                <w:color w:val="auto"/>
              </w:rPr>
            </w:pPr>
            <w:r>
              <w:rPr>
                <w:rFonts w:ascii="Arial" w:cs="Arial" w:eastAsia="Arial" w:hAnsi="Arial"/>
                <w:sz w:val="18"/>
                <w:szCs w:val="18"/>
                <w:color w:val="auto"/>
              </w:rPr>
              <w:t>132,333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73,852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Equity loss</w:t>
            </w:r>
          </w:p>
        </w:tc>
        <w:tc>
          <w:tcPr>
            <w:tcW w:w="80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9"/>
        </w:trPr>
        <w:tc>
          <w:tcPr>
            <w:tcW w:w="51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$ 650,137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$ 516,259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133,878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External provider costs. </w:t>
      </w:r>
      <w:r>
        <w:rPr>
          <w:rFonts w:ascii="Arial" w:cs="Arial" w:eastAsia="Arial" w:hAnsi="Arial"/>
          <w:sz w:val="16"/>
          <w:szCs w:val="16"/>
          <w:color w:val="auto"/>
        </w:rPr>
        <w:t>External provider costs were $309.3 million for the year ended June 30, 2021,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$36.5 million, or 13.4%, compared to $272.8 million for the year ended June 30, 2020. The increase is primarily driven by</w:t>
      </w:r>
    </w:p>
    <w:p>
      <w:pPr>
        <w:jc w:val="both"/>
        <w:ind w:left="60" w:right="59" w:hanging="10"/>
        <w:spacing w:after="0" w:line="253"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increase of 6.8% in cost per participant and (ii) an increase of 6.1% in member months. The increase in cost per participant is primarily driven by the net effect of an increase in pharmacy expenses, inpatient expenses (due to the increased cost of COVID-19 admissions), and outpatient expenses, partially offset by a decrease in specialist expenses due to the lower utilization during the pandemic.</w:t>
      </w:r>
    </w:p>
    <w:p>
      <w:pPr>
        <w:spacing w:after="0" w:line="15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Cost of care (excluding depreciation and amortization). </w:t>
      </w:r>
      <w:r>
        <w:rPr>
          <w:rFonts w:ascii="Arial" w:cs="Arial" w:eastAsia="Arial" w:hAnsi="Arial"/>
          <w:sz w:val="16"/>
          <w:szCs w:val="16"/>
          <w:color w:val="auto"/>
        </w:rPr>
        <w:t>Cost of care (excluding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$154.4 million for the year ended June 30, 2021, an increase of $1.3 million, or 0.9%, compared to $153.1 million for the year ended June 30, 2020, primarily due to the net effect of (i) an increase of 6.1% in member months and (ii) a decrease of 4.9% in cost per participant. The decrease in cost per participant was driven by a decrease in transportation costs due to the closures of our centers due to the COVID-19 pandemic and lower employee compensation and benefit costs, due to employee attrition while our centers were closed during the pandemic.</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were $22.2 million for the year ended June 30, 2021,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$3.2 million, or 17.0%, compared to $19.0 million for the year ended June 30, 2020, primarily due to an increase in (i) employee compensation and benefits due to an increase in FTEs and (ii) costs associated with certain new advertising campaigns to raise PACE awareness and accelerate growth.</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Corporate, general and administrative. </w:t>
      </w:r>
      <w:r>
        <w:rPr>
          <w:rFonts w:ascii="Arial" w:cs="Arial" w:eastAsia="Arial" w:hAnsi="Arial"/>
          <w:sz w:val="17"/>
          <w:szCs w:val="17"/>
          <w:color w:val="auto"/>
        </w:rPr>
        <w:t>Corporate, general and administrative expenses were $132.3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June 30, 2021, an increase of $73.9 million, or 126.3%, compared to $58.5 million for the year ended June 30, 2020. The increase was primarily due to the fees incurred as a result of the Apax Transaction (as defined below) and the IPO. In connection with the Apax Transaction, $45.4 million was recorded related to the cancellation of 16,994,975 common stock options outstanding under the Company’s 2016 Equity Incentive Plan and $13.1 million of transaction related costs were recorded as corporate, general and administrative expenses. In connection with the IPO transaction, $1.5 million of transaction costs were recorded as corporate, general and administrative expenses.</w:t>
      </w:r>
    </w:p>
    <w:p>
      <w:pPr>
        <w:spacing w:after="0" w:line="17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are primarily attributable to our buildings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leasehold improvements and our equipment and vehicles. Depreciation and amortization are recorded using the straight-line method over the shorter of estimated useful life or lease terms, to the extent the assets are being leased. Depreciation and amortization expense was $12.3 million for the year ended June 30, 2021, an increase of $1.0 million, or 8.9%, compared to $11.3 million for the year ended June 30, 2020. This increase is due to an increase in depreciation expense as a result of capital additions in the normal course of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Equity loss. </w:t>
      </w:r>
      <w:r>
        <w:rPr>
          <w:rFonts w:ascii="Arial" w:cs="Arial" w:eastAsia="Arial" w:hAnsi="Arial"/>
          <w:sz w:val="16"/>
          <w:szCs w:val="16"/>
          <w:color w:val="auto"/>
        </w:rPr>
        <w:t>Equity loss was $1.3 million for the year ended June 30, 2021, an increase of $0.7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$0.7 million for the year ended June 30, 2020. Our equity loss relates to our equity method investment in InnovAge Sacramento, which began operations in July 2020 and subsequently became a consolidated entity effective January 1, 2021.</w:t>
      </w:r>
    </w:p>
    <w:p>
      <w:pPr>
        <w:spacing w:after="0" w:line="12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Other operating expenses were $18.2 million for the year ended June 30, 2021,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$17.3 million compared to $0.9 million for the year ended June 30, 2020 primarily due to the payment of $20.0 million, and related change in fair value of contingent consideration, made under the acquisition agreement of the NewCourtland LIFE Program during the year ended June 30, 2021. There were no such payments during the year ended June 30,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82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95"/>
              </w:rPr>
              <w:t>Year ended June 30,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52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Change</w:t>
            </w:r>
          </w:p>
        </w:tc>
      </w:tr>
      <w:tr>
        <w:trPr>
          <w:trHeight w:val="200"/>
        </w:trPr>
        <w:tc>
          <w:tcPr>
            <w:tcW w:w="5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right"/>
              <w:ind w:right="432"/>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5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(16,787)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 (14,619)</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(14,479)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(14,479)</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N/A</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equity method investment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(2,237)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(1,556)</w:t>
            </w:r>
          </w:p>
        </w:tc>
        <w:tc>
          <w:tcPr>
            <w:tcW w:w="80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09"/>
        </w:trPr>
        <w:tc>
          <w:tcPr>
            <w:tcW w:w="5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(22,632)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5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payments on our outstanding borrowings,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interest income earned on our cash and cash equivalents and restricted cash. Interest expense, net was $16.8 million for the year ended June 30, 2021, an increase of $2.2 million, or 14.8%, compared to $14.6 million for the year ended June 30, 2020. The increase was primarily due to (i) a higher average outstanding debt balance and (ii) to a lesser extent, a higher average interest rate. For additional information regarding our outstanding indebtedness, see Note 10 to our consolidated financial statements.</w:t>
      </w:r>
    </w:p>
    <w:p>
      <w:pPr>
        <w:spacing w:after="0" w:line="15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We recognized a loss on extinguishment of debt of $14.5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and no loss on extinguishment of debt for the year ended June 30, 2020. On July 27, 2020, we amended and restated our 2016 Credit Agreement, which led to an extinguishment of debt for certain lenders and a modification of debt for other lenders. The total debt structure extinguishment for certain lenders led to the write-off of $1.0 million in debt issuance costs. On March 8, 2021, we entered into the 2021 Credit Agreement, which led to an extinguishment of debt of $13.5 million, including $6.0 million of a prepayment penalty.</w:t>
      </w:r>
    </w:p>
    <w:p>
      <w:pPr>
        <w:spacing w:after="0" w:line="178"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i w:val="1"/>
          <w:iCs w:val="1"/>
          <w:color w:val="auto"/>
        </w:rPr>
        <w:t xml:space="preserve">Gain on equity method investment. </w:t>
      </w:r>
      <w:r>
        <w:rPr>
          <w:rFonts w:ascii="Arial" w:cs="Arial" w:eastAsia="Arial" w:hAnsi="Arial"/>
          <w:sz w:val="16"/>
          <w:szCs w:val="16"/>
          <w:color w:val="auto"/>
        </w:rPr>
        <w:t>We recognized a gain on equity method investment of $10.9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which was related to InnovAge Sacramento becoming a consolidated entity as of January 1, 2021.</w:t>
      </w:r>
    </w:p>
    <w:p>
      <w:pPr>
        <w:spacing w:after="0" w:line="12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expense was $2.2 million for the year ended June 30, 2021, an increase of $1.6 million, or 228.5%,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$0.7 million for the year ended June 30, 2020, due primarily to an amendment of the warrants issued by the Company to Adventist Health System/West (“Sacramento Warrants”) resulting in additional expense of $2.3 million in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consolidated financial statements.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3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year ended June 30, 2021 and 2020, we reported provision for income taxes of $9.8 million and $9.9 million, respectively. The decrease of $0.1 million is primarily due to (i) our pretax book loss recognized during the year ended June 30, 2021, as compared to pretax book income recognized during the year ended June 30, 2020 and (ii) certain permanent differences between the financial and tax accounting treatment of (a) the Section 162(m) limitation on compensation of five highest paid officers, (b) transaction costs associated with the Apax Transaction and (c) the change in our valuation allowance.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Senior Housing Thornton, LLC (“SH1”) is a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as net loss attributable to noncontrolling interests.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year ended June 30, 2021 and 2020, we reported net income (loss) of ($44.7 million) and $25.8 million, respectively, consisting of (i) income (loss) from operations of ($12.3 million) and $50.9 million, respectively, (ii) other expense of $22.6 million and $15.3 million, respectively, and (iii) provision for income taxes of $9.8 million and $9.9 million, respectively, each as described above.</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more information relating to our accounting policies, see Note 2 “Summary of Significant Accounting Policies” to our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6"/>
                <w:szCs w:val="16"/>
                <w:b w:val="1"/>
                <w:bCs w:val="1"/>
                <w:color w:val="auto"/>
              </w:rPr>
              <w:t>Year ended June 30,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i w:val="1"/>
                <w:iCs w:val="1"/>
                <w:color w:val="auto"/>
              </w:rPr>
              <w:t>dollars in</w:t>
            </w:r>
          </w:p>
        </w:tc>
        <w:tc>
          <w:tcPr>
            <w:tcW w:w="16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i w:val="1"/>
                <w:iCs w:val="1"/>
                <w:color w:val="auto"/>
              </w:rPr>
              <w:t>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 Business Metrics: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Centers</w:t>
            </w:r>
            <w:r>
              <w:rPr>
                <w:rFonts w:ascii="Arial" w:cs="Arial" w:eastAsia="Arial" w:hAnsi="Arial"/>
                <w:sz w:val="25"/>
                <w:szCs w:val="25"/>
                <w:color w:val="auto"/>
                <w:vertAlign w:val="superscript"/>
              </w:rPr>
              <w: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Census</w:t>
            </w:r>
            <w:r>
              <w:rPr>
                <w:rFonts w:ascii="Arial" w:cs="Arial" w:eastAsia="Arial" w:hAnsi="Arial"/>
                <w:sz w:val="25"/>
                <w:szCs w:val="25"/>
                <w:color w:val="auto"/>
                <w:vertAlign w:val="superscript"/>
              </w:rPr>
              <w:t>(a)(b)</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Total Member Months</w:t>
            </w:r>
            <w:r>
              <w:rPr>
                <w:rFonts w:ascii="Arial" w:cs="Arial" w:eastAsia="Arial" w:hAnsi="Arial"/>
                <w:sz w:val="25"/>
                <w:szCs w:val="25"/>
                <w:color w:val="auto"/>
                <w:vertAlign w:val="superscript"/>
              </w:rPr>
              <w:t>(a)</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Center-level Contribution Margin</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174,080</w:t>
            </w:r>
          </w:p>
        </w:tc>
        <w:tc>
          <w:tcPr>
            <w:tcW w:w="3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141,304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Center-level Contribution Margin as a % of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 Measures: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(c)</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85,333</w:t>
            </w:r>
          </w:p>
        </w:tc>
        <w:tc>
          <w:tcPr>
            <w:tcW w:w="3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5"/>
                <w:szCs w:val="25"/>
                <w:color w:val="auto"/>
                <w:vertAlign w:val="superscript"/>
              </w:rPr>
              <w:t>(c)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20" w:right="79" w:hanging="319"/>
        <w:spacing w:after="0" w:line="198" w:lineRule="auto"/>
        <w:tabs>
          <w:tab w:leader="none" w:pos="7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For the fiscal year 2021, includes InnovAge Sacramento, which the Company owns and controls through a joint venture and is consolidated in our financial statements.</w:t>
      </w:r>
    </w:p>
    <w:p>
      <w:pPr>
        <w:ind w:left="720" w:hanging="319"/>
        <w:spacing w:after="0" w:line="180" w:lineRule="auto"/>
        <w:tabs>
          <w:tab w:leader="none" w:pos="72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Participant numbers are approximate.</w:t>
      </w:r>
    </w:p>
    <w:p>
      <w:pPr>
        <w:spacing w:after="0" w:line="2" w:lineRule="exact"/>
        <w:rPr>
          <w:rFonts w:ascii="Arial" w:cs="Arial" w:eastAsia="Arial" w:hAnsi="Arial"/>
          <w:sz w:val="25"/>
          <w:szCs w:val="25"/>
          <w:color w:val="auto"/>
          <w:vertAlign w:val="superscript"/>
        </w:rPr>
      </w:pPr>
    </w:p>
    <w:p>
      <w:pPr>
        <w:jc w:val="both"/>
        <w:ind w:left="720" w:right="79" w:hanging="319"/>
        <w:spacing w:after="0" w:line="207" w:lineRule="auto"/>
        <w:tabs>
          <w:tab w:leader="none" w:pos="7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Adjusted EBITDA and Adjusted EBITDA margin are non-GAAP measures. For a definition and reconciliation of these non-GAAP measures to the most closely comparable GAAP measures for the period indicated, see below under “—Adjusted EBITDA.”</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Centers</w:t>
      </w:r>
    </w:p>
    <w:p>
      <w:pPr>
        <w:spacing w:after="0" w:line="225" w:lineRule="exact"/>
        <w:rPr>
          <w:sz w:val="20"/>
          <w:szCs w:val="20"/>
          <w:color w:val="auto"/>
        </w:rPr>
      </w:pPr>
    </w:p>
    <w:p>
      <w:pPr>
        <w:ind w:left="220" w:right="159" w:firstLine="162"/>
        <w:spacing w:after="0" w:line="453" w:lineRule="auto"/>
        <w:rPr>
          <w:sz w:val="20"/>
          <w:szCs w:val="20"/>
          <w:color w:val="auto"/>
        </w:rPr>
      </w:pPr>
      <w:r>
        <w:rPr>
          <w:rFonts w:ascii="Arial" w:cs="Arial" w:eastAsia="Arial" w:hAnsi="Arial"/>
          <w:sz w:val="18"/>
          <w:szCs w:val="18"/>
          <w:color w:val="auto"/>
        </w:rPr>
        <w:t xml:space="preserve">We define our centers as those centers open for business and attending to participants at the end of a particular period. </w:t>
      </w:r>
      <w:r>
        <w:rPr>
          <w:rFonts w:ascii="Arial" w:cs="Arial" w:eastAsia="Arial" w:hAnsi="Arial"/>
          <w:sz w:val="18"/>
          <w:szCs w:val="18"/>
          <w:b w:val="1"/>
          <w:bCs w:val="1"/>
          <w:i w:val="1"/>
          <w:iCs w:val="1"/>
          <w:color w:val="auto"/>
        </w:rPr>
        <w:t>Census</w:t>
      </w:r>
    </w:p>
    <w:p>
      <w:pPr>
        <w:spacing w:after="0" w:line="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18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198"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$174.1 million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and $141.3 million for the years ended June 30, 2021 and 2020, respectively. For more information relating to Center-level Contribution Margin, see Note 17 to our consolidated financial statements.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final determination of rates, M&amp;A transaction and integration, business optimization, electronic medical record (“EMR”) implementation, special employee bonuses, gain on consolidation of equity investee, financing-related fees and contingent consideration. For the years ended June 30, 2021 and 2020, our net income (loss) was ($44.7 million) and $25.8 million, respectively, representing a year-over-year decline of 273.6%, and Adjusted EBITDA was $85.3 million and $65.9 million, respectively, representing a year-over-year growth of 29.5%.</w:t>
      </w:r>
    </w:p>
    <w:p>
      <w:pPr>
        <w:spacing w:after="0" w:line="126" w:lineRule="exact"/>
        <w:rPr>
          <w:sz w:val="20"/>
          <w:szCs w:val="20"/>
          <w:color w:val="auto"/>
        </w:rPr>
      </w:pPr>
    </w:p>
    <w:p>
      <w:pPr>
        <w:ind w:left="60" w:right="359" w:firstLine="324"/>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rPr>
              <w:t>Year ended June 30,</w:t>
            </w:r>
          </w:p>
        </w:tc>
      </w:tr>
      <w:tr>
        <w:trPr>
          <w:trHeight w:val="199"/>
        </w:trPr>
        <w:tc>
          <w:tcPr>
            <w:tcW w:w="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5"/>
              </w:rPr>
              <w:t>2020</w:t>
            </w:r>
          </w:p>
        </w:tc>
      </w:tr>
      <w:tr>
        <w:trPr>
          <w:trHeight w:val="200"/>
        </w:trPr>
        <w:tc>
          <w:tcPr>
            <w:tcW w:w="9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7"/>
                <w:szCs w:val="17"/>
                <w:color w:val="auto"/>
              </w:rPr>
            </w:pPr>
          </w:p>
        </w:tc>
      </w:tr>
      <w:tr>
        <w:trPr>
          <w:trHeight w:val="212"/>
        </w:trPr>
        <w:tc>
          <w:tcPr>
            <w:tcW w:w="9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(44,740)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25,765</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16,787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14,619</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9,868</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66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Rate determination</w:t>
            </w:r>
            <w:r>
              <w:rPr>
                <w:rFonts w:ascii="Arial" w:cs="Arial" w:eastAsia="Arial" w:hAnsi="Arial"/>
                <w:sz w:val="25"/>
                <w:szCs w:val="25"/>
                <w:color w:val="auto"/>
                <w:vertAlign w:val="superscript"/>
              </w:rPr>
              <w:t>(a)</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(2,158)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16"/>
        </w:trPr>
        <w:tc>
          <w:tcPr>
            <w:tcW w:w="6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M&amp;A diligence, transaction and integration</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16"/>
        </w:trPr>
        <w:tc>
          <w:tcPr>
            <w:tcW w:w="66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Business optimization</w:t>
            </w:r>
            <w:r>
              <w:rPr>
                <w:rFonts w:ascii="Arial" w:cs="Arial" w:eastAsia="Arial" w:hAnsi="Arial"/>
                <w:sz w:val="25"/>
                <w:szCs w:val="25"/>
                <w:color w:val="auto"/>
                <w:vertAlign w:val="superscript"/>
              </w:rPr>
              <w:t>(c)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6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EMR implementation</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16"/>
        </w:trPr>
        <w:tc>
          <w:tcPr>
            <w:tcW w:w="66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Special employee bonus</w:t>
            </w:r>
            <w:r>
              <w:rPr>
                <w:rFonts w:ascii="Arial" w:cs="Arial" w:eastAsia="Arial" w:hAnsi="Arial"/>
                <w:sz w:val="25"/>
                <w:szCs w:val="25"/>
                <w:color w:val="auto"/>
                <w:vertAlign w:val="superscript"/>
              </w:rPr>
              <w:t>(e)</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16"/>
        </w:trPr>
        <w:tc>
          <w:tcPr>
            <w:tcW w:w="6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Gain on consolidation of equity investee</w:t>
            </w:r>
            <w:r>
              <w:rPr>
                <w:rFonts w:ascii="Arial" w:cs="Arial" w:eastAsia="Arial" w:hAnsi="Arial"/>
                <w:sz w:val="25"/>
                <w:szCs w:val="25"/>
                <w:color w:val="auto"/>
                <w:vertAlign w:val="superscript"/>
              </w:rPr>
              <w:t>(f)</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Financing-related</w:t>
            </w:r>
            <w:r>
              <w:rPr>
                <w:rFonts w:ascii="Arial" w:cs="Arial" w:eastAsia="Arial" w:hAnsi="Arial"/>
                <w:sz w:val="25"/>
                <w:szCs w:val="25"/>
                <w:color w:val="auto"/>
                <w:vertAlign w:val="superscript"/>
              </w:rPr>
              <w:t>(g)</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Contingent consideration</w:t>
            </w:r>
            <w:r>
              <w:rPr>
                <w:rFonts w:ascii="Arial" w:cs="Arial" w:eastAsia="Arial" w:hAnsi="Arial"/>
                <w:sz w:val="25"/>
                <w:szCs w:val="25"/>
                <w:color w:val="auto"/>
                <w:vertAlign w:val="superscript"/>
              </w:rPr>
              <w:t>(h)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1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85,333</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65,909</w:t>
            </w:r>
          </w:p>
        </w:tc>
      </w:tr>
      <w:tr>
        <w:trPr>
          <w:trHeight w:val="20"/>
        </w:trPr>
        <w:tc>
          <w:tcPr>
            <w:tcW w:w="9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5"/>
        </w:trPr>
        <w:tc>
          <w:tcPr>
            <w:tcW w:w="900" w:type="dxa"/>
            <w:vAlign w:val="bottom"/>
            <w:tcBorders>
              <w:bottom w:val="single" w:sz="8" w:color="auto"/>
            </w:tcBorders>
          </w:tcPr>
          <w:p>
            <w:pPr>
              <w:spacing w:after="0"/>
              <w:rPr>
                <w:sz w:val="6"/>
                <w:szCs w:val="6"/>
                <w:color w:val="auto"/>
              </w:rPr>
            </w:pPr>
          </w:p>
        </w:tc>
        <w:tc>
          <w:tcPr>
            <w:tcW w:w="5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r>
    </w:tbl>
    <w:p>
      <w:pPr>
        <w:spacing w:after="0" w:line="242" w:lineRule="exact"/>
        <w:rPr>
          <w:sz w:val="20"/>
          <w:szCs w:val="20"/>
          <w:color w:val="auto"/>
        </w:rPr>
      </w:pPr>
    </w:p>
    <w:p>
      <w:pPr>
        <w:jc w:val="both"/>
        <w:ind w:left="720" w:right="79" w:hanging="319"/>
        <w:spacing w:after="0" w:line="220" w:lineRule="auto"/>
        <w:tabs>
          <w:tab w:leader="none" w:pos="7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For the year ended June 30, 2021, this reflects the CMS settlement payment of approximately $2.2 million related to end-stage renal disease beneficiaries for calendar years 2010 through 2020. For the year ended June 30, 2020, this reflects the final determination of certain rates for capitation payments from the State of California, all of which we consider non-recurring.</w:t>
      </w:r>
    </w:p>
    <w:p>
      <w:pPr>
        <w:spacing w:after="0" w:line="3" w:lineRule="exact"/>
        <w:rPr>
          <w:rFonts w:ascii="Arial" w:cs="Arial" w:eastAsia="Arial" w:hAnsi="Arial"/>
          <w:sz w:val="29"/>
          <w:szCs w:val="29"/>
          <w:color w:val="auto"/>
          <w:vertAlign w:val="superscript"/>
        </w:rPr>
      </w:pPr>
    </w:p>
    <w:p>
      <w:pPr>
        <w:jc w:val="both"/>
        <w:ind w:left="720" w:right="79" w:hanging="319"/>
        <w:spacing w:after="0" w:line="228" w:lineRule="auto"/>
        <w:tabs>
          <w:tab w:leader="none" w:pos="720" w:val="left"/>
        </w:tabs>
        <w:numPr>
          <w:ilvl w:val="0"/>
          <w:numId w:val="51"/>
        </w:numPr>
        <w:rPr>
          <w:rFonts w:ascii="Arial" w:cs="Arial" w:eastAsia="Arial" w:hAnsi="Arial"/>
          <w:sz w:val="28"/>
          <w:szCs w:val="28"/>
          <w:color w:val="auto"/>
          <w:vertAlign w:val="superscript"/>
        </w:rPr>
      </w:pPr>
      <w:r>
        <w:rPr>
          <w:rFonts w:ascii="Arial" w:cs="Arial" w:eastAsia="Arial" w:hAnsi="Arial"/>
          <w:sz w:val="17"/>
          <w:szCs w:val="17"/>
          <w:color w:val="auto"/>
        </w:rPr>
        <w:t>For the year ended June 30, 2021, this primarily represents (i) $45.4 million related to the cancellation of options and the redemption of shares and (ii) $13.1 million of transaction fees and expenses recognized in connection with the July 27, 2020 transaction between us, an affiliate of Apax Partners and our then existing equity holders entering into a Securities Purchase Agreement (the “Apax Transaction”).</w:t>
      </w:r>
    </w:p>
    <w:p>
      <w:pPr>
        <w:spacing w:after="0" w:line="1" w:lineRule="exact"/>
        <w:rPr>
          <w:rFonts w:ascii="Arial" w:cs="Arial" w:eastAsia="Arial" w:hAnsi="Arial"/>
          <w:sz w:val="28"/>
          <w:szCs w:val="28"/>
          <w:color w:val="auto"/>
          <w:vertAlign w:val="superscript"/>
        </w:rPr>
      </w:pPr>
    </w:p>
    <w:p>
      <w:pPr>
        <w:jc w:val="both"/>
        <w:ind w:left="720" w:right="79" w:hanging="319"/>
        <w:spacing w:after="0" w:line="208" w:lineRule="auto"/>
        <w:tabs>
          <w:tab w:leader="none" w:pos="7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Reflects charges related to business optimization initiatives. Such charges relate to one-time investments in projects designed to enhance our technology systems and improve the efficiency and effectiveness of our operations.</w:t>
      </w:r>
    </w:p>
    <w:p>
      <w:pPr>
        <w:ind w:left="720" w:hanging="319"/>
        <w:spacing w:after="0" w:line="180" w:lineRule="auto"/>
        <w:tabs>
          <w:tab w:leader="none" w:pos="72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Reflects non-recurring expenses relating to the implementation of a new electronic medical record vendor.</w:t>
      </w:r>
    </w:p>
    <w:p>
      <w:pPr>
        <w:spacing w:after="0" w:line="2" w:lineRule="exact"/>
        <w:rPr>
          <w:rFonts w:ascii="Arial" w:cs="Arial" w:eastAsia="Arial" w:hAnsi="Arial"/>
          <w:sz w:val="25"/>
          <w:szCs w:val="25"/>
          <w:color w:val="auto"/>
          <w:vertAlign w:val="superscript"/>
        </w:rPr>
      </w:pPr>
    </w:p>
    <w:p>
      <w:pPr>
        <w:ind w:left="720" w:right="79" w:hanging="319"/>
        <w:spacing w:after="0" w:line="191" w:lineRule="auto"/>
        <w:tabs>
          <w:tab w:leader="none" w:pos="7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Reflects non-recurring special bonuses paid to certain of our employees of the Company relating to shareholder dividend transactions that occurred in fiscal years 2018 and 2019.</w:t>
      </w:r>
    </w:p>
    <w:p>
      <w:pPr>
        <w:ind w:left="720" w:hanging="319"/>
        <w:spacing w:after="0" w:line="180" w:lineRule="auto"/>
        <w:tabs>
          <w:tab w:leader="none" w:pos="72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Reflects non-recurring expense related to the gain on consolidation of InnovAge Sacramento.</w:t>
      </w:r>
    </w:p>
    <w:p>
      <w:pPr>
        <w:spacing w:after="0" w:line="2" w:lineRule="exact"/>
        <w:rPr>
          <w:rFonts w:ascii="Arial" w:cs="Arial" w:eastAsia="Arial" w:hAnsi="Arial"/>
          <w:sz w:val="25"/>
          <w:szCs w:val="25"/>
          <w:color w:val="auto"/>
          <w:vertAlign w:val="superscript"/>
        </w:rPr>
      </w:pPr>
    </w:p>
    <w:p>
      <w:pPr>
        <w:ind w:left="720" w:right="79" w:hanging="319"/>
        <w:spacing w:after="0" w:line="191" w:lineRule="auto"/>
        <w:tabs>
          <w:tab w:leader="none" w:pos="7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Reflects fees and expenses incurred in connection with amendments to our credit agreements. See Note 10 to the consolidated financial statements.</w:t>
      </w:r>
    </w:p>
    <w:p>
      <w:pPr>
        <w:ind w:left="720" w:right="79" w:hanging="319"/>
        <w:spacing w:after="0" w:line="191" w:lineRule="auto"/>
        <w:tabs>
          <w:tab w:leader="none" w:pos="7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Reflects the contingent consideration fair value adjustment made during the reporting period associated with our acquisition of NewCourtland.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98"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Adjusted EBITDA margin is Adjusted EBITDA expressed as a percentage of our total revenue less any exceptional, one-time revenue items. In the years ended June 30, 2021 and 2020, we recognized (i) the CMS settlement payment related to end stage renal disease beneficiaries for calendar years 2010-2020 in the amount of approximately $2.2 million and (ii) final determination of certain rates for capitation payments from the State of California in the amount of approximately $3.4 million, respectively, each of which is deducted from total revenue solely for purposes of calculating Adjusted EBITDA margin in each respective reporting period. For the year ended June 30, 2021, our net loss margin was 7.0%, as compared to our net income margin of 4.5% for the year ended June 30, 2020. For the year ended June 30, 2021, our Adjusted EBITDA margin was 13.4%, as compared to our Adjusted EBITDA margin for the year ended June 30, 2020 of 11.7%.</w:t>
      </w:r>
    </w:p>
    <w:p>
      <w:pPr>
        <w:spacing w:after="0" w:line="15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and most recently from the sale of common stock in our IPO that occurred in March 2021. As of June 30, 2021, we had cash and cash equivalents of $201.5 million. Our cash and cash equivalents primarily consist of highly liquid investments in demand deposit accounts and cash.</w:t>
      </w:r>
    </w:p>
    <w:p>
      <w:pPr>
        <w:spacing w:after="0" w:line="14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capital resources are generally used to fund (i) debt service requirements, the majority of which relate to the quarterly principal payments of the Term Loan Facility (as defined in Note 10 to the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electronic medical record vendor, with respect to which we expect to incur non-recurring implementation costs over the next 18 months, and ongoing costs through 2026, and (iv) income tax payments, which are generally due on a quarterly and annual basis. We also expect to use capital resources for capital additions, which we expect to primarily relate to the development of de novo centers to the extent and if they are opened. Collectively, these obligations are expected to represent a significant liquidity requirement of our Company on both a short-term and long-term basis. For additional information regarding our lease obligations, debt and commitments, see Notes 9, 10 and 12 to our consolidated financial statements.</w:t>
      </w:r>
    </w:p>
    <w:p>
      <w:pPr>
        <w:spacing w:after="0" w:line="14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believe that our cash and cash equivalents and our cash flows from operations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4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May 13, 2016, we entered into a credit agreement with Capital One Financial Corporation (together with all amendments thereto, the “2016 Credit Agreement”). In March 2020, we borrowed $25.0 million under the revolving credit facility to ensure sufficient funds available due to the uncertainty relating to the COVID-19 pandemic and for general corporate purposes. Those borrowings were repaid in full in connection with the entry into the 2021 Credit Agreement (as defined and discussed below) and the closing of our IPO.</w:t>
      </w:r>
    </w:p>
    <w:p>
      <w:pPr>
        <w:spacing w:after="0" w:line="14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each as defined and described in Note 10 to the consolidated financial statements.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2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Any outstanding principal amounts under the 2021 Credit Agreement accrue interest at a variable interest rate. As of June 30, 2021, the interest rate on the Term Loan Facility was 1.84%. Under the terms of the 2021 Credit Agreement, the Revolving Credit Facility fee accrues at 0.25% of the average daily unused amount and is paid quarterly. As of June 30, 2021, we had no borrowings outstanding under the Revolving Credit Facility and, therefore, had full capacity thereunder, subject to applicable covenant compliance restrictions and any other conditions precedent to borrowing. As of June 30, 2021, we also had $2.4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more information about our debt, see Note 10 to our consolidated financial statements.</w:t>
      </w:r>
    </w:p>
    <w:p>
      <w:pPr>
        <w:spacing w:after="0" w:line="18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to repay indebtedness and, therefore, we do not anticipate paying any cash dividends in the foreseeable future.</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consolidated statements of cash flows for the year ended June 30, 2021 and 2020 are summarized as follows:</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Year ended June 30,</w:t>
      </w:r>
    </w:p>
    <w:p>
      <w:pPr>
        <w:spacing w:after="0" w:line="32" w:lineRule="exact"/>
        <w:rPr>
          <w:sz w:val="20"/>
          <w:szCs w:val="20"/>
          <w:color w:val="auto"/>
        </w:rPr>
      </w:pPr>
    </w:p>
    <w:p>
      <w:pPr>
        <w:ind w:left="6460"/>
        <w:spacing w:after="0"/>
        <w:tabs>
          <w:tab w:leader="none" w:pos="7440" w:val="left"/>
          <w:tab w:leader="none" w:pos="81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20320</wp:posOffset>
            </wp:positionV>
            <wp:extent cx="17316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-116205</wp:posOffset>
            </wp:positionV>
            <wp:extent cx="11487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i w:val="1"/>
          <w:iCs w:val="1"/>
          <w:color w:val="auto"/>
        </w:rPr>
        <w:t>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(51,376)</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(19,541)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(11,691)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(7,850)</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116,224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94,992</w:t>
            </w:r>
          </w:p>
        </w:tc>
      </w:tr>
      <w:tr>
        <w:trPr>
          <w:trHeight w:val="210"/>
        </w:trPr>
        <w:tc>
          <w:tcPr>
            <w:tcW w:w="6180" w:type="dxa"/>
            <w:vAlign w:val="bottom"/>
          </w:tcPr>
          <w:p>
            <w:pPr>
              <w:ind w:left="120"/>
              <w:spacing w:after="0"/>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35,766</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change in net cash provided by (used in) operating activities was primarily due to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effect of (i) a decrease in net income (loss) of $70.5 million, as described further above, (ii) the $14.5 million loss on extinguishment of long-term debt recognized during 2021, as described further above, with no loss recognized in 2020, (iii) the $10.9 million gain on equity method investment recognized during 2021, as described further above, with no gain recognized in 2020, (iv) an increase of $7.2 million in the change in accounts payable and accrued expenses due to timing of payments and the impact of the completion of HCPF’s reconciliation, as described below, (v) an increase of $7.1 million in the change in accounts receivable, including the impact of the completion of HCPF’s reconciliation, as defined and described below, and (vi) a decrease of $5.6 million in the change in income tax receivable.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fiscal year 2021, the Company and the Colorado Department of Health Care Policy &amp; Financing (“HCPF”) completed the reconciliation for fiscal years 2018 and 2019. The reconciliation resulted in a reduction of accounts receivable of $17.0 million and due to Medicaid of $13.6 million, which was recorded in fiscal year 2021. The Company does not expect adjustments related to the reconciliation to be significant in future periods.</w:t>
      </w:r>
    </w:p>
    <w:p>
      <w:pPr>
        <w:spacing w:after="0" w:line="16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was primarily due to an increase in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of $5.7 million for growth-related capital expenditures.</w:t>
      </w:r>
    </w:p>
    <w:p>
      <w:pPr>
        <w:spacing w:after="0" w:line="13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increase in net cash provided by financing activities was primarily due to the net effect of (i)</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cash provided of $370.5 million related to the net proceeds received from our IPO, (ii) a decrease in cash provided of $160.7 million due to higher net repayments on long-term debt, (iii) a decrease in cash provided of $77.6 million related to treasury stock purchases and (iv) a decrease in cash provided of $29.2 million related to stock option cancellation payments.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principal commitments consist of repayments of long-term debt and obligations under operating and capital leases.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contractual obligations as of June 30, 2021:</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w w:val="90"/>
              </w:rPr>
              <w:t>Payments due by period</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Thereafter</w:t>
            </w:r>
          </w:p>
        </w:tc>
        <w:tc>
          <w:tcPr>
            <w:tcW w:w="14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6"/>
                <w:szCs w:val="16"/>
                <w:b w:val="1"/>
                <w:bCs w:val="1"/>
                <w:color w:val="auto"/>
              </w:rPr>
              <w:t>Total</w:t>
            </w:r>
          </w:p>
        </w:tc>
      </w:tr>
      <w:tr>
        <w:trPr>
          <w:trHeight w:val="203"/>
        </w:trPr>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77"/>
              </w:rPr>
              <w:t>in thousands</w:t>
            </w: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2"/>
        </w:trPr>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shd w:val="clear" w:color="auto" w:fill="CCEEFF"/>
              </w:rPr>
              <w:t>Long-term debt (excluding interest)</w:t>
            </w:r>
            <w:r>
              <w:rPr>
                <w:rFonts w:ascii="Arial" w:cs="Arial" w:eastAsia="Arial" w:hAnsi="Arial"/>
                <w:sz w:val="25"/>
                <w:szCs w:val="25"/>
                <w:color w:val="auto"/>
                <w:vertAlign w:val="superscript"/>
                <w:shd w:val="clear" w:color="auto" w:fill="CCEEFF"/>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3,796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3,799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shd w:val="clear" w:color="auto" w:fill="CCEEFF"/>
              </w:rPr>
              <w:t>$ 60,052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2,137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77,367</w:t>
            </w:r>
          </w:p>
        </w:tc>
      </w:tr>
      <w:tr>
        <w:trPr>
          <w:trHeight w:val="216"/>
        </w:trPr>
        <w:tc>
          <w:tcPr>
            <w:tcW w:w="29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Operating leases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3,450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13,909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32,495</w:t>
            </w: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leases (excluding interest)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r>
      <w:tr>
        <w:trPr>
          <w:trHeight w:val="210"/>
        </w:trPr>
        <w:tc>
          <w:tcPr>
            <w:tcW w:w="2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10,245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8,365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$ 63,556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16,046</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117,131</w:t>
            </w:r>
          </w:p>
        </w:tc>
      </w:tr>
      <w:tr>
        <w:trPr>
          <w:trHeight w:val="20"/>
        </w:trPr>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138" w:lineRule="exact"/>
        <w:rPr>
          <w:sz w:val="20"/>
          <w:szCs w:val="20"/>
          <w:color w:val="auto"/>
        </w:rPr>
      </w:pPr>
    </w:p>
    <w:p>
      <w:pPr>
        <w:ind w:left="260" w:hanging="210"/>
        <w:spacing w:after="0"/>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principal amounts related to the credit agreements.</w:t>
      </w:r>
    </w:p>
    <w:p>
      <w:pPr>
        <w:spacing w:after="0" w:line="93" w:lineRule="exact"/>
        <w:rPr>
          <w:rFonts w:ascii="Arial" w:cs="Arial" w:eastAsia="Arial" w:hAnsi="Arial"/>
          <w:sz w:val="13"/>
          <w:szCs w:val="13"/>
          <w:color w:val="auto"/>
        </w:rPr>
      </w:pPr>
    </w:p>
    <w:p>
      <w:pPr>
        <w:ind w:left="60" w:right="79" w:hanging="10"/>
        <w:spacing w:after="0" w:line="250" w:lineRule="auto"/>
        <w:tabs>
          <w:tab w:leader="none" w:pos="262"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have not adopted ASU 2016-02, which requires lessees to recognize almost all of their leases on the balance sheet. We will be adopting this guidance for the annual reporting period beginning July 1, 2022, and interim reporting periods within the annual reporting period beginning July 1, 2023. See Note 2 “Summary of Significant Accounting Policies--Recent Accounting Pronouncements” to our consolidated financial statements included in this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did not have any off balance sheet arrangements as of June 30, 2021</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15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2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17"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While our significant accounting policies are described in more detail in Note 2 “Summary of Significant Accounting Policies” to our consolidated financial statements,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Revenue for the year ended June 30, 2020 is presented under Accounting Standards Codification (“ASC”) 605,</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(“ASC 605”). Under ASC 605, we recognized revenue when all of the following criteria were met:</w:t>
      </w:r>
    </w:p>
    <w:p>
      <w:pPr>
        <w:spacing w:after="0" w:line="32" w:lineRule="exact"/>
        <w:rPr>
          <w:sz w:val="20"/>
          <w:szCs w:val="20"/>
          <w:color w:val="auto"/>
        </w:rPr>
      </w:pPr>
    </w:p>
    <w:p>
      <w:pPr>
        <w:jc w:val="both"/>
        <w:ind w:left="60" w:right="59" w:hanging="10"/>
        <w:spacing w:after="0" w:line="255" w:lineRule="auto"/>
        <w:tabs>
          <w:tab w:leader="none" w:pos="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persuasive evidence of an arrangement exists; (ii) the sales price is fixed or determinable; (iii) collection is reasonably assured; and (iv) services have been rendered. The judgement of when to recognize revenue is linked to the period in which eligible members are entitled to receive benefits.</w:t>
      </w:r>
    </w:p>
    <w:p>
      <w:pPr>
        <w:spacing w:after="0" w:line="14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May 2014, the FASB issued Accounting Standards Update 2014-09 (“ASU 2014-09”), and has since issued various amendments which provide additional clarification and implementation guidance, to Topic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superseded revenue recognition guidance in ASC 605. ASU 2014-09 requires an entity to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amount of revenue to which it expects to be entitled for the transfer of promised goods or services to customers. This guidance is effective for the annual reporting period beginning July 1, 2020, and interim reporting periods within the annual reporting period beginning July 1, 2021. Effective July 1, 2020, the Company adopted ASU 2014-09 using the modified retrospective method applied to those contracts which were not completed as of June 30, 2020. As a result of electing the modified retrospective adoption approach, results for reporting periods beginning after July 1, 2020 are presented under ASC 606. There was no material impact upon the adoption of ASC 606, therefore the Company did not record any adjustments to retained earnings at July 1, 2020 or for any periods previously presented. Accordingly, comparative periods have not been adjusted and continue to be reported under FASB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Capitation revenue</w:t>
      </w:r>
    </w:p>
    <w:p>
      <w:pPr>
        <w:spacing w:after="0" w:line="225" w:lineRule="exact"/>
        <w:rPr>
          <w:sz w:val="20"/>
          <w:szCs w:val="20"/>
          <w:color w:val="auto"/>
        </w:rPr>
      </w:pPr>
    </w:p>
    <w:p>
      <w:pPr>
        <w:jc w:val="both"/>
        <w:ind w:left="60" w:right="59" w:firstLine="351"/>
        <w:spacing w:after="0" w:line="293" w:lineRule="auto"/>
        <w:rPr>
          <w:sz w:val="20"/>
          <w:szCs w:val="20"/>
          <w:color w:val="auto"/>
        </w:rPr>
      </w:pPr>
      <w:r>
        <w:rPr>
          <w:rFonts w:ascii="Arial" w:cs="Arial" w:eastAsia="Arial" w:hAnsi="Arial"/>
          <w:sz w:val="16"/>
          <w:szCs w:val="16"/>
          <w:color w:val="auto"/>
        </w:rPr>
        <w:t>Our PACE operating unit provides comprehensive health care services to participants on the basis of estimated PMPM amounts we expect to be entitled to receive from the capitated fees per participant that are paid monthly by Medicare, Medicaid, the VA, and private pay sources. We recognize capitation revenues based on the estimated PMPM transaction price to transfer the service for a distinct increment of the series (i.e. month). We recognize revenue in the month in which participants are entitled to receive comprehensive care benefits during the contract term. Medicaid and Medicare capitation revenues are based on PMPM capitation rates under the PACE program, and Medicare rates can fluctuate throughout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contract based on the acuity of each individual participant. In certain contracts, PMPM rates also include “risk adjustments” based on various factors.</w:t>
      </w:r>
    </w:p>
    <w:p>
      <w:pPr>
        <w:spacing w:after="0" w:line="170" w:lineRule="exact"/>
        <w:rPr>
          <w:sz w:val="20"/>
          <w:szCs w:val="20"/>
          <w:color w:val="auto"/>
        </w:rPr>
      </w:pPr>
    </w:p>
    <w:p>
      <w:pPr>
        <w:jc w:val="both"/>
        <w:ind w:left="60" w:right="59" w:firstLine="351"/>
        <w:spacing w:after="0" w:line="263" w:lineRule="auto"/>
        <w:rPr>
          <w:sz w:val="20"/>
          <w:szCs w:val="20"/>
          <w:color w:val="auto"/>
        </w:rPr>
      </w:pPr>
      <w:r>
        <w:rPr>
          <w:rFonts w:ascii="Arial" w:cs="Arial" w:eastAsia="Arial" w:hAnsi="Arial"/>
          <w:sz w:val="18"/>
          <w:szCs w:val="18"/>
          <w:color w:val="auto"/>
        </w:rPr>
        <w:t>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Capitation revenues may be subject to adjustment as a result of examination by government agencies or contractors. The audit process and the resolution of significant related matters often are not finalized until several years after the services are rendered. Any adjustments resulting from these examinations are recorded in the period we are notified of them.</w:t>
      </w:r>
    </w:p>
    <w:p>
      <w:pPr>
        <w:spacing w:after="0" w:line="16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At times, we accept participants into the program pending final authorization from Medicaid. If Medicaid coverage is later denied and there are no alternative resources available to pay for services, the participant is disenrolled. Costs incurred on behalf of such participants were nominal in the fiscal years ended June 30, 2021 and 2020.</w:t>
      </w:r>
    </w:p>
    <w:p>
      <w:pPr>
        <w:spacing w:after="0" w:line="165" w:lineRule="exact"/>
        <w:rPr>
          <w:sz w:val="20"/>
          <w:szCs w:val="20"/>
          <w:color w:val="auto"/>
        </w:rPr>
      </w:pPr>
    </w:p>
    <w:p>
      <w:pPr>
        <w:jc w:val="both"/>
        <w:ind w:left="60" w:right="59" w:firstLine="351"/>
        <w:spacing w:after="0" w:line="296" w:lineRule="auto"/>
        <w:rPr>
          <w:sz w:val="20"/>
          <w:szCs w:val="20"/>
          <w:color w:val="auto"/>
        </w:rPr>
      </w:pPr>
      <w:r>
        <w:rPr>
          <w:rFonts w:ascii="Arial" w:cs="Arial" w:eastAsia="Arial" w:hAnsi="Arial"/>
          <w:sz w:val="16"/>
          <w:szCs w:val="16"/>
          <w:color w:val="auto"/>
        </w:rPr>
        <w:t>Certain third party payor contracts include a Medicare Part D payment related to pharmacy claims, which is subject to risk sharing through accepted risk corridor provisions. Under certain agreements the fund risk allocation is established whereby we, as the contracted provider, receive only a portion of the risk and the associated surplus or deficit. We estimate and recognize an adjustment monthly to Part D capitation revenues related to these risk corridor provisions based upon pharmacy claims experience to date, as if the annual risk contract were to terminate at the end of the reporting period.</w:t>
      </w:r>
    </w:p>
    <w:p>
      <w:pPr>
        <w:spacing w:after="0" w:line="161" w:lineRule="exact"/>
        <w:rPr>
          <w:sz w:val="20"/>
          <w:szCs w:val="20"/>
          <w:color w:val="auto"/>
        </w:rPr>
      </w:pPr>
    </w:p>
    <w:p>
      <w:pPr>
        <w:jc w:val="both"/>
        <w:ind w:left="60" w:right="79" w:firstLine="351"/>
        <w:spacing w:after="0" w:line="277" w:lineRule="auto"/>
        <w:rPr>
          <w:sz w:val="20"/>
          <w:szCs w:val="20"/>
          <w:color w:val="auto"/>
        </w:rPr>
      </w:pPr>
      <w:r>
        <w:rPr>
          <w:rFonts w:ascii="Arial" w:cs="Arial" w:eastAsia="Arial" w:hAnsi="Arial"/>
          <w:sz w:val="18"/>
          <w:szCs w:val="18"/>
          <w:color w:val="auto"/>
        </w:rPr>
        <w:t>For our capitation revenue arrangements, we record revenue on a gross basis, as we are acting as a principal in providing for or overseeing comprehensive care for our participants.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43"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test goodwill for impairment annually on April 1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w:t>
      </w:r>
    </w:p>
    <w:p>
      <w:pPr>
        <w:spacing w:after="0" w:line="13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 component of an operating segment is a reporting unit if the component constitutes a business for which discrete financial information is available and segment management regularly reviews the operating results of that component. We have three reporting units for evaluating goodwill impairment.</w:t>
      </w:r>
    </w:p>
    <w:p>
      <w:pPr>
        <w:spacing w:after="0" w:line="14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 allows entities to first use a qualitative approach to test goodwill for impairment. When the reporting units where we perform the quantitative goodwill impairment are tested, we compare the fair value of the reporting unit, which we primarily determine using an income approach based on the present value of discounted cash flows, to the respective carrying value, which includes goodwill. Management estimates and assumptions are used when we determine fair value using widely accepted valuation techniques, including discounted cash flow. These techniques are also used when assigning the purchase price to acquired assets and liabilities. These types of analyses require us to make assumptions and estimates regarding industry and economic factors and the profitability of future business strategies. It is our policy to conduct impairment testing based on our current business strategy in light of present industry and economic conditions, as well as future expectations.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2021 and 2020.</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Additionally, the customer relationships represent the estimated values of customer relationships of acquired businesses and have definite lives. We amortize these intangible assets on a straight-line basis over their ten-year estimated useful life.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provides guidance for impairment related to definite life assets including, customer relationships, for which we reviewed for impairment in conjunction with long-lived assets. We test for recoverability of the customer relationships whenever events or changes in circumstances indicate that the carrying amount may not be recoverable. There were no intangible asset impairments recorded during the years ended June 30, 2021 and 2020.</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Reported and estimated claims</w:t>
      </w:r>
    </w:p>
    <w:p>
      <w:pPr>
        <w:spacing w:after="0" w:line="18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Actual claims expense will differ from the estimated liability due to differences in estimated and actual member utilization of health care services, unit cost trends, participant acuity, changes in net census, known outbreaks of disease, including COVID-19 or increased incidence of illness such as influenza and other factors. We periodically assess our estimates with an independent actuarial expert to ensure our estimates represent the best, most reasonable estimate given the data available to us at the time the estimates are made.</w:t>
      </w:r>
    </w:p>
    <w:p>
      <w:pPr>
        <w:spacing w:after="0" w:line="1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We have included incurred but not reported claims of approximately $33.2 million and $30.3 million on our balance sheet as of June 30, 2021 and 2020, respectively. Our recorded medical claims expense estimate are approximately within +/- 5-10% of actual medical claims expense incurred, or less than 1% of our total operating expense.</w:t>
      </w:r>
    </w:p>
    <w:p>
      <w:pPr>
        <w:spacing w:after="0" w:line="12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following tables provide information about incurred and paid claims reporting and development as of June 30, 2021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 actual incurred claims table represents the actual amount of claims incurred by the Company with the benefit of the passage of time. The variance between the expense recorded and the cumulative actual incurred claims ranges between approximately 1% and 3% of actual total incurred claims over the periods presented, and such variance may vary based on the factors described above in this section.</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11"/>
          </w:tcPr>
          <w:p>
            <w:pPr>
              <w:jc w:val="center"/>
              <w:ind w:right="167"/>
              <w:spacing w:after="0"/>
              <w:rPr>
                <w:sz w:val="20"/>
                <w:szCs w:val="20"/>
                <w:color w:val="auto"/>
              </w:rPr>
            </w:pPr>
            <w:r>
              <w:rPr>
                <w:rFonts w:ascii="Arial" w:cs="Arial" w:eastAsia="Arial" w:hAnsi="Arial"/>
                <w:sz w:val="16"/>
                <w:szCs w:val="16"/>
                <w:b w:val="1"/>
                <w:bCs w:val="1"/>
                <w:color w:val="auto"/>
                <w:w w:val="89"/>
              </w:rPr>
              <w:t>Expenses Recorded for the Fiscal Years Ended June 30,</w:t>
            </w:r>
          </w:p>
        </w:tc>
        <w:tc>
          <w:tcPr>
            <w:tcW w:w="900" w:type="dxa"/>
            <w:vAlign w:val="bottom"/>
            <w:tcBorders>
              <w:bottom w:val="single" w:sz="8" w:color="auto"/>
            </w:tcBorders>
          </w:tcPr>
          <w:p>
            <w:pPr>
              <w:spacing w:after="0"/>
              <w:rPr>
                <w:sz w:val="18"/>
                <w:szCs w:val="18"/>
                <w:color w:val="auto"/>
              </w:rPr>
            </w:pPr>
          </w:p>
        </w:tc>
      </w:tr>
      <w:tr>
        <w:trPr>
          <w:trHeight w:val="199"/>
        </w:trPr>
        <w:tc>
          <w:tcPr>
            <w:tcW w:w="2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196"/>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Claims incurred year: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102,832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171,128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FY 2021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234,070</w:t>
            </w:r>
          </w:p>
        </w:tc>
      </w:tr>
      <w:tr>
        <w:trPr>
          <w:trHeight w:val="209"/>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234,070</w:t>
            </w:r>
          </w:p>
        </w:tc>
      </w:tr>
      <w:tr>
        <w:trPr>
          <w:trHeight w:val="21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Pharmacy expense</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75,247</w:t>
            </w:r>
          </w:p>
        </w:tc>
      </w:tr>
      <w:tr>
        <w:trPr>
          <w:trHeight w:val="209"/>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External provider costs</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309,317</w:t>
            </w:r>
          </w:p>
        </w:tc>
      </w:tr>
      <w:tr>
        <w:trPr>
          <w:trHeight w:val="20"/>
        </w:trPr>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10"/>
        </w:trPr>
        <w:tc>
          <w:tcPr>
            <w:tcW w:w="2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13"/>
          </w:tcPr>
          <w:p>
            <w:pPr>
              <w:jc w:val="center"/>
              <w:ind w:right="132"/>
              <w:spacing w:after="0"/>
              <w:rPr>
                <w:sz w:val="20"/>
                <w:szCs w:val="20"/>
                <w:color w:val="auto"/>
              </w:rPr>
            </w:pPr>
            <w:r>
              <w:rPr>
                <w:rFonts w:ascii="Arial" w:cs="Arial" w:eastAsia="Arial" w:hAnsi="Arial"/>
                <w:sz w:val="16"/>
                <w:szCs w:val="16"/>
                <w:b w:val="1"/>
                <w:bCs w:val="1"/>
                <w:color w:val="auto"/>
                <w:w w:val="92"/>
              </w:rPr>
              <w:t>Cumulative Actual Incurred Claims for the Fiscal Years Ended June 30,</w:t>
            </w:r>
          </w:p>
        </w:tc>
      </w:tr>
      <w:tr>
        <w:trPr>
          <w:trHeight w:val="199"/>
        </w:trPr>
        <w:tc>
          <w:tcPr>
            <w:tcW w:w="2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196"/>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Claims incurred year: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101,386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101,386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101,386</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101,386</w:t>
            </w:r>
          </w:p>
        </w:tc>
        <w:tc>
          <w:tcPr>
            <w:tcW w:w="1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101,376</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119,862</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173,047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172,855</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205,633</w:t>
            </w:r>
          </w:p>
        </w:tc>
      </w:tr>
      <w:tr>
        <w:trPr>
          <w:trHeight w:val="21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FY 2021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239,207</w:t>
            </w:r>
          </w:p>
        </w:tc>
      </w:tr>
      <w:tr>
        <w:trPr>
          <w:trHeight w:val="209"/>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394,120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604,646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838,933</w:t>
            </w: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gridSpan w:val="13"/>
          </w:tcPr>
          <w:p>
            <w:pPr>
              <w:jc w:val="center"/>
              <w:ind w:right="151"/>
              <w:spacing w:after="0"/>
              <w:rPr>
                <w:sz w:val="20"/>
                <w:szCs w:val="20"/>
                <w:color w:val="auto"/>
              </w:rPr>
            </w:pPr>
            <w:r>
              <w:rPr>
                <w:rFonts w:ascii="Arial" w:cs="Arial" w:eastAsia="Arial" w:hAnsi="Arial"/>
                <w:sz w:val="16"/>
                <w:szCs w:val="16"/>
                <w:b w:val="1"/>
                <w:bCs w:val="1"/>
                <w:color w:val="auto"/>
                <w:w w:val="92"/>
              </w:rPr>
              <w:t>Cumulative Actual Paid Claims for the Fiscal Years Ended June 30,</w:t>
            </w:r>
          </w:p>
        </w:tc>
      </w:tr>
      <w:tr>
        <w:trPr>
          <w:trHeight w:val="199"/>
        </w:trPr>
        <w:tc>
          <w:tcPr>
            <w:tcW w:w="2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r>
      <w:tr>
        <w:trPr>
          <w:trHeight w:val="196"/>
        </w:trPr>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Claims incurred year: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88,020</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101,572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101,450</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101,386</w:t>
            </w:r>
          </w:p>
        </w:tc>
        <w:tc>
          <w:tcPr>
            <w:tcW w:w="1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101,376</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119,862</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FY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144,943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172,855</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205,601</w:t>
            </w:r>
          </w:p>
        </w:tc>
      </w:tr>
      <w:tr>
        <w:trPr>
          <w:trHeight w:val="21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FY 2021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205,356</w:t>
            </w:r>
          </w:p>
        </w:tc>
      </w:tr>
      <w:tr>
        <w:trPr>
          <w:trHeight w:val="209"/>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805,050</w:t>
            </w:r>
          </w:p>
        </w:tc>
      </w:tr>
      <w:tr>
        <w:trPr>
          <w:trHeight w:val="216"/>
        </w:trPr>
        <w:tc>
          <w:tcPr>
            <w:tcW w:w="2780" w:type="dxa"/>
            <w:vAlign w:val="bottom"/>
          </w:tcPr>
          <w:p>
            <w:pPr>
              <w:ind w:left="20"/>
              <w:spacing w:after="0"/>
              <w:rPr>
                <w:sz w:val="20"/>
                <w:szCs w:val="20"/>
                <w:color w:val="auto"/>
              </w:rPr>
            </w:pPr>
            <w:r>
              <w:rPr>
                <w:rFonts w:ascii="Arial" w:cs="Arial" w:eastAsia="Arial" w:hAnsi="Arial"/>
                <w:sz w:val="18"/>
                <w:szCs w:val="18"/>
                <w:color w:val="auto"/>
              </w:rPr>
              <w:t>Other claims-related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2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Reported and estimated claims</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w:t>
            </w:r>
          </w:p>
        </w:tc>
      </w:tr>
      <w:tr>
        <w:trPr>
          <w:trHeight w:val="20"/>
        </w:trPr>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requires the measurement of the cost of the employee services received in exchange for an award of equity instruments based on the grant-date fair value or, in certain circumstances, the calculated value of the award. We maintained the 2016 Equity Incentive Plan pursuant to which various stock-based awards may be granted to employees, directors, consultants, and advisers.</w:t>
      </w:r>
    </w:p>
    <w:p>
      <w:pPr>
        <w:spacing w:after="0" w:line="13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our 2016 Equity Incentive Plan, we were able to reward employees with various types of awards, including but not limited to stock options on a service-based or performance-based schedule. We have elected to account for forfeitures as they occur.</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2016 Equity Incentive Plan</w:t>
      </w:r>
    </w:p>
    <w:p>
      <w:pPr>
        <w:spacing w:after="0" w:line="19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which requires inputs based on certain subjective assumptions, including fair value of the underlying common stock, the expected stock price volatility, the expected term of the option, the risk-free interest rate for a period that approximates the expected term of the option, and our expected dividend yield.</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these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inputs are subjective and generally require significant analysis and judgment to develop.</w:t>
      </w:r>
    </w:p>
    <w:p>
      <w:pPr>
        <w:spacing w:after="0" w:line="19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For service-vesting awards, we recognize stock-based compensation expense over the requisite service period, which is generally the vesting period of the respective award, on a straight-line basis. For performance-vesting awards, we recognize stock-based compensation expense when it is probable that the performance condition will be achieved. We will analyze if a performance condition is probable for each reporting period through the settlement date for awards subject to performance vesting. For service-vesting awards, we recognize stock-based compensation expense over the requisite service period for each separately vesting portion of the awards as if the award was, in substance, multiple awards.</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2016 Equity Incentive Plan was canceled in July 2020 and we subsequently established the 2020 Equity Incentive Plan, as described below, pursuant to which interests in TCO Group Holdings, L.P. in the form of Class B Units were granted to employees, directors, consultants, and advisers.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2020 Equity Incentive Plan</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Profits Interests Units</w:t>
      </w:r>
    </w:p>
    <w:p>
      <w:pPr>
        <w:spacing w:after="0" w:line="18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uses the Monte Carlo option model to determine the fair value of the granted profits interests units, which requires inputs based on certain subjective assumptions, including fair value of the underlying common stock,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expected stock price volatility, the expected term of the option, the risk-free interest rate for a period that approximates the expected term of the option, and our expected dividend yield.</w:t>
      </w:r>
    </w:p>
    <w:p>
      <w:pPr>
        <w:spacing w:after="0" w:line="143"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these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inputs are subjective and generally require significant analysis and judgment to develop.</w:t>
      </w:r>
    </w:p>
    <w:p>
      <w:pPr>
        <w:spacing w:after="0" w:line="18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concluded that the performance-vesting units are subject to a market condition and assessed the market condition as part of the determination of the grant date fair value. For performance-vesting units, we recognized unit-based compensation expense when it was probable that the performance condition would be achieved. We will analyze if a performance condition was probable for each reporting period through the settlement date for units subject to performance vesting. For service-vesting units, we will recognize unit-based compensation expense over the requisite service period for each separately vesting portion of the profits interest as if the unit was, in-substance, multiple units.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jc w:val="both"/>
        <w:ind w:left="60" w:right="59" w:firstLine="369"/>
        <w:spacing w:after="0" w:line="279" w:lineRule="auto"/>
        <w:rPr>
          <w:sz w:val="20"/>
          <w:szCs w:val="20"/>
          <w:color w:val="auto"/>
        </w:rPr>
      </w:pPr>
      <w:r>
        <w:rPr>
          <w:rFonts w:ascii="Arial" w:cs="Arial" w:eastAsia="Arial" w:hAnsi="Arial"/>
          <w:sz w:val="17"/>
          <w:szCs w:val="17"/>
          <w:color w:val="auto"/>
        </w:rPr>
        <w:t>We recognize expense related to restricted stock units based on their grant-date fair values, which is based upon the closing share price of the Company’s common stock on the date of grant. We recognize stock-based compensation expense, using the straight-line method, as a charge to operations over the vesting period based on the grant-date fair value of outstanding awards, which may differ from the fair value of such awards on any given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Policies—Recent Accounting Pronouncements” for more information.</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As of June 30, 2021, we had total outstanding borrowings of (i) $75.0 million principal amount under the Term Loan Facility (as defined in Note 10 to the consolidated financial statements) and (ii) $2.4 million principal amount under the convertible term loan.</w:t>
      </w:r>
    </w:p>
    <w:p>
      <w:pPr>
        <w:spacing w:after="0" w:line="157"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We are exposed to changes in interest rates as a result of our variable-rate borrowings under the 2021 Credit Agreement. Generally, the Company may designate specific borrowings under the 2021 Credit Agreement as either base rate borrowings or LIBO rate borrowings. As of June 30, 2021, based on our secured net leverage ratio, the margins of our borrowings under the Term Loan Facility and Revolving Credit Facility (as defined in Note 10 to the consolidated financial statements) were (a) 0.75% for alternate base rate borrowings and (b) 1.75% for Eurodollar borrowings.</w:t>
      </w:r>
    </w:p>
    <w:p>
      <w:pPr>
        <w:spacing w:after="0" w:line="12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cash and cash equivalents and interest payments in respect of our debt are subject to market risk due to changes in interest rates. We had cash and cash equivalents of $201.5 million as of June 30, 2021, which are deposited with high credit quality financial institutions and are primarily in demand deposit accounts. We do not believe that an increase or decrease in interest rates of 100 basis points would have a material effect on our business,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Inflation risk</w:t>
      </w:r>
    </w:p>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 Index to Consolidated Financial Statements</w:t>
      </w:r>
    </w:p>
    <w:p>
      <w:pPr>
        <w:spacing w:after="0" w:line="129" w:lineRule="exact"/>
        <w:rPr>
          <w:sz w:val="20"/>
          <w:szCs w:val="20"/>
          <w:color w:val="auto"/>
        </w:rPr>
      </w:pPr>
    </w:p>
    <w:tbl>
      <w:tblPr>
        <w:tblLayout w:type="fixed"/>
        <w:tblInd w:w="710" w:type="dxa"/>
        <w:tblCellMar>
          <w:top w:w="0" w:type="dxa"/>
          <w:left w:w="0" w:type="dxa"/>
          <w:bottom w:w="0" w:type="dxa"/>
          <w:right w:w="0" w:type="dxa"/>
        </w:tblCellMar>
      </w:tblPr>
      <w:tr>
        <w:trPr>
          <w:trHeight w:val="189"/>
        </w:trPr>
        <w:tc>
          <w:tcPr>
            <w:tcW w:w="100" w:type="dxa"/>
            <w:vAlign w:val="bottom"/>
            <w:tcBorders>
              <w:top w:val="single" w:sz="8" w:color="auto"/>
              <w:left w:val="single" w:sz="8" w:color="auto"/>
            </w:tcBorders>
          </w:tcPr>
          <w:p>
            <w:pPr>
              <w:spacing w:after="0"/>
              <w:rPr>
                <w:sz w:val="16"/>
                <w:szCs w:val="16"/>
                <w:color w:val="auto"/>
              </w:rPr>
            </w:pPr>
          </w:p>
        </w:tc>
        <w:tc>
          <w:tcPr>
            <w:tcW w:w="6900" w:type="dxa"/>
            <w:vAlign w:val="bottom"/>
            <w:tcBorders>
              <w:top w:val="single" w:sz="8" w:color="auto"/>
              <w:right w:val="single" w:sz="8" w:color="auto"/>
            </w:tcBorders>
            <w:gridSpan w:val="7"/>
          </w:tcPr>
          <w:p>
            <w:pPr>
              <w:spacing w:after="0" w:line="189" w:lineRule="exact"/>
              <w:rPr>
                <w:rFonts w:ascii="Arial" w:cs="Arial" w:eastAsia="Arial" w:hAnsi="Arial"/>
                <w:sz w:val="18"/>
                <w:szCs w:val="18"/>
                <w:color w:val="0000EE"/>
              </w:rPr>
            </w:pPr>
            <w:hyperlink w:anchor="page87">
              <w:r>
                <w:rPr>
                  <w:rFonts w:ascii="Arial" w:cs="Arial" w:eastAsia="Arial" w:hAnsi="Arial"/>
                  <w:sz w:val="18"/>
                  <w:szCs w:val="18"/>
                  <w:color w:val="0000EE"/>
                </w:rPr>
                <w:t>Report of Independent Registered Public Accounting Firm</w:t>
              </w:r>
            </w:hyperlink>
          </w:p>
        </w:tc>
        <w:tc>
          <w:tcPr>
            <w:tcW w:w="680" w:type="dxa"/>
            <w:vAlign w:val="bottom"/>
            <w:tcBorders>
              <w:top w:val="single" w:sz="8" w:color="auto"/>
              <w:right w:val="single" w:sz="8" w:color="auto"/>
            </w:tcBorders>
          </w:tcPr>
          <w:p>
            <w:pPr>
              <w:jc w:val="right"/>
              <w:ind w:right="330"/>
              <w:spacing w:after="0" w:line="189" w:lineRule="exact"/>
              <w:rPr>
                <w:sz w:val="20"/>
                <w:szCs w:val="20"/>
                <w:color w:val="auto"/>
              </w:rPr>
            </w:pPr>
            <w:r>
              <w:rPr>
                <w:rFonts w:ascii="Arial" w:cs="Arial" w:eastAsia="Arial" w:hAnsi="Arial"/>
                <w:sz w:val="18"/>
                <w:szCs w:val="18"/>
                <w:color w:val="auto"/>
              </w:rPr>
              <w:t>83</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900" w:type="dxa"/>
            <w:vAlign w:val="bottom"/>
            <w:tcBorders>
              <w:right w:val="single" w:sz="8" w:color="auto"/>
            </w:tcBorders>
            <w:gridSpan w:val="7"/>
          </w:tcPr>
          <w:p>
            <w:pPr>
              <w:spacing w:after="0" w:line="169"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Balance Sheets as of June 30, 2021 and 2020</w:t>
              </w:r>
            </w:hyperlink>
          </w:p>
        </w:tc>
        <w:tc>
          <w:tcPr>
            <w:tcW w:w="680" w:type="dxa"/>
            <w:vAlign w:val="bottom"/>
            <w:tcBorders>
              <w:right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84</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900" w:type="dxa"/>
            <w:vAlign w:val="bottom"/>
            <w:tcBorders>
              <w:right w:val="single" w:sz="8" w:color="auto"/>
            </w:tcBorders>
            <w:gridSpan w:val="7"/>
          </w:tcPr>
          <w:p>
            <w:pPr>
              <w:spacing w:after="0" w:line="169"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Operations for the years ended June 30, 2021 and 2020</w:t>
              </w:r>
            </w:hyperlink>
          </w:p>
        </w:tc>
        <w:tc>
          <w:tcPr>
            <w:tcW w:w="680" w:type="dxa"/>
            <w:vAlign w:val="bottom"/>
            <w:tcBorders>
              <w:right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85</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900" w:type="dxa"/>
            <w:vAlign w:val="bottom"/>
            <w:tcBorders>
              <w:right w:val="single" w:sz="8" w:color="auto"/>
            </w:tcBorders>
            <w:gridSpan w:val="7"/>
          </w:tcPr>
          <w:p>
            <w:pPr>
              <w:spacing w:after="0" w:line="169"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Consolidated Statements of Stockholders’ Equity for the years ended June 30, 2021 and 2020</w:t>
              </w:r>
            </w:hyperlink>
          </w:p>
        </w:tc>
        <w:tc>
          <w:tcPr>
            <w:tcW w:w="680" w:type="dxa"/>
            <w:vAlign w:val="bottom"/>
            <w:tcBorders>
              <w:right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86</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900" w:type="dxa"/>
            <w:vAlign w:val="bottom"/>
            <w:tcBorders>
              <w:right w:val="single" w:sz="8" w:color="auto"/>
            </w:tcBorders>
            <w:gridSpan w:val="7"/>
          </w:tcPr>
          <w:p>
            <w:pPr>
              <w:spacing w:after="0" w:line="169"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Cash Flows for the years ended June 30, 2021 and 2020</w:t>
              </w:r>
            </w:hyperlink>
          </w:p>
        </w:tc>
        <w:tc>
          <w:tcPr>
            <w:tcW w:w="680" w:type="dxa"/>
            <w:vAlign w:val="bottom"/>
            <w:tcBorders>
              <w:right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87</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7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6900" w:type="dxa"/>
            <w:vAlign w:val="bottom"/>
            <w:tcBorders>
              <w:right w:val="single" w:sz="8" w:color="auto"/>
            </w:tcBorders>
            <w:gridSpan w:val="7"/>
          </w:tcPr>
          <w:p>
            <w:pPr>
              <w:spacing w:after="0" w:line="169" w:lineRule="exact"/>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680" w:type="dxa"/>
            <w:vAlign w:val="bottom"/>
            <w:tcBorders>
              <w:right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88</w:t>
            </w:r>
          </w:p>
        </w:tc>
      </w:tr>
      <w:tr>
        <w:trPr>
          <w:trHeight w:val="21"/>
        </w:trPr>
        <w:tc>
          <w:tcPr>
            <w:tcW w:w="100" w:type="dxa"/>
            <w:vAlign w:val="bottom"/>
            <w:tcBorders>
              <w:left w:val="single" w:sz="8" w:color="auto"/>
              <w:bottom w:val="single" w:sz="8" w:color="auto"/>
            </w:tcBorders>
          </w:tcPr>
          <w:p>
            <w:pPr>
              <w:spacing w:after="0" w:line="20" w:lineRule="exact"/>
              <w:rPr>
                <w:sz w:val="1"/>
                <w:szCs w:val="1"/>
                <w:color w:val="auto"/>
              </w:rPr>
            </w:pPr>
          </w:p>
        </w:tc>
        <w:tc>
          <w:tcPr>
            <w:tcW w:w="316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 Supplementary Data</w:t>
      </w:r>
    </w:p>
    <w:p>
      <w:pPr>
        <w:spacing w:after="0" w:line="229"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The information required by Item 302 of Regulation S-K has been omitted as we have elected to early adopt the changes to Item 302 contained in SEC Release No. 33-10890.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InnovAge Holding Corp.</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InnovAge Holding Corp. and subsidiaries (the "Company") as of June 30, 2021 and 2020, the related consolidated statements of operations, changes in stockholders' equity, and cash flows, for each of the two years in the period ended June 30, 2021, and the related notes (collectively referred to as the "financial statements"). In our opinion, the financial statements present fairly, in all material respects, the financial position of the Company as of June 30, 2021 and 2020, and the results of its operations and its cash flows for each of the two years in the period ended June 30, 2021, in conformity with accounting principles generally accepted in the United States of America.</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Denver, CO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22,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InnovAge Holding Corp.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4"/>
          </w:tcPr>
          <w:p>
            <w:pPr>
              <w:jc w:val="right"/>
              <w:ind w:right="639"/>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Accounts receivable, net of allowance ($4,350 – June 30, 2021 and $6,384 – June 30, 2020)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receivable</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250,932</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Noncurrent Assets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142,715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Deposits and other</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method investments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124,217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noncurrent assets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280,820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531,752</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32,361</w:t>
            </w:r>
          </w:p>
        </w:tc>
        <w:tc>
          <w:tcPr>
            <w:tcW w:w="1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Reported and estimated claims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Due to Medicaid and Medicare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220"/>
              <w:spacing w:after="0"/>
              <w:rPr>
                <w:sz w:val="20"/>
                <w:szCs w:val="20"/>
                <w:color w:val="auto"/>
              </w:rPr>
            </w:pPr>
            <w:r>
              <w:rPr>
                <w:rFonts w:ascii="Arial" w:cs="Arial" w:eastAsia="Arial" w:hAnsi="Arial"/>
                <w:sz w:val="16"/>
                <w:szCs w:val="16"/>
                <w:color w:val="auto"/>
              </w:rPr>
              <w:t>Current portion of capital lease obligations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78,565</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Noncurrent Liabilities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lease obligations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 of debt issuance costs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173,787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(See Note 12)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$0.001 par value; 500,000,000 authorized as of June 30, 2021 and 2020;</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135,516,513 and 132,718,461 issued shares as of June 30, 2021 and June 30, 2020, respectively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323,760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40" w:type="dxa"/>
            <w:vAlign w:val="bottom"/>
          </w:tcPr>
          <w:p>
            <w:pPr>
              <w:ind w:left="220"/>
              <w:spacing w:after="0"/>
              <w:rPr>
                <w:sz w:val="20"/>
                <w:szCs w:val="20"/>
                <w:color w:val="auto"/>
              </w:rPr>
            </w:pPr>
            <w:r>
              <w:rPr>
                <w:rFonts w:ascii="Arial" w:cs="Arial" w:eastAsia="Arial" w:hAnsi="Arial"/>
                <w:sz w:val="16"/>
                <w:szCs w:val="16"/>
                <w:color w:val="auto"/>
                <w:w w:val="94"/>
              </w:rPr>
              <w:t>Less: Treasury stock; 0 and 102,030 shares of common stock at $0.0 and $1.89 per share as of</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20"/>
              <w:spacing w:after="0"/>
              <w:rPr>
                <w:sz w:val="20"/>
                <w:szCs w:val="20"/>
                <w:color w:val="auto"/>
              </w:rPr>
            </w:pPr>
            <w:r>
              <w:rPr>
                <w:rFonts w:ascii="Arial" w:cs="Arial" w:eastAsia="Arial" w:hAnsi="Arial"/>
                <w:sz w:val="16"/>
                <w:szCs w:val="16"/>
                <w:color w:val="auto"/>
              </w:rPr>
              <w:t>June 30, 2021 and June 30, 2020, respectively</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InnovAge Holding Corp.</w:t>
            </w: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335,146</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357,965</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531,752</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InnovAge Holding Corp.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June 30,</w:t>
            </w:r>
          </w:p>
        </w:tc>
      </w:tr>
      <w:tr>
        <w:trPr>
          <w:trHeight w:val="199"/>
        </w:trPr>
        <w:tc>
          <w:tcPr>
            <w:tcW w:w="6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i w:val="1"/>
                <w:iCs w:val="1"/>
                <w:color w:val="auto"/>
                <w:w w:val="89"/>
              </w:rPr>
              <w:t>in thousands, except</w:t>
            </w:r>
          </w:p>
        </w:tc>
        <w:tc>
          <w:tcPr>
            <w:tcW w:w="1200" w:type="dxa"/>
            <w:vAlign w:val="bottom"/>
            <w:gridSpan w:val="2"/>
          </w:tcPr>
          <w:p>
            <w:pPr>
              <w:spacing w:after="0"/>
              <w:rPr>
                <w:sz w:val="20"/>
                <w:szCs w:val="20"/>
                <w:color w:val="auto"/>
              </w:rPr>
            </w:pPr>
            <w:r>
              <w:rPr>
                <w:rFonts w:ascii="Arial" w:cs="Arial" w:eastAsia="Arial" w:hAnsi="Arial"/>
                <w:sz w:val="16"/>
                <w:szCs w:val="16"/>
                <w:i w:val="1"/>
                <w:iCs w:val="1"/>
                <w:color w:val="auto"/>
                <w:w w:val="88"/>
              </w:rPr>
              <w:t>per share amounts</w:t>
            </w:r>
          </w:p>
        </w:tc>
        <w:tc>
          <w:tcPr>
            <w:tcW w:w="20" w:type="dxa"/>
            <w:vAlign w:val="bottom"/>
          </w:tcPr>
          <w:p>
            <w:pPr>
              <w:spacing w:after="0"/>
              <w:rPr>
                <w:sz w:val="17"/>
                <w:szCs w:val="17"/>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Capitation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635,322</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564,834</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service revenue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r>
      <w:tr>
        <w:trPr>
          <w:trHeight w:val="210"/>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567,192</w:t>
            </w:r>
          </w:p>
        </w:tc>
        <w:tc>
          <w:tcPr>
            <w:tcW w:w="20" w:type="dxa"/>
            <w:vAlign w:val="bottom"/>
          </w:tcPr>
          <w:p>
            <w:pPr>
              <w:spacing w:after="0"/>
              <w:rPr>
                <w:sz w:val="18"/>
                <w:szCs w:val="18"/>
                <w:color w:val="auto"/>
              </w:rPr>
            </w:pP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External provider costs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309,317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272,832</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care, excluding depreciation and amortization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153,056</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19,001</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general and administrative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11,291</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loss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8"/>
                <w:szCs w:val="18"/>
                <w:color w:val="auto"/>
              </w:rPr>
            </w:pPr>
          </w:p>
        </w:tc>
      </w:tr>
      <w:tr>
        <w:trPr>
          <w:trHeight w:val="216"/>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r>
      <w:tr>
        <w:trPr>
          <w:trHeight w:val="21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650,137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516,259</w:t>
            </w:r>
          </w:p>
        </w:tc>
        <w:tc>
          <w:tcPr>
            <w:tcW w:w="20" w:type="dxa"/>
            <w:vAlign w:val="bottom"/>
          </w:tcPr>
          <w:p>
            <w:pPr>
              <w:spacing w:after="0"/>
              <w:rPr>
                <w:sz w:val="18"/>
                <w:szCs w:val="18"/>
                <w:color w:val="auto"/>
              </w:rPr>
            </w:pPr>
          </w:p>
        </w:tc>
      </w:tr>
      <w:tr>
        <w:trPr>
          <w:trHeight w:val="20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50,933</w:t>
            </w:r>
          </w:p>
        </w:tc>
        <w:tc>
          <w:tcPr>
            <w:tcW w:w="20" w:type="dxa"/>
            <w:vAlign w:val="bottom"/>
          </w:tcPr>
          <w:p>
            <w:pPr>
              <w:spacing w:after="0"/>
              <w:rPr>
                <w:sz w:val="18"/>
                <w:szCs w:val="18"/>
                <w:color w:val="auto"/>
              </w:rPr>
            </w:pPr>
          </w:p>
        </w:tc>
      </w:tr>
      <w:tr>
        <w:trPr>
          <w:trHeight w:val="210"/>
        </w:trPr>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(14,479)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equity method investment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r>
      <w:tr>
        <w:trPr>
          <w:trHeight w:val="209"/>
        </w:trPr>
        <w:tc>
          <w:tcPr>
            <w:tcW w:w="63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20" w:type="dxa"/>
            <w:vAlign w:val="bottom"/>
          </w:tcPr>
          <w:p>
            <w:pPr>
              <w:spacing w:after="0"/>
              <w:rPr>
                <w:sz w:val="18"/>
                <w:szCs w:val="18"/>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35,633</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 w:type="dxa"/>
            <w:vAlign w:val="bottom"/>
          </w:tcPr>
          <w:p>
            <w:pPr>
              <w:spacing w:after="0"/>
              <w:rPr>
                <w:sz w:val="18"/>
                <w:szCs w:val="18"/>
                <w:color w:val="auto"/>
              </w:rPr>
            </w:pPr>
          </w:p>
        </w:tc>
      </w:tr>
      <w:tr>
        <w:trPr>
          <w:trHeight w:val="21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25,765</w:t>
            </w:r>
          </w:p>
        </w:tc>
        <w:tc>
          <w:tcPr>
            <w:tcW w:w="20" w:type="dxa"/>
            <w:vAlign w:val="bottom"/>
          </w:tcPr>
          <w:p>
            <w:pPr>
              <w:spacing w:after="0"/>
              <w:rPr>
                <w:sz w:val="18"/>
                <w:szCs w:val="18"/>
                <w:color w:val="auto"/>
              </w:rPr>
            </w:pPr>
          </w:p>
        </w:tc>
      </w:tr>
      <w:tr>
        <w:trPr>
          <w:trHeight w:val="21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r>
      <w:tr>
        <w:trPr>
          <w:trHeight w:val="25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Attributable to InnovAge Holding Corp.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(43,986)</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26,278</w:t>
            </w:r>
          </w:p>
        </w:tc>
        <w:tc>
          <w:tcPr>
            <w:tcW w:w="20" w:type="dxa"/>
            <w:vAlign w:val="bottom"/>
          </w:tcPr>
          <w:p>
            <w:pPr>
              <w:spacing w:after="0"/>
              <w:rPr>
                <w:sz w:val="21"/>
                <w:szCs w:val="21"/>
                <w:color w:val="auto"/>
              </w:rPr>
            </w:pPr>
          </w:p>
        </w:tc>
      </w:tr>
      <w:tr>
        <w:trPr>
          <w:trHeight w:val="196"/>
        </w:trPr>
        <w:tc>
          <w:tcPr>
            <w:tcW w:w="6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 - basic</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123,618,702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132,616,431</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 - diluted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123,618,702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135,233,630</w:t>
            </w:r>
          </w:p>
        </w:tc>
        <w:tc>
          <w:tcPr>
            <w:tcW w:w="2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34"/>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0"/>
                <w:szCs w:val="20"/>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InnovAge Holding Corp.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4"/>
              </w:rPr>
              <w:t>Capital Stock</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6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(Deficit)</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gridSpan w:val="9"/>
          </w:tcPr>
          <w:p>
            <w:pPr>
              <w:ind w:left="40"/>
              <w:spacing w:after="0"/>
              <w:rPr>
                <w:sz w:val="20"/>
                <w:szCs w:val="20"/>
                <w:color w:val="auto"/>
              </w:rPr>
            </w:pPr>
            <w:r>
              <w:rPr>
                <w:rFonts w:ascii="Arial" w:cs="Arial" w:eastAsia="Arial" w:hAnsi="Arial"/>
                <w:sz w:val="14"/>
                <w:szCs w:val="14"/>
                <w:i w:val="1"/>
                <w:iCs w:val="1"/>
                <w:color w:val="auto"/>
              </w:rPr>
              <w:t>in thousands, except share amounts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Balances, June 30, 2019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132,718,461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38,459</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line="130" w:lineRule="exact"/>
              <w:rPr>
                <w:sz w:val="20"/>
                <w:szCs w:val="20"/>
                <w:color w:val="auto"/>
              </w:rPr>
            </w:pPr>
            <w:r>
              <w:rPr>
                <w:rFonts w:ascii="Arial" w:cs="Arial" w:eastAsia="Arial" w:hAnsi="Arial"/>
                <w:sz w:val="14"/>
                <w:szCs w:val="14"/>
                <w:color w:val="auto"/>
                <w:w w:val="99"/>
              </w:rPr>
              <w:t>Grants of stock options and stock</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ind w:left="20"/>
              <w:spacing w:after="0"/>
              <w:rPr>
                <w:sz w:val="20"/>
                <w:szCs w:val="20"/>
                <w:color w:val="auto"/>
              </w:rPr>
            </w:pPr>
            <w:r>
              <w:rPr>
                <w:rFonts w:ascii="Arial" w:cs="Arial" w:eastAsia="Arial" w:hAnsi="Arial"/>
                <w:sz w:val="14"/>
                <w:szCs w:val="14"/>
                <w:color w:val="auto"/>
              </w:rPr>
              <w:t>option expense</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26,278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June 30, 2020</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132,718,461</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36,338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64,737</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102,030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6,735</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Treasury stock transaction</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0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16,095,819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(77,603)</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(77,603)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Treasury stock retirement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(16,197,849)</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(77,780)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(16,197,849)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Stock option cancellation</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Time based awards- option</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Reclassification of warrant</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9" w:lineRule="exact"/>
              <w:rPr>
                <w:sz w:val="20"/>
                <w:szCs w:val="20"/>
                <w:color w:val="auto"/>
              </w:rPr>
            </w:pPr>
            <w:r>
              <w:rPr>
                <w:rFonts w:ascii="Arial" w:cs="Arial" w:eastAsia="Arial" w:hAnsi="Arial"/>
                <w:sz w:val="14"/>
                <w:szCs w:val="14"/>
                <w:color w:val="auto"/>
              </w:rPr>
              <w:t>Capital contribution</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Initial public offering of</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net of offering</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$28,445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18,995,901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370,449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tcPr>
          <w:p>
            <w:pPr>
              <w:ind w:left="20"/>
              <w:spacing w:after="0" w:line="130" w:lineRule="exact"/>
              <w:rPr>
                <w:sz w:val="20"/>
                <w:szCs w:val="20"/>
                <w:color w:val="auto"/>
              </w:rPr>
            </w:pPr>
            <w:r>
              <w:rPr>
                <w:rFonts w:ascii="Arial" w:cs="Arial" w:eastAsia="Arial" w:hAnsi="Arial"/>
                <w:sz w:val="14"/>
                <w:szCs w:val="14"/>
                <w:color w:val="auto"/>
              </w:rPr>
              <w:t>Consolidation of equity method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16,838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(43,986)</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Balances, June 30, 2021</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135,516,513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323,760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11,250</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22,819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357,965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InnovAge Holding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right"/>
              <w:ind w:right="29"/>
              <w:spacing w:after="0" w:line="129" w:lineRule="exact"/>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60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(44,740)</w:t>
            </w:r>
          </w:p>
        </w:tc>
        <w:tc>
          <w:tcPr>
            <w:tcW w:w="5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25,765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Adjustments to reconcile net income (loss) to net cash provided by (used in) operating activities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Loss on disposal of assets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uncollectible accounts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12,294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11,291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equity method investment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long-term debt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14,479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1,056</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1,664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Loss in equity of nonconsolidated entities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5,879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Income tax receivable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(3,658)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 and other</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6,137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Reported and estimated claims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Arial" w:cs="Arial" w:eastAsia="Arial" w:hAnsi="Arial"/>
                <w:sz w:val="14"/>
                <w:szCs w:val="14"/>
                <w:color w:val="auto"/>
              </w:rPr>
              <w:t>Due to Medicaid and Medicare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(5,220)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(7,548)</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(17,541)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Proceeds from net working capital settlements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long term investment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Purchase of intangible assets</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(19,541)</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Distributions to owners</w:t>
            </w:r>
          </w:p>
        </w:tc>
        <w:tc>
          <w:tcPr>
            <w:tcW w:w="6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w:t>
            </w:r>
          </w:p>
        </w:tc>
        <w:tc>
          <w:tcPr>
            <w:tcW w:w="5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Capital contributions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on capital lease obligations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375,000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Principal payments on long-term debt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(512,660)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Payment of financing costs and debt premiums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(14,896)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initial public offering of common stock</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370,468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Treasury stock purchases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(77,603)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under acquisition agreements</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Payments related to option cancellation</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(29,175)</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116,224</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INCREASE IN CASH, CASH EQUIVALENTS &amp; RESTRICTED CASH</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89,135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CASH EQUIVALENTS &amp; RESTRICTED CASH, BEGINNING OF PERIOD</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114,565</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CASH EQUIVALENTS &amp; RESTRICTED CASH, END OF PERIOD</w:t>
            </w:r>
          </w:p>
        </w:tc>
        <w:tc>
          <w:tcPr>
            <w:tcW w:w="3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203,700</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Cash Flows Information</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Interest paid</w:t>
            </w:r>
          </w:p>
        </w:tc>
        <w:tc>
          <w:tcPr>
            <w:tcW w:w="60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18,030</w:t>
            </w:r>
          </w:p>
        </w:tc>
        <w:tc>
          <w:tcPr>
            <w:tcW w:w="5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6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7,048</w:t>
            </w:r>
          </w:p>
        </w:tc>
        <w:tc>
          <w:tcPr>
            <w:tcW w:w="5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included in accounts payable</w:t>
            </w:r>
          </w:p>
        </w:tc>
        <w:tc>
          <w:tcPr>
            <w:tcW w:w="60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1,327</w:t>
            </w:r>
          </w:p>
        </w:tc>
        <w:tc>
          <w:tcPr>
            <w:tcW w:w="560" w:type="dxa"/>
            <w:vAlign w:val="bottom"/>
            <w:gridSpan w:val="2"/>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purchased under capital leases</w:t>
            </w:r>
          </w:p>
        </w:tc>
        <w:tc>
          <w:tcPr>
            <w:tcW w:w="6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3,493</w:t>
            </w:r>
          </w:p>
        </w:tc>
        <w:tc>
          <w:tcPr>
            <w:tcW w:w="56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w:t>
      </w:r>
    </w:p>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Holding Corp. (formerly, TCO Group Holdings, Inc.) (the “Company”)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and Total Community Options Foundation, Inc. (“Foundation”) and Johnson Adult Day Program, Inc. (“Johnson”), both not-for-profit organizations, separated from Total Community Options, Inc. In connection with our initial public offering (“IPO”), which occurred in March 2021, we changed the name of our company from TCO Group Holdings, Inc. to InnovAge Holding Corp.</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InnovAge Holding Corp. and its subsidiaries, which are headquartered in Denver, Colorado, have a strong record of innovation, quality, and sensitivity to the needs of participants and staff. The Company oversees,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2021, the Company served approximately 6,850 PACE participants, making it the largest PACE provider in the United States of America (the U.S.) based upon participants served, and operates 18 PACE centers across Colorado, California, New Mexico, Pennsylvania and Virginia.</w:t>
      </w:r>
    </w:p>
    <w:p>
      <w:pPr>
        <w:spacing w:after="0" w:line="143"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7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On March 3, 2021, the Company’s Registration Statement on Form S-1 with respect to the Company’s IPO of shares of common stock, par value $0.001 per share, was declared effective by the Securities and Exchange Commission (“SEC”). The Company’s common stock began trading on March 4, 2021 on the Nasdaq Stock Market LLC (“NASDAQ”) under the ticker symbol “INNV”.</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March 8, 2021, we completed our IPO in which we issued and sold 16,666,667 shares of our common stock at an offering price of $21.00 per share. In addition, the underwriters had the option to purchase 2,500,000 additional shares of common stock, and on March 9, 2021, the underwriters exercised the option to purchase 2,329,234 shares of common stock. We received net proceeds of $370.5 million, after deducting underwriting discounts and commissions of $23.9 million and deferred offering costs of $4.5 million. Deferred, direct offering costs were capitalized and consisted of fees and expenses incurred in connection with the sale of our common stock in the IPO, including the legal, accounting, printing and other offering related costs. Upon completion of the IPO, these deferred offering costs were reclassified from current assets to stockholders’ equity and recorded against the net proceeds from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Preparation and Principles of Consolidation</w:t>
      </w:r>
    </w:p>
    <w:p>
      <w:pPr>
        <w:spacing w:after="0" w:line="18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U.S. (GAAP). The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60" w:right="59" w:firstLine="243"/>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useful lives of property and equipment and the valuation of goodwill and intangible assets; risk-score adjustments to participant revenues; reported and estimated claims; accruals; the determination of assumptions for stock-based compensation costs; deferred taxes, including the determination of a need for a valuation allowance; valuation of the contingent consideration; legal contingencies, including medical malpractice claims; the determination of fair value of net assets acquired in a business combination; and other fair value measurements. Actual results may differ from previously estimated amounts.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Cash and cash equivalents consist of cash and financial instruments issued by major financial institutions that have an original maturity of less than three months. Amounts are reported in the consolidated balance sheets at cost, which approximates fair value.</w:t>
      </w:r>
    </w:p>
    <w:p>
      <w:pPr>
        <w:spacing w:after="0" w:line="15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 credit quality financial institutions and are primarily in demand deposit accounts. The FDIC insurance coverage is $250,000 on the aggregate of interest bearing and non-interest bearing accounts.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Investments do not have a readily determinable fair value and are carried at cost, less impairment plus or minus any changes resulting from observable price changes in orderly transactions for the identical or similar investment of the same issuer. Investments are evaluated for impairment each reporting period using a qualitative assessment of impairment indicators. If impairment indicators are present, the investment will be written down to its fair value and the difference between its fair value and carrying value will be recorded in net income. No impairment indicators were present for the fiscal year ended June 30, 2021. The Company had investments of $2.6 million as of both June 30, 2021 and 2020. See Note 7 for more information.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Restricted cash includes (1) cash held in certificates of deposit of $2.2 million and collateral for letters of credit of $1.6 million as of June 30, 2021 and 2020, respectively, and (2) cash held for participants who have established a personal-needs account to pay for nonmedical personal expenses, payment of which only occurs upon participant authorization, in the amount of approximately $0.02 million as of both June 30, 2021 and 2020. The Company records a related deposit liability for any participant contributions to these personal-needs accounts in accounts payable and accrued expenses in the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provides comprehensive health care services to participants on the basis of capitated or fixed fees per participant that are paid monthly by Medicare, Medicaid, the VA, and private pay sources. The concentration of net receivables from participants and third-party payers as of June 30, 2021 and 2020 was as follows:</w:t>
      </w:r>
    </w:p>
    <w:p>
      <w:pPr>
        <w:spacing w:after="0" w:line="1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Medicare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9"/>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Accounts are written off as bad debts when they are deemed uncollectible based upon individual credit evaluations and specific circumstances underlying the accounts. The balance of the allowance for uncollectible accounts was $4.4 million as of June 30, 2021, compared to $6.4 million as of June 30, 2020.</w:t>
      </w:r>
    </w:p>
    <w:p>
      <w:pPr>
        <w:spacing w:after="0" w:line="15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fiscal year 2021, the Company and the Colorado Department of Health Care Policy &amp; Financing (“HCPF”) completed the reconciliation for fiscal years 2018 and 2019. The reconciliation resulted in a reduction of accounts receivable of $17.0 million and due to Medicaid of $13.6 million, which was recorded in fiscal year 2021. The Company does not expect adjustments related to the reconciliation to be significant in future periods.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and amortization are recorded using the straight-line method over the shorter of estimated useful lives or lease terms, if the assets are being leased.</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were comprised of the following as of June 30:</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388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104,724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Equipment and vehicles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ind w:left="20"/>
              <w:spacing w:after="0"/>
              <w:rPr>
                <w:sz w:val="20"/>
                <w:szCs w:val="20"/>
                <w:color w:val="auto"/>
              </w:rPr>
            </w:pPr>
            <w:r>
              <w:rPr>
                <w:rFonts w:ascii="Arial" w:cs="Arial" w:eastAsia="Arial" w:hAnsi="Arial"/>
                <w:sz w:val="18"/>
                <w:szCs w:val="18"/>
                <w:color w:val="auto"/>
                <w:w w:val="99"/>
              </w:rPr>
              <w:t>- 7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187,491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142,715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Depreciation of $11.6 million and $10.6 million was recorded during the fiscal years ended June 30, 2021 and 2020,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spacing w:after="0" w:line="16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fiscal year 2020, the Company terminated the lease agreement at our Roosevelt Pennsylvania location, which resulted in a write off of leasehold improvements of $1.1 million which is disclosed within other income (expense) on the consolidated statement of operations.</w:t>
      </w:r>
    </w:p>
    <w:p>
      <w:pPr>
        <w:spacing w:after="0" w:line="143"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costs of acquiring or developing internal-use software, including directly related payroll costs for internal resources, are capitalized. Software maintenance and training costs are expensed in the period incurred.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is capitalized on construction projects, including internal-use software development projects, while in progress. During the fiscal years ended June 30, 2021 and 2020, the Company capitalized interest of approximately $1.0 million and $0.1 million, respectively.</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When property and equipment are retired or otherwise disposed of, the cost and accumulated depreciation are removed from the consolidated balance sheets, and the resulting gain or loss, if any, is reflected in the consolidated statements of operations. Long-lived assets are evaluated for impairment whenever events or changes in circumstances indicate the carrying value of an asset may not be recoverable. No impairment charges were recorded in the fiscal years ended June 30, 2021 or 2020.</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uses the equity method to account for investments in entities that it does not control, but in which it has the ability to exercise significant influence over operating and financial policies. The Company’s investments in these nonconsolidated entities is reflected in the Company’s consolidated balance sheets under the equity method, and the Company’s proportionate net income (loss), if any, is included in the Company’s consolidated statements of operations as equity income (loss).</w:t>
      </w:r>
    </w:p>
    <w:p>
      <w:pPr>
        <w:spacing w:after="0" w:line="16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There were no write-downs in the fiscal years ended June 30, 2021 or 2020.</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 A component of an operating segment is a reporting unit if the component constitutes a business for which discrete financial information is available and segment management regularly reviews the operating results of that component. The Company has three reporting units for evaluating goodwill impairment.</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2021 and 2020.</w:t>
      </w:r>
    </w:p>
    <w:p>
      <w:pPr>
        <w:spacing w:after="0" w:line="17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Reported and Estimated Claims</w:t>
      </w:r>
    </w:p>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 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records contingent consideration at the time of agreement and records changes in the fair value of contingent consideration each reporting period in the consolidated statements of operations as a component of other operating expense (income).</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year ended June 30, 2021, we paid contingent consideration relating to our acquisition of NewCourtland, as defined and described in Note 4. During the year ended June 30, 2020, we paid contingent consideration related to (i) the acquisition of Riverside and (ii) acquisition of Charlottesville, each as defined and described in Note 4. There are no amounts outstanding related to contingent consideration as of June 30, 2021.</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Treasury stock purchases are accounted for under the cost method where the entire cost of the acquired stock is recorded as treasury stock. Gains and losses on the subsequent reissuance of shares are credited or charged to paid-in-capital in excess of par value using the average-cost method.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Company’s PACE operating segment provides comprehensive health care services to participants on the basis of fixed or capitated fees per participant that are paid monthly by Medicare, Medicaid, the VA, and private pay sources. 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agreements have been executed for the periods (i) January 1, 2021 through December 31, 2021 for California and (ii) July 1, 2021 through June 30, 2022 for all other states except Pennsylvania, for which we are currently operating in good standing under the 2020 amended agreement while the agency finalizes its 2021 amendment. Capitation payments are recognized as revenue in the period in which the services are provided.</w:t>
      </w:r>
    </w:p>
    <w:p>
      <w:pPr>
        <w:spacing w:after="0" w:line="14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Capitation payments received for PACE participants under Medicare Advantage plans are subject to retroactive premium risk adjustments based upon various factors. The Company estimates the amount of current-year adjustments in revenues. As final settlements are determined by CMS, we record any corresponding retroactive adjustments.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Capitation revenues may be subject to adjustment as a result of examination by government agencies or contractors.</w:t>
      </w:r>
    </w:p>
    <w:p>
      <w:pPr>
        <w:spacing w:after="0" w:line="22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audit process and the resolution of significant related matters as a result of these examinations often are not finalized until several years after the services are rendered. Any adjustments resulting from these examinations are recorded in the period the Company is notified of them.</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At times, the Company accepts participants into the program pending final authorization from Medicaid. If Medicaid coverage is later denied and there are no alternative resources available to pay for services, the participant is disenrolled. Any costs incurred on behalf of these participants were nominal in the fiscal years ended June 30, 2021 and 2020.</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Adoption of ASC 606, Revenue from Contracts with Customers</w:t>
      </w:r>
    </w:p>
    <w:p>
      <w:pPr>
        <w:spacing w:after="0" w:line="225" w:lineRule="exact"/>
        <w:rPr>
          <w:sz w:val="20"/>
          <w:szCs w:val="20"/>
          <w:color w:val="auto"/>
        </w:rPr>
      </w:pPr>
    </w:p>
    <w:p>
      <w:pPr>
        <w:jc w:val="both"/>
        <w:ind w:left="60" w:right="59" w:firstLine="459"/>
        <w:spacing w:after="0" w:line="272" w:lineRule="auto"/>
        <w:rPr>
          <w:sz w:val="20"/>
          <w:szCs w:val="20"/>
          <w:color w:val="auto"/>
        </w:rPr>
      </w:pPr>
      <w:r>
        <w:rPr>
          <w:rFonts w:ascii="Arial" w:cs="Arial" w:eastAsia="Arial" w:hAnsi="Arial"/>
          <w:sz w:val="17"/>
          <w:szCs w:val="17"/>
          <w:color w:val="auto"/>
        </w:rPr>
        <w:t xml:space="preserve">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requires companies to exercise more judgment and recognize revenue using a five-step process. The Company adopted ASC 606 using the modified retrospective method for all contracts effective July 1, 2020. Under the modified retrospective method, the Company applied ASC 606 to contracts that were not complete as of July 1, 2020 and recognized the cumulative effect of initially applying the standard as an adjustment to the opening balance of accumulated deficit. Prior periods were not adjusted. No cumulative-effect adjustment in retained earnings was recorded as the adoption of ASC 606 did not materially impact the Company’s consolidated financial statements or results of operations.</w:t>
      </w:r>
    </w:p>
    <w:p>
      <w:pPr>
        <w:spacing w:after="0" w:line="177" w:lineRule="exact"/>
        <w:rPr>
          <w:sz w:val="20"/>
          <w:szCs w:val="20"/>
          <w:color w:val="auto"/>
        </w:rPr>
      </w:pPr>
    </w:p>
    <w:p>
      <w:pPr>
        <w:jc w:val="both"/>
        <w:ind w:left="60" w:right="59" w:firstLine="459"/>
        <w:spacing w:after="0" w:line="273"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jc w:val="both"/>
        <w:ind w:left="60" w:right="59" w:firstLine="459"/>
        <w:spacing w:after="0" w:line="259" w:lineRule="auto"/>
        <w:rPr>
          <w:sz w:val="20"/>
          <w:szCs w:val="20"/>
          <w:color w:val="auto"/>
        </w:rPr>
      </w:pPr>
      <w:r>
        <w:rPr>
          <w:rFonts w:ascii="Arial" w:cs="Arial" w:eastAsia="Arial" w:hAnsi="Arial"/>
          <w:sz w:val="18"/>
          <w:szCs w:val="18"/>
          <w:color w:val="auto"/>
        </w:rPr>
        <w:t>Revenues for the year ended June 30, 2020 were presented under ASC 605, Revenue Recognition (“ASC 605”). Under ASC 605, the Company recognized revenue when all of the following criteria were met: Persuasive evidence of an arrangement exists; the sales price is fixed or determinable; collection is reasonably assured; and services have been rendered.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Capitation Revenue and Accounts Receivable</w:t>
      </w:r>
    </w:p>
    <w:p>
      <w:pPr>
        <w:spacing w:after="0" w:line="225"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PMPM basis. We receive 100% of the pooled capitated payment to directly provide or manage the healthcare needs of our participants.</w:t>
      </w:r>
    </w:p>
    <w:p>
      <w:pPr>
        <w:spacing w:after="0" w:line="188" w:lineRule="exact"/>
        <w:rPr>
          <w:sz w:val="20"/>
          <w:szCs w:val="20"/>
          <w:color w:val="auto"/>
        </w:rPr>
      </w:pPr>
    </w:p>
    <w:p>
      <w:pPr>
        <w:jc w:val="both"/>
        <w:ind w:left="60" w:right="59" w:firstLine="500"/>
        <w:spacing w:after="0" w:line="311" w:lineRule="auto"/>
        <w:rPr>
          <w:sz w:val="20"/>
          <w:szCs w:val="20"/>
          <w:color w:val="auto"/>
        </w:rPr>
      </w:pPr>
      <w:r>
        <w:rPr>
          <w:rFonts w:ascii="Arial" w:cs="Arial" w:eastAsia="Arial" w:hAnsi="Arial"/>
          <w:sz w:val="16"/>
          <w:szCs w:val="16"/>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49" w:lineRule="exact"/>
        <w:rPr>
          <w:sz w:val="20"/>
          <w:szCs w:val="20"/>
          <w:color w:val="auto"/>
        </w:rPr>
      </w:pPr>
    </w:p>
    <w:p>
      <w:pPr>
        <w:jc w:val="both"/>
        <w:ind w:left="60" w:right="59" w:firstLine="500"/>
        <w:spacing w:after="0" w:line="275" w:lineRule="auto"/>
        <w:rPr>
          <w:sz w:val="20"/>
          <w:szCs w:val="20"/>
          <w:color w:val="auto"/>
        </w:rPr>
      </w:pPr>
      <w:r>
        <w:rPr>
          <w:rFonts w:ascii="Arial" w:cs="Arial" w:eastAsia="Arial" w:hAnsi="Arial"/>
          <w:sz w:val="17"/>
          <w:szCs w:val="17"/>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76" w:lineRule="exact"/>
        <w:rPr>
          <w:sz w:val="20"/>
          <w:szCs w:val="20"/>
          <w:color w:val="auto"/>
        </w:rPr>
      </w:pPr>
    </w:p>
    <w:p>
      <w:pPr>
        <w:jc w:val="both"/>
        <w:ind w:left="60" w:right="59" w:firstLine="500"/>
        <w:spacing w:after="0" w:line="275" w:lineRule="auto"/>
        <w:rPr>
          <w:sz w:val="20"/>
          <w:szCs w:val="20"/>
          <w:color w:val="auto"/>
        </w:rPr>
      </w:pPr>
      <w:r>
        <w:rPr>
          <w:rFonts w:ascii="Arial" w:cs="Arial" w:eastAsia="Arial" w:hAnsi="Arial"/>
          <w:sz w:val="17"/>
          <w:szCs w:val="17"/>
          <w:color w:val="auto"/>
        </w:rPr>
        <w:t>Our revenues are based on the estimated per member, per month (“PMPM”) amounts we expect to be entitled to receive from the capitated fees per participant that are paid monthly by Medicare, Medicaid, the VA, and private pay sources. Medicaid and Medicare capitation revenues are based on per-member, per-month capitation rates under the PACE program. VA is included in “Private Pay and other” and is also capitated. Private pay includes direct payments from participants who do not qualify for the full capitated rate and have to pay all or a portion of the capitated rate.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disaggregates capitation revenue from the following sources for the year ended June 30:</w:t>
      </w:r>
    </w:p>
    <w:p>
      <w:pPr>
        <w:spacing w:after="0" w:line="8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Medicaid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Medicare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60"/>
              <w:spacing w:after="0"/>
              <w:rPr>
                <w:sz w:val="20"/>
                <w:szCs w:val="20"/>
                <w:color w:val="auto"/>
              </w:rPr>
            </w:pPr>
            <w:r>
              <w:rPr>
                <w:rFonts w:ascii="Arial" w:cs="Arial" w:eastAsia="Arial" w:hAnsi="Arial"/>
                <w:sz w:val="18"/>
                <w:szCs w:val="18"/>
                <w:color w:val="auto"/>
              </w:rPr>
              <w:t>* Less than 1%</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500"/>
        <w:spacing w:after="0" w:line="259" w:lineRule="auto"/>
        <w:rPr>
          <w:sz w:val="20"/>
          <w:szCs w:val="20"/>
          <w:color w:val="auto"/>
        </w:rPr>
      </w:pPr>
      <w:r>
        <w:rPr>
          <w:rFonts w:ascii="Arial" w:cs="Arial" w:eastAsia="Arial" w:hAnsi="Arial"/>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accounts receivable as of June 30, 2021 and 2020 is primarily from capitation revenue arrangements.</w:t>
      </w:r>
    </w:p>
    <w:p>
      <w:pPr>
        <w:spacing w:after="0" w:line="237"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8" w:lineRule="exact"/>
        <w:rPr>
          <w:sz w:val="20"/>
          <w:szCs w:val="20"/>
          <w:color w:val="auto"/>
        </w:rPr>
      </w:pPr>
    </w:p>
    <w:p>
      <w:pPr>
        <w:jc w:val="both"/>
        <w:ind w:left="60" w:right="59" w:firstLine="500"/>
        <w:spacing w:after="0" w:line="291" w:lineRule="auto"/>
        <w:rPr>
          <w:sz w:val="20"/>
          <w:szCs w:val="20"/>
          <w:color w:val="auto"/>
        </w:rPr>
      </w:pPr>
      <w:r>
        <w:rPr>
          <w:rFonts w:ascii="Arial" w:cs="Arial" w:eastAsia="Arial" w:hAnsi="Arial"/>
          <w:sz w:val="16"/>
          <w:szCs w:val="16"/>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(i) 12% and 11% of capitation revenues for the years ended June 30, 2021 and 2020, respectively, and (ii) 21% and 19% of external provider costs for the years ended June 30, 2021 and 2020, respectively.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Other Service Revenue and Accounts Receivable</w:t>
      </w:r>
    </w:p>
    <w:p>
      <w:pPr>
        <w:spacing w:after="0" w:line="225" w:lineRule="exact"/>
        <w:rPr>
          <w:sz w:val="20"/>
          <w:szCs w:val="20"/>
          <w:color w:val="auto"/>
        </w:rPr>
      </w:pPr>
    </w:p>
    <w:p>
      <w:pPr>
        <w:jc w:val="both"/>
        <w:ind w:left="60" w:right="59" w:firstLine="500"/>
        <w:spacing w:after="0" w:line="311" w:lineRule="auto"/>
        <w:rPr>
          <w:sz w:val="20"/>
          <w:szCs w:val="20"/>
          <w:color w:val="auto"/>
        </w:rPr>
      </w:pPr>
      <w:r>
        <w:rPr>
          <w:rFonts w:ascii="Arial" w:cs="Arial" w:eastAsia="Arial" w:hAnsi="Arial"/>
          <w:sz w:val="16"/>
          <w:szCs w:val="16"/>
          <w:color w:val="auto"/>
        </w:rPr>
        <w:t>Other service revenue is comprised of rents earned related to Senior Housing and other fee for service revenue. Other service revenue was 0.4% of total revenue for each of the years ended June 30, 2021 and 2020. Accounts receivable related to other service revenue were not significant as of both June 30, 2021 and 2020,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As our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revenue. The Company had minimal unsatisfied performance obligations at the end of the reporting periods as our participants have received services through the end of the reporting period.</w:t>
      </w:r>
    </w:p>
    <w:p>
      <w:pPr>
        <w:spacing w:after="0" w:line="188" w:lineRule="exact"/>
        <w:rPr>
          <w:sz w:val="20"/>
          <w:szCs w:val="20"/>
          <w:color w:val="auto"/>
        </w:rPr>
      </w:pPr>
    </w:p>
    <w:p>
      <w:pPr>
        <w:jc w:val="both"/>
        <w:ind w:left="60" w:right="59" w:firstLine="500"/>
        <w:spacing w:after="0" w:line="263" w:lineRule="auto"/>
        <w:rPr>
          <w:sz w:val="20"/>
          <w:szCs w:val="20"/>
          <w:color w:val="auto"/>
        </w:rPr>
      </w:pPr>
      <w:r>
        <w:rPr>
          <w:rFonts w:ascii="Arial" w:cs="Arial" w:eastAsia="Arial" w:hAnsi="Arial"/>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Professional Liability Claims</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 records a liability for medical malpractice claims based on estimated probable losses and costs associated with settling these claims and a receivable to reflect the estimated insurance recoveries, if any. See Note 12.</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Total advertising expenses were $6.5 million and $8.0 million for the fiscal years ended June 30, 2021 and 2020, respectively.</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long-term equity incentive plans that provide for stock-based compensation, including the granting of stock options, profits interest units and restricted stock units to employees, directors, consultants, or advisers, as determined by each of the respective plans.</w:t>
      </w:r>
    </w:p>
    <w:p>
      <w:pPr>
        <w:spacing w:after="0" w:line="143"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 utilizes the Black-Scholes option-pricing model to determine the fair value of the stock options on the date of grant. This model derives the fair value of the options based on certain assumptions related to expected stock price volatility, expected option life, risk-free interest rate, and dividend yield. The Company uses the Monte Carlo option model to determine the fair value of the granted profits interests units.</w:t>
      </w:r>
    </w:p>
    <w:p>
      <w:pPr>
        <w:spacing w:after="0" w:line="14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For service-vesting awards, we recognize stock-based compensation expense over the requisite service period, which is generally the vesting period of the respective award, on a straight-line basis. If the award was, in substance, multiple awards, we recognize stock-based compensation expense over the requisite service period for each separately vesting portion of the awards. For performance-vesting awards, we recognize stock-based compensation expense when it is probable that the performance condition will be achieved. We analyze if a performance condition is probable for each reporting period through the settlement date for awards subject to performance vesting. Stock-based compensation is included in corporate, general and administrative expenses on our consolidated statements of operations.</w:t>
      </w:r>
    </w:p>
    <w:p>
      <w:pPr>
        <w:spacing w:after="0" w:line="13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Shares issued pursuant to our equity incentive plans, as described in Note 13, are issued from authorized but unissued shares or from shares, if any, held by the Company as treasury stock. See Note 13.</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InnovAge Sacramento have elected to be taxed as partnerships, and no provision for income taxes for SH1 or InnovAge Sacramento is included in these consolidated financial statements.</w:t>
      </w:r>
    </w:p>
    <w:p>
      <w:pPr>
        <w:spacing w:after="0" w:line="13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Variable Interest Entities (VIE)</w:t>
      </w:r>
    </w:p>
    <w:p>
      <w:pPr>
        <w:spacing w:after="0" w:line="18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 VIE is defined as a legal entity whose equity owners do not have sufficient equity at risk or whose equity owners lack certain decision-making and economic rights. The primary beneficiary is identified as the variable interest holder that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has both the power to direct the activities of the VIE that most significantly affect the entity’s economic performance and the obligation to absorb losses or the right to receive benefits from the entity. The primary beneficiary is required to consolidate the VIE. SH1 and PWD, each as defined and described in Note 5, are considered to be VIEs. The Company is not considered the primary beneficiary of PWD but is considered the primary beneficiary of SH1.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Disease ("COVID-19") Pandemic</w:t>
      </w:r>
    </w:p>
    <w:p>
      <w:pPr>
        <w:spacing w:after="0" w:line="18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continue to take additional steps to avoid or reduce infection, including limiting travel and working from home. These measures are continuing to disrupt normal business operations both in and outside of affected areas and have had significant negative impacts on businesses worldwide. As a PACE company, we have been and will continue to be impacted by the effects of COVID-19; however, we remain committed to carrying out our mission of caring for our participants. We continue to closely monitor the impact of COVID-19 on all aspects of our business, including the impacts to our employees, participants and suppliers; however, at this time, we are unable to estimate the ultimate impact the pandemic will have on our consolidated financial condition, results of operations or cash flows.</w:t>
      </w:r>
    </w:p>
    <w:p>
      <w:pPr>
        <w:spacing w:after="0" w:line="13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March 27, 2020, the Coronavirus Aid, Relief, and Economic Security Act (“CARES Act”) was signed into legislation. The CARES Act provided for $100.0 billion of funding to healthcare providers, including hospitals on the front lines of the COVID-19 pandemic. Under the CARES Act, the state of Pennsylvania signed into law the Act 24 of 2020, which allocates $10.0 million of funding from the federal CARES Act to managed long-term care organizations. Funding from the Act 24 of 2020 was required to be used to cover necessary COVID-19 related costs incurred between March 1, 2020 and November 30, 2020 for entities in operation as of March 31, 2020. Our Pennsylvania centers were granted $1.0 million of funding from Act 24. During the year ended June 30, 2020, we recognized $0.7 million of such funds as a reduction of expense within our consolidated statement of operations, with the remaining $0.3 million recognized during the year ended June 30, 2021. The CARES Act also provided for the temporary suspension of the automatic 2% reduction of Medicare claim reimbursements (sequestration) for the period of May 1, 2020 through December 31,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In May 2014, the FASB issued Accounting Standards Update (“ASU”) 2014-09 (“ASU 2014-09”), and has since issued various amendments which provide additional clarification and implementation guidance to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which superseded revenue recognition guidance in ASC 605. ASU 2014-09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to recognize the amount of revenue to which it expects to be entitled for the transfer of promised goods or services to customers.</w:t>
      </w:r>
    </w:p>
    <w:p>
      <w:pPr>
        <w:spacing w:after="0" w:line="22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This guidance is effective for the annual reporting period beginning July 1, 2020, and interim reporting periods within the annual reporting period beginning July 1, 2021. Effective July 1, 2020, the Company adopted ASU 2014-09 using the modified retrospective method applied to those contracts which were not completed as of June 30, 2020. As a result of electing the modified retrospective adoption approach, results for reporting periods beginning after July 1, 2020 are presented under ASC 606. There was no material impact upon the adoption of ASC 606, therefore the Company did not record any adjustments to retained earnings at July 1, 2020 or for any periods previously presented.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Non-employee Awards</w:t>
      </w:r>
    </w:p>
    <w:p>
      <w:pPr>
        <w:spacing w:after="0" w:line="18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(ASU 2018-07), which simplifies the accounting for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for goods and services. The effective date for this amendment is for fiscal years beginning after December 15, 2019. Early adoption is permitted, but no earlier than a reporting entity’s adoption date of ASC 606.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Company adopted ASC 606 and ASU 2018-07 on July 1, 2020. The adoption did not have a material impact on the Company’s consolidated financial statements.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Codification Improvements</w:t>
      </w:r>
    </w:p>
    <w:p>
      <w:pPr>
        <w:spacing w:after="0" w:line="19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July 2018, the FASB issued ASU 2018-09, Codification Improvements (“ASU 2018-09”), which made minor amendments to the codification in order to correct errors, eliminate inconsistencies and provide clarifications in current guidance. ASU 2018-09 amends Subtopics 470-50, Debt Modifications and Extinguishments, and 718-40, Compensation-Stock Compensation-Income Taxes, among other Topics amended within the update. Several of the Topics within the ASU were effective immediately upon issuance of ASU 2018-09, however, some amendments require transition guidance which is effective for nonpublic business entities for fiscal years after beginning after December 15, 2019. The Company adopted the new guidance on July 1, 2020, noting no impact on its consolidated financial statements and related disclosures.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August 2018, the FASB issued ASC 2018-13, Fair Value Measurement (Topic 820): Disclosure Framework – Changes to the Disclosure for Fair Value Measurement (“ASU 2018-13”), which modifies the disclosure requirements on fair value measurements. ASU 2018-13 is effective for all entities for fiscal years beginning after December 15, 2019, including interim periods within those fiscal years, with partial early adoption permitted for eliminated disclosures. The method of adoption varies by the disclosure. The Company adopted the new guidance on June 1, 2020, noting no impact on its consolidated financial statements and related disclosures.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was intended to increase transparency and comparability among organizations by recognizing lease assets and liabilities on the balance sheet and disclosing key information about leasing arrangements. Under the new guidance, lessees will be required to recognize a right-of-use asset and a lease liability, measured on a discounted basis, at the commencement date for all leases with terms greater than 12 months. Additionally, this guidance will require disclosures to help investors and other financial statement users to better understand the amount, timing, and uncertainty of cash flows arising from leases, including qualitative and quantitative requirements. The guidance should be applied under a modified retrospective transition approach for leases existing at the beginning of the earliest comparative period presented in the adoption-period financial statements. Any leases that expire before the initial application date will not require any accounting adjustment. In June 2020, FASB issued ASU 2020-05 </w:t>
      </w:r>
      <w:r>
        <w:rPr>
          <w:rFonts w:ascii="Arial" w:cs="Arial" w:eastAsia="Arial" w:hAnsi="Arial"/>
          <w:sz w:val="16"/>
          <w:szCs w:val="16"/>
          <w:i w:val="1"/>
          <w:iCs w:val="1"/>
          <w:color w:val="auto"/>
        </w:rPr>
        <w:t>Revenue from contracts with customers (Topic 606) and leases (Topic 842)—Effective dates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entities </w:t>
      </w:r>
      <w:r>
        <w:rPr>
          <w:rFonts w:ascii="Arial" w:cs="Arial" w:eastAsia="Arial" w:hAnsi="Arial"/>
          <w:sz w:val="16"/>
          <w:szCs w:val="16"/>
          <w:color w:val="auto"/>
        </w:rPr>
        <w:t>which deferred the new lease standard effective date for the Company to December 15, 2022, with early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The Company has not yet determined the effect of the standard on its ongoing financial reporting.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Instruments</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w:t>
      </w:r>
      <w:r>
        <w:rPr>
          <w:rFonts w:ascii="Arial" w:cs="Arial" w:eastAsia="Arial" w:hAnsi="Arial"/>
          <w:sz w:val="17"/>
          <w:szCs w:val="17"/>
          <w:color w:val="auto"/>
        </w:rPr>
        <w:t>, which requires entities to use a</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The ASU is effective for private companies to fiscal years beginning after December 15, 2022, including interim periods within those fiscal years. The Company will adopt this guidance for the annual and interim reporting periods beginning July 1, 2023. The Company has not determined the effect of the standard on its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December 2019, the FASB issued ASU 2019-12, “Income Taxes Topic 740-Simplifying the Accounting for Income Taxes” (“ASU 2019-12”), which intended to simplify various aspects related to accounting for income taxes. ASU 2019-12 removes certain exceptions to the general principles in Topic 740 and also clarifies and amends existing guidance to improve consistent application of Topic 740. This guidance is effective for fiscal years beginning after December 15, 2020, including interim periods therein, and early adoption is permitted. Adoption of ASU 2019-12 is not expected to have a material effect on the Company’s consolidated financial statements.</w:t>
      </w:r>
    </w:p>
    <w:p>
      <w:pPr>
        <w:spacing w:after="0" w:line="13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do not expect that any other recently issued accounting guidance will have a significant effect on our consolidated financial statements.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July 27, 2020, the Company, Ignite Aggregator LP (“Purchaser”), and the former equity holders of the Company (“Sellers”) entered into a Securities Purchase Agreement (the “Agreement”), effective July 27, 2020. Under the terms of the Agreement, the Sellers sold a portion of their equity interest to the Purchaser. The Purchaser and the Sellers then contributed their equity interests in the Company to a newly formed limited partnership, TCO Group Holdings, L.P. (the “LP”) resulting in the Company being wholly owned by the LP.</w:t>
      </w:r>
    </w:p>
    <w:p>
      <w:pPr>
        <w:spacing w:after="0" w:line="14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Concurrently with the entry into the Agreement, the Company amended and restated its 2016 Credit Agreement (as defined below), see Note 10 for further discussion. A portion of the proceeds from the 2016 Credit Agreement were used by the Company to repurchase 16,095,819 shares of its common stock for $77.6 million from certain members of management, including certain members of the Board of Directors, and certain members of our equity partner. The common stock was then recognized as Treasury stock. The Treasury stock was retired in March 2021, see Note 14.</w:t>
      </w:r>
    </w:p>
    <w:p>
      <w:pPr>
        <w:spacing w:after="0" w:line="13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Additionally, as part of the Agreement, the Company executed an Option Cancellation Agreement (the “Cancellation Agreement”), which canceled the Company’s common stock option awards of 16,994,975 granted under the 2016 Equity Incentive Plan for $74.6 million. Such cancellation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expense and the remainder being recorded as a reduction to Additional paid-in capital. Of the total settlement, $45.4 million was recorded as Corporate, general and administrative expense and $32.4 million was recorded as a reduction to Additional paid-in capital. The Cancellation Agreement resulted in the option holders receiving the same amount of cash that they would have received had they exercised their options, participated in the repurchase described above and sold their remaining shares.</w:t>
      </w:r>
    </w:p>
    <w:p>
      <w:pPr>
        <w:spacing w:after="0" w:line="13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part of the transaction, the Company incurred $22.6 million in transaction costs, of which $13.1 million was recognized as Corporate, general and administrative expense and $9.5 million was recognized as a distribution to owner as the costs were paid on behalf of the owners.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Contribution</w:t>
      </w:r>
    </w:p>
    <w:p>
      <w:pPr>
        <w:spacing w:after="0" w:line="19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On October 15, 2020, Finback Pace, LP contributed $20.0 million for an investment in the LP, which in turn contributed the funds to the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Acquisitions</w:t>
      </w:r>
    </w:p>
    <w:p>
      <w:pPr>
        <w:spacing w:after="0" w:line="18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than the consolidation of InnovAge Sacramento, which we accounted for as a step-acquisition and is described in Note 6, there were no acquisitions executed during the fiscal years 2020 or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Payments Pursuant to Acquisition Agreements</w:t>
      </w:r>
    </w:p>
    <w:p>
      <w:pPr>
        <w:spacing w:after="0" w:line="19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During the fiscal year ended June 30, 2019, the Company finalized the acquisition of NewCourtland LIFE Program (“NewCourtland”) in Pennsylvania. The Company paid a base purchase price of $30 million, subject to certain net working capital and closing adjustments plus deferred cash consideration of up to $20 million. On March 8, 2021, we completed our IPO, which satisfied the condition that the Company sell equity securities pursuant to an effective registration statement. Accordingly, $20.0 million of contingent consideration was paid under the terms of the acquisition agreement.</w:t>
      </w:r>
    </w:p>
    <w:p>
      <w:pPr>
        <w:spacing w:after="0" w:line="16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fiscal year ended June 30, 2019, the Company finalized the acquisition of two Virginia PACE centers formerly part of Riverside Healthcare Association, Inc.’s PACE Program (“Riverside”). The Company paid a base purchase price of $6.8 million, subject to certain net working capital and closing adjustments. The Company finalized the net working capital and closing adjustment calculations during the fiscal year ended June 30, 2020, which resulted in the Company paying an additional $0.3 million to Riverside.</w:t>
      </w:r>
    </w:p>
    <w:p>
      <w:pPr>
        <w:spacing w:after="0" w:line="14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During the fiscal year ended June 30, 2019, the Company finalized the acquisition of Charlottesville Area Retirement Services, Inc. (“Charlottesville”). The Company paid a base purchase price of $5.26 million, subject to certain net working capital and closing adjustments. The Company finalized the net working capital and closing adjustment calculations during the fiscal year ended June 30, 2020, which resulted in the Company paying an additional $0.3 million to Charlottesville.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Variable Interest Entity</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Pinewood Lodge, LLP (“PWD”)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included in equity method investments in the accompanying consolidated balance sheets. The equity earnings of PWD are insignificant. The balance of the Company’s investment in PWD is $0.8 million, which represents the maximum exposure to loss.</w:t>
      </w:r>
    </w:p>
    <w:p>
      <w:pPr>
        <w:spacing w:after="0" w:line="15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InnovAge Senior Housing Thornton, LLC (“SH1”) is a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the assets and liabilities of SH1 as of June 30:</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6"/>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4"/>
          </w:tcPr>
          <w:p>
            <w:pPr>
              <w:jc w:val="right"/>
              <w:ind w:right="392"/>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69"/>
        </w:trPr>
        <w:tc>
          <w:tcPr>
            <w:tcW w:w="43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10,164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 and other, net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Current portion long-term debt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Long-term debt, net of debt issuance costs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Nonconsolidated Entities</w:t>
      </w:r>
    </w:p>
    <w:p>
      <w:pPr>
        <w:spacing w:after="0" w:line="18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Prior to January 1, 2021, the Company had two nonconsolidated equity method investments; PWD and InnovAge Sacramento.</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26.41% and 13.69%, respectively. The Company made an additional contribution of $52,000 to obtain an additional 0.1% membership interest in the joint venture. With the acquisition of the additional 0.1% membership interest, the Company obtained control of InnovAge Sacramento effective January 1, 2021. Accordingly, beginning January 1, 2021, the results of InnovAge Sacramento are included in our consolidated results of operations.</w:t>
      </w:r>
    </w:p>
    <w:p>
      <w:pPr>
        <w:spacing w:after="0" w:line="15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June 30, 2021, none of the conditions specified in the JV Agreement had been met.</w:t>
      </w:r>
    </w:p>
    <w:p>
      <w:pPr>
        <w:spacing w:after="0" w:line="14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At the consummation of the JV Agreement, the Company issued to Adventist, warrants (the “Sacramento Warrants”) to purchase 5% of the Company’s issued and outstanding common stock, par value $0.001 at an exercise price equal to the fair market value per share at the time of exercise of this warrant. The Sacramento Warrants fully vest on the exercise date, which is defined as the date on which Adventist has made aggregate capital contributions in an amount greater than $25.0 million to one or more joint venture entities in which Adventist and the Company hold equity (the “Investment Threshold”).</w:t>
      </w:r>
    </w:p>
    <w:p>
      <w:pPr>
        <w:spacing w:after="0" w:line="15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February 9, 2021, the Company entered into an amendment agreement with our joint venture partner Adventist to amend the Sacramento Warrants. The amendment removes the Investment Threshold requirement and grants Adventist the right to purchase up to $15.0 million of the Company’s common stock at an exercise price equal to the IPO price. The warrant is exercisable for one year beginning on the date of the consummation of the IPO. As of June 30, 2021, Adventist had not exercised any warrants.</w:t>
      </w:r>
    </w:p>
    <w:p>
      <w:pPr>
        <w:spacing w:after="0" w:line="16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At inception, the Sacramento Warrants were initially determined to be equity-based payments to nonemployees and as such the measurement date for these warrants was considered to be the date when the Investment Threshold is reached. At the time of the amendment, due to the removal of the Investment Threshold, the warrants were evaluated under ASC 815-40, </w:t>
      </w:r>
      <w:r>
        <w:rPr>
          <w:rFonts w:ascii="Arial" w:cs="Arial" w:eastAsia="Arial" w:hAnsi="Arial"/>
          <w:sz w:val="16"/>
          <w:szCs w:val="16"/>
          <w:i w:val="1"/>
          <w:iCs w:val="1"/>
          <w:color w:val="auto"/>
        </w:rPr>
        <w:t>Contracts in an Entity’s Own Equity</w:t>
      </w:r>
      <w:r>
        <w:rPr>
          <w:rFonts w:ascii="Arial" w:cs="Arial" w:eastAsia="Arial" w:hAnsi="Arial"/>
          <w:sz w:val="16"/>
          <w:szCs w:val="16"/>
          <w:color w:val="auto"/>
        </w:rPr>
        <w:t>, which resulted in a liability classification from the date of the amendment through completion of our IPO, due to the variable amount of shares which could be issued. Upon completion of the IPO, the number of shares to be issued were no longer variable, which resulted in the warrants being recorded in equity. In 2021, we recorded a charge of $2.3 million, representing the fair value of the warrants from inception through the date of completion of the IPO, in other income (expense) in the condensed consolidated statement of operations.</w:t>
      </w:r>
    </w:p>
    <w:p>
      <w:pPr>
        <w:spacing w:after="0" w:line="1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Effective January 1, 2021, we obtained control of InnovAge Sacramento through acquisition of an additional 0.1% membership interest, which we consider to be a step acquisition, whereby the Company re-measured the previously held equity method investment to fair value. This resulted in a gain on consolidation of $10.9 million, which is recorded in gain on equity method investment in the condensed consolidated statement of operations. The fair value of the previously held equity investments was determined using a discounted cash flow model.</w:t>
      </w:r>
    </w:p>
    <w:p>
      <w:pPr>
        <w:spacing w:after="0" w:line="14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accounted for the transaction as a business combination, which requires that we record the assets acquired and liabilities assumed at fair value. The amount by which the purchase price exceeds the fair value of the net assets acquired is recorded as goodwill.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9"/>
        <w:spacing w:after="0" w:line="258" w:lineRule="auto"/>
        <w:rPr>
          <w:sz w:val="20"/>
          <w:szCs w:val="20"/>
          <w:color w:val="auto"/>
        </w:rPr>
      </w:pPr>
      <w:r>
        <w:rPr>
          <w:rFonts w:ascii="Arial" w:cs="Arial" w:eastAsia="Arial" w:hAnsi="Arial"/>
          <w:sz w:val="18"/>
          <w:szCs w:val="18"/>
          <w:color w:val="auto"/>
        </w:rPr>
        <w:t>The fair value of the assets acquired and net liabilities assumed in the step acquisition are as follows as of January 1, 2021:</w:t>
      </w:r>
    </w:p>
    <w:tbl>
      <w:tblPr>
        <w:tblLayout w:type="fixed"/>
        <w:tblInd w:w="9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3"/>
              <w:spacing w:after="0" w:line="141"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Reported and estimated 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to Medicaid and Medicare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Arial" w:cs="Arial" w:eastAsia="Arial" w:hAnsi="Arial"/>
                <w:sz w:val="18"/>
                <w:szCs w:val="18"/>
                <w:color w:val="auto"/>
              </w:rPr>
              <w:t>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the results of InnovAge Sacramento for the six months ended December 31, 2020.</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results of InnovAge Sacramento are consolidated beginning January 1, 2021.</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1"/>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201"/>
        </w:trPr>
        <w:tc>
          <w:tcPr>
            <w:tcW w:w="5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members’ interest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Company’s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Cost of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members’ interest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Company’s interest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The Company’s interest in net loss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Investments</w:t>
      </w:r>
    </w:p>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period ended June 30, 2021 and 2020, there were no observable price changes.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Goodwill and Intangible Assets</w:t>
      </w:r>
    </w:p>
    <w:p>
      <w:pPr>
        <w:spacing w:after="0" w:line="18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Goodwill represents the excess of cost over the fair value of net assets acquired. Pursuant to ASC 350, “Intangibles — Goodwill and Other,”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years ended June 30,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summarizes the changes in goodwill for the fiscal years ended June 30: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gridSpan w:val="3"/>
          </w:tcPr>
          <w:p>
            <w:pPr>
              <w:ind w:left="900"/>
              <w:spacing w:after="0"/>
              <w:rPr>
                <w:sz w:val="20"/>
                <w:szCs w:val="20"/>
                <w:color w:val="auto"/>
              </w:rPr>
            </w:pPr>
            <w:r>
              <w:rPr>
                <w:rFonts w:ascii="Arial" w:cs="Arial" w:eastAsia="Arial" w:hAnsi="Arial"/>
                <w:sz w:val="14"/>
                <w:szCs w:val="14"/>
                <w:i w:val="1"/>
                <w:iCs w:val="1"/>
                <w:color w:val="auto"/>
              </w:rPr>
              <w:t>in thousands</w:t>
            </w:r>
          </w:p>
        </w:tc>
        <w:tc>
          <w:tcPr>
            <w:tcW w:w="21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r>
      <w:tr>
        <w:trPr>
          <w:trHeight w:val="210"/>
        </w:trPr>
        <w:tc>
          <w:tcPr>
            <w:tcW w:w="9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$ 116,139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$ 117,268</w:t>
            </w:r>
          </w:p>
        </w:tc>
      </w:tr>
      <w:tr>
        <w:trPr>
          <w:trHeight w:val="216"/>
        </w:trPr>
        <w:tc>
          <w:tcPr>
            <w:tcW w:w="920" w:type="dxa"/>
            <w:vAlign w:val="bottom"/>
          </w:tcPr>
          <w:p>
            <w:pPr>
              <w:spacing w:after="0"/>
              <w:rPr>
                <w:sz w:val="18"/>
                <w:szCs w:val="18"/>
                <w:color w:val="auto"/>
              </w:rPr>
            </w:pPr>
          </w:p>
        </w:tc>
        <w:tc>
          <w:tcPr>
            <w:tcW w:w="3980" w:type="dxa"/>
            <w:vAlign w:val="bottom"/>
            <w:gridSpan w:val="2"/>
          </w:tcPr>
          <w:p>
            <w:pPr>
              <w:spacing w:after="0" w:line="216" w:lineRule="exact"/>
              <w:rPr>
                <w:sz w:val="20"/>
                <w:szCs w:val="20"/>
                <w:color w:val="auto"/>
              </w:rPr>
            </w:pPr>
            <w:r>
              <w:rPr>
                <w:rFonts w:ascii="Arial" w:cs="Arial" w:eastAsia="Arial" w:hAnsi="Arial"/>
                <w:sz w:val="17"/>
                <w:szCs w:val="17"/>
                <w:color w:val="auto"/>
              </w:rPr>
              <w:t>Adjustments</w:t>
            </w:r>
            <w:r>
              <w:rPr>
                <w:rFonts w:ascii="Arial" w:cs="Arial" w:eastAsia="Arial" w:hAnsi="Arial"/>
                <w:sz w:val="25"/>
                <w:szCs w:val="25"/>
                <w:color w:val="auto"/>
                <w:vertAlign w:val="superscript"/>
              </w:rPr>
              <w:t>(a)</w:t>
            </w:r>
          </w:p>
        </w:tc>
        <w:tc>
          <w:tcPr>
            <w:tcW w:w="1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(1,129)</w:t>
            </w:r>
          </w:p>
        </w:tc>
      </w:tr>
      <w:tr>
        <w:trPr>
          <w:trHeight w:val="216"/>
        </w:trPr>
        <w:tc>
          <w:tcPr>
            <w:tcW w:w="9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 during the period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9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Balance as of end of period</w:t>
            </w:r>
          </w:p>
        </w:tc>
        <w:tc>
          <w:tcPr>
            <w:tcW w:w="13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$ 124,217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$ 116,139</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76" w:lineRule="exact"/>
        <w:rPr>
          <w:sz w:val="20"/>
          <w:szCs w:val="20"/>
          <w:color w:val="auto"/>
        </w:rPr>
      </w:pPr>
    </w:p>
    <w:p>
      <w:pPr>
        <w:ind w:left="720" w:right="79" w:hanging="319"/>
        <w:spacing w:after="0" w:line="253" w:lineRule="auto"/>
        <w:tabs>
          <w:tab w:leader="none" w:pos="7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adjustment in fiscal year 2020 related to the final net working capital settlement for acquisitions that occurred during the fiscal year ended June 30, 2019.</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consisted of the following as of June 30:</w:t>
      </w:r>
    </w:p>
    <w:p>
      <w:pPr>
        <w:spacing w:after="0" w:line="2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Indefinite-lived intangible assets</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intangible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Intangible assets with a finite useful life continue to be amortized over their useful lives. The Company recorded amortization expense of $0.7 million and $0.6 million for the years ended June 30, 2021 and 2020, respectively.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total expected future annual amortization expense for the next 5 years ended June 30,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2"/>
              </w:rPr>
              <w:t>Amortization Expense</w:t>
            </w: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2021 and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189"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Property and equipment includes property under various capital leases. These leases have expiration dates ranging from July 2021 to September 2025, varying interest rates, and generally include an option to purchase the equipment at fair value at the end of the underlying lease period. The Company’s capital leases included the following:</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w w:val="96"/>
              </w:rPr>
              <w:t>June 30,</w:t>
            </w:r>
          </w:p>
        </w:tc>
        <w:tc>
          <w:tcPr>
            <w:tcW w:w="160" w:type="dxa"/>
            <w:vAlign w:val="bottom"/>
          </w:tcPr>
          <w:p>
            <w:pPr>
              <w:spacing w:after="0"/>
              <w:rPr>
                <w:sz w:val="17"/>
                <w:szCs w:val="17"/>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4"/>
          </w:tcPr>
          <w:p>
            <w:pPr>
              <w:jc w:val="right"/>
              <w:ind w:right="332"/>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 leases</w:t>
            </w: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Certain of the Company’s property and equipment is leased under operating leases. Total rental expense under operating leases was $4.5 million and $4.8 million for the year ended June 30, 2021 and 2020,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Future minimum lease payments related to (i) capital leases having initial terms of more than one year and (ii) non-cancelable operating leases as of June 30, 2021 were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Capital Leases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2023</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2025</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13,909</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1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00" w:type="dxa"/>
            <w:vAlign w:val="bottom"/>
          </w:tcPr>
          <w:p>
            <w:pPr>
              <w:ind w:left="320"/>
              <w:spacing w:after="0"/>
              <w:rPr>
                <w:sz w:val="20"/>
                <w:szCs w:val="20"/>
                <w:color w:val="auto"/>
              </w:rPr>
            </w:pPr>
            <w:r>
              <w:rPr>
                <w:rFonts w:ascii="Arial" w:cs="Arial" w:eastAsia="Arial" w:hAnsi="Arial"/>
                <w:sz w:val="18"/>
                <w:szCs w:val="18"/>
                <w:color w:val="auto"/>
              </w:rPr>
              <w:t>The components of our long-term debt are as follows:</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5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2021</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5400" w:type="dxa"/>
            <w:vAlign w:val="bottom"/>
            <w:vMerge w:val="restart"/>
          </w:tcPr>
          <w:p>
            <w:pPr>
              <w:spacing w:after="0"/>
              <w:rPr>
                <w:sz w:val="20"/>
                <w:szCs w:val="20"/>
                <w:color w:val="auto"/>
              </w:rPr>
            </w:pPr>
            <w:r>
              <w:rPr>
                <w:rFonts w:ascii="Arial" w:cs="Arial" w:eastAsia="Arial" w:hAnsi="Arial"/>
                <w:sz w:val="18"/>
                <w:szCs w:val="18"/>
                <w:color w:val="auto"/>
              </w:rPr>
              <w:t>Senior secured borrowings:</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6"/>
          </w:tcPr>
          <w:p>
            <w:pPr>
              <w:jc w:val="right"/>
              <w:ind w:right="632"/>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199"/>
        </w:trPr>
        <w:tc>
          <w:tcPr>
            <w:tcW w:w="54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 Loan Facility</w:t>
            </w:r>
          </w:p>
        </w:tc>
        <w:tc>
          <w:tcPr>
            <w:tcW w:w="14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187,625</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Arial" w:cs="Arial" w:eastAsia="Arial" w:hAnsi="Arial"/>
                <w:sz w:val="18"/>
                <w:szCs w:val="18"/>
                <w:color w:val="auto"/>
              </w:rPr>
              <w:t>Revolving Credit Facility</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Convertible term loan</w:t>
            </w:r>
          </w:p>
        </w:tc>
        <w:tc>
          <w:tcPr>
            <w:tcW w:w="12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0"/>
        </w:trPr>
        <w:tc>
          <w:tcPr>
            <w:tcW w:w="540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215,026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71,574</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210,432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2016 Credit Agreement</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originally entered into a senior secured borrowing agreement (the “2016 Credit Agreement”) on May 13, 2016, that consisted of a senior secured term loan for $75.0 million and a revolving credit facility for $20.0 million. The 2016 Credit Agreement was subsequently amended on May 2, 2019 to increase the senior secured term loan to $190.0 million and a revolving credit facility for $30.0 million and a delayed draw term loan facility (“DDTL”) for $45.0 million. The senior secured term loan and the DDTL had a maturity date of May 2, 2025, and the revolving credit facility had a maturity date of May 2, 2024.</w:t>
      </w:r>
    </w:p>
    <w:p>
      <w:pPr>
        <w:spacing w:after="0" w:line="16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July 27, 2020, the Company amended and restated the 2016 Credit Agreement once again to increase the senior secured term loan to $300.0 million, the revolving credit facility to $40.0 million and to terminate the DDTL. The maturity date of the revolving credit facility was extended to July 27, 2025, the senior secured term loan was extended to July 27, 2026, and there were updates to certain covenants contained in the existing credit agreement. Principal was paid each calendar quarter in an amount equal to 0.25% of the aggregate outstanding principal amount.</w:t>
      </w:r>
    </w:p>
    <w:p>
      <w:pPr>
        <w:spacing w:after="0" w:line="13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structure of the amendment to the 2016 Credit Agreement as amended on July 27, 2020 led to an extinguishment of debt for certain lenders and a modification of debt for other lenders. The total debt structure extinguishment for certain lenders was $57.1 million which led to the write off of $1.0 million in debt issuance costs which was recorded in loss on extinguishment of debt for the year ended June 30, 2021. The total debt structure that was modified was $250.0 million, while the new debt issued was $50.0 million, which resulted in $9.1 million of debt issuance costs being capitalized.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2021 Credit Agreement</w:t>
      </w:r>
    </w:p>
    <w:p>
      <w:pPr>
        <w:spacing w:after="0" w:line="19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March 8, 2021, concurrently with the closing of the IPO, the Company entered into a new credit agreement (the “2021 Credit Agreement”) that replaced the 2016 Credit Agreement. The 2021 Credit Agreement consists of a senior secured term loan (the “Term Loan Facility”) of $75.0 million principal amount and a revolving credit facility (the “Revolving Credit Facility”) of $100.0 million maximum borrowing capacity. The maturity date of each of the Term Loan Facility and the Revolving Credit Facility is March 8, 2026. Loans under the 2021 Credit Agreement are secured by substantially all of the Company’s assets. Principal on the Term Loan Facility is paid each calendar quarter beginning September 2021 in an amount equal to 1.25% of the initial term loan on closing date. Proceeds of the Term Loan Facility, together with proceeds from the IPO, were used to repay amounts outstanding under the 2016 Credit Agreement.</w:t>
      </w:r>
    </w:p>
    <w:p>
      <w:pPr>
        <w:spacing w:after="0" w:line="1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structure of the 2021 Credit Agreement led to a 2.0% prepayment fee as the cancellation of the 2016 Credit Agreement occurred prior to the first anniversary of the July 27, 2020 amendment of the 2016 Credit Agreement, an extinguishment of debt for certain lenders, and a modification of debt for other lenders. The total prepayment fee was $6.0 million and is recorded in loss on extinguishment of debt in the consolidated statements of operations. The total debt structure extinguishment for certain lenders was $250.0 million which led to the write off of $7.5 million in debt issuance costs which was recorded in loss on extinguishment of debt for the year ended June 30, 2021. The total debt structure that was modified was $25.0 million related to each of the term loan and the revolver, while the new debt issued was $50.0 million related to the term loan and $75.0 million related to the revolver. This resulted in $2.1 million of debt issuance costs being capitalized.</w:t>
      </w:r>
    </w:p>
    <w:p>
      <w:pPr>
        <w:spacing w:after="0" w:line="15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Outstanding principal amounts under the 2021 Credit Agreement accrue interest at a variable interest rate. As of June 30, 2021, the interest rate on the Term Loan Facility was 1.84%. As of June 30, 2020, the interest rate on the senior secured term loan under the 2016 Credit Agreement was 6.0%. Prior to the entry into the 2021 Credit Agreement, the revolving credit facility fee accrued at 0.5%. Under the terms of the 2021 Credit Agreement, the Revolving Credit Facility fee accrues at 0.25% of the average daily unused amount and is paid quarterly.</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During the year ended June 30, 2020, the Company borrowed $25.0 million under the revolving credit facility at an interest rate of 3.94%, to ensure sufficient funds available during the unknown time of the COVID-19 pandemic and for general corporate purposes. The Company repaid all outstanding amounts on the revolving credit facility and as of June 30, 2021 had no outstanding borrowings. The remaining capacity under the Revolving Credit Facility as of June 30, 2021 was $100.0 million, subject to (i) any issued amounts under our letters of credit, which as of June 30, 2021 was $2.1 million, and (ii) applicable covenant compliance restrictions and any other conditions precedent to borrowing.</w:t>
      </w:r>
    </w:p>
    <w:p>
      <w:pPr>
        <w:spacing w:after="0" w:line="13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The Company was in compliance with the covenants of the 2021 Credit Agreement and the 2016 Credit Agreement as of June 30, 2021 and 2020, respectively.</w:t>
      </w:r>
    </w:p>
    <w:p>
      <w:pPr>
        <w:spacing w:after="0" w:line="137" w:lineRule="exact"/>
        <w:rPr>
          <w:sz w:val="20"/>
          <w:szCs w:val="20"/>
          <w:color w:val="auto"/>
        </w:rPr>
      </w:pPr>
    </w:p>
    <w:p>
      <w:pPr>
        <w:jc w:val="both"/>
        <w:ind w:left="60" w:right="59" w:firstLine="162"/>
        <w:spacing w:after="0" w:line="286" w:lineRule="auto"/>
        <w:rPr>
          <w:sz w:val="20"/>
          <w:szCs w:val="20"/>
          <w:color w:val="auto"/>
        </w:rPr>
      </w:pPr>
      <w:r>
        <w:rPr>
          <w:rFonts w:ascii="Arial" w:cs="Arial" w:eastAsia="Arial" w:hAnsi="Arial"/>
          <w:sz w:val="17"/>
          <w:szCs w:val="17"/>
          <w:color w:val="auto"/>
        </w:rPr>
        <w:t>The deferred financing costs of $2.0 million are amortized over the term of the underlying debt and unamortized amounts have been offset against long-term debt in the consolidated balance sheets. Total amortization of deferred financing costs was $1.1 million and $0.6 million for the year ended June 30, 2021 and 2020, respectively.</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Term Loan</w:t>
      </w:r>
    </w:p>
    <w:p>
      <w:pPr>
        <w:spacing w:after="0" w:line="185"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On June 29, 2015, SH1 entered into a convertible term loan.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Aggregate maturities of our debt as of June 30, 2021 were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center"/>
              <w:ind w:right="275"/>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4"/>
              </w:rPr>
              <w:t>debt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jc w:val="center"/>
              <w:ind w:right="275"/>
              <w:spacing w:after="0"/>
              <w:rPr>
                <w:sz w:val="20"/>
                <w:szCs w:val="20"/>
                <w:color w:val="auto"/>
              </w:rPr>
            </w:pPr>
            <w:r>
              <w:rPr>
                <w:rFonts w:ascii="Arial" w:cs="Arial" w:eastAsia="Arial" w:hAnsi="Arial"/>
                <w:sz w:val="14"/>
                <w:szCs w:val="14"/>
                <w:i w:val="1"/>
                <w:iCs w:val="1"/>
                <w:color w:val="auto"/>
                <w:w w:val="90"/>
              </w:rPr>
              <w:t>in thousands</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18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194" w:lineRule="exact"/>
        <w:rPr>
          <w:sz w:val="20"/>
          <w:szCs w:val="20"/>
          <w:color w:val="auto"/>
        </w:rPr>
      </w:pPr>
    </w:p>
    <w:p>
      <w:pPr>
        <w:ind w:left="700" w:right="59"/>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that the entity has the 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access at the measurement date</w:t>
      </w:r>
    </w:p>
    <w:p>
      <w:pPr>
        <w:spacing w:after="0" w:line="121" w:lineRule="exact"/>
        <w:rPr>
          <w:sz w:val="20"/>
          <w:szCs w:val="20"/>
          <w:color w:val="auto"/>
        </w:rPr>
      </w:pPr>
    </w:p>
    <w:p>
      <w:pPr>
        <w:ind w:left="700" w:right="59"/>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Quoted prices in markets that are not active or inputs that are observable,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assets or liabilities</w:t>
      </w:r>
    </w:p>
    <w:p>
      <w:pPr>
        <w:spacing w:after="0" w:line="121" w:lineRule="exact"/>
        <w:rPr>
          <w:sz w:val="20"/>
          <w:szCs w:val="20"/>
          <w:color w:val="auto"/>
        </w:rPr>
      </w:pPr>
    </w:p>
    <w:p>
      <w:pPr>
        <w:ind w:left="700" w:right="79"/>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to the valuation techniques that are significant to the fair value measurements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Effective August 7, 2018, the Company finalized the acquisition of NewCourtland in Pennsylvania. The Company paid a base purchase price of $30.0 million, subject to certain net working capital and closing adjustments plus contingent consideration of up to $20.0 million. Such contingent consideration will be paid over a specified period if certain conditions outlined in the Securities Purchase Agreement are met. These conditions are based upon the performance of the PACE centers acquired in the NewCourtland acquisition for the two fiscal years following the acquisition, as well as potential payments to be made in the event of the Company being acquired, selling substantially all of its assets, or selling equity securities pursuant to an effective registration statement under the Securities Act of 1933. If all of the contingent consideration of $20.0 million is paid, the lease payments in certain real estate leases between the Company and NewCourtland are reduced from their current amounts and allow the Company to exercise its option to purchase the leased buildings at fair market value, after the initial term of the lease.</w:t>
      </w:r>
    </w:p>
    <w:p>
      <w:pPr>
        <w:spacing w:after="0" w:line="14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March 8, 2021, we completed our IPO, which satisfied the condition that the Company sell equity securities pursuant to an effective registration statement. Accordingly, $20.0 million of contingent consideration was paid under the terms of the Securities Purchase Agreement.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no amounts of contingent consideration outstanding after the $20.0 million payment.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Changes in fair value resulted in immaterial amounts recorded in other operating (income) expense within the consolidated statement for the fiscal years ended June 30, 2021 and 2020.</w:t>
      </w:r>
    </w:p>
    <w:p>
      <w:pPr>
        <w:spacing w:after="0" w:line="14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were no transfers in and out of Level 3 during the fiscal year ended June 30, 2021 and 2020. The Company’s policy is to recognize transfers as of the actual date of the event or change in circumstances.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Nonrecurring Measurements</w:t>
      </w:r>
    </w:p>
    <w:p>
      <w:pPr>
        <w:spacing w:after="0" w:line="18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addition to assets and liabilities that are recorded at fair value on a recurring basis, the Company records certain assets and liabilities at fair value on a nonrecurring basis. No such amounts were recorded during the years ended June 30, 2021 or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18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jc w:val="both"/>
        <w:ind w:left="60" w:right="99" w:firstLine="324"/>
        <w:spacing w:after="0" w:line="279" w:lineRule="auto"/>
        <w:rPr>
          <w:sz w:val="20"/>
          <w:szCs w:val="20"/>
          <w:color w:val="auto"/>
        </w:rPr>
      </w:pPr>
      <w:r>
        <w:rPr>
          <w:rFonts w:ascii="Arial" w:cs="Arial" w:eastAsia="Arial" w:hAnsi="Arial"/>
          <w:sz w:val="17"/>
          <w:szCs w:val="17"/>
          <w:color w:val="auto"/>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Stock-based Compensation</w:t>
      </w:r>
    </w:p>
    <w:p>
      <w:pPr>
        <w:spacing w:after="0" w:line="202"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A summary of our aggregate share-based compensation expense is set forth below. Stock-based compensation expense is included in corporate, general and administrative expenses on our consolidated statements of operations.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Year ended June 30,</w:t>
            </w:r>
          </w:p>
        </w:tc>
      </w:tr>
      <w:tr>
        <w:trPr>
          <w:trHeight w:val="199"/>
        </w:trPr>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2020</w:t>
            </w:r>
          </w:p>
        </w:tc>
      </w:tr>
      <w:tr>
        <w:trPr>
          <w:trHeight w:val="200"/>
        </w:trPr>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7"/>
                <w:szCs w:val="17"/>
                <w:color w:val="auto"/>
              </w:rPr>
            </w:pPr>
          </w:p>
        </w:tc>
      </w:tr>
      <w:tr>
        <w:trPr>
          <w:trHeight w:val="185"/>
        </w:trPr>
        <w:tc>
          <w:tcPr>
            <w:tcW w:w="22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Profits interests units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20" w:type="dxa"/>
            <w:vAlign w:val="bottom"/>
            <w:gridSpan w:val="2"/>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47,051</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92" w:lineRule="exact"/>
        <w:rPr>
          <w:sz w:val="20"/>
          <w:szCs w:val="20"/>
          <w:color w:val="auto"/>
        </w:rPr>
      </w:pPr>
    </w:p>
    <w:p>
      <w:pPr>
        <w:ind w:left="720" w:right="519" w:hanging="319"/>
        <w:spacing w:after="0" w:line="253" w:lineRule="auto"/>
        <w:tabs>
          <w:tab w:leader="none" w:pos="7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 for 2021 relates to stock-based compensation expense recognized as a result of the Cancellation Agreement transaction, as defined and described below.</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85"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The Company maintained the 2016 Equity Incentive Plan pursuant to which various stock-based awards may be granted to employees, directors, consultants, and advisers. The total number of shares of the Company’s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that was authorized under the 2016 Equity Incentive Plan was 17,836,636, of which a total of 16,994,976 awards were granted. The 2016 Equity Incentive Plan provided for the following general vesting terms:</w:t>
      </w:r>
    </w:p>
    <w:p>
      <w:pPr>
        <w:spacing w:after="0" w:line="170" w:lineRule="exact"/>
        <w:rPr>
          <w:sz w:val="20"/>
          <w:szCs w:val="20"/>
          <w:color w:val="auto"/>
        </w:rPr>
      </w:pPr>
    </w:p>
    <w:p>
      <w:pPr>
        <w:jc w:val="both"/>
        <w:ind w:left="1040" w:right="79" w:hanging="315"/>
        <w:spacing w:after="0" w:line="286"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Half vested over time (“Time Vesting Awards”). Time Vesting Awards vested on the first anniversary of the grant date in the range of 25% to 62.5%, and the remaining Time Vesting Awards vest ratably on a semiannual basis thereafter through the fourth anniversary of the grant date.</w:t>
      </w:r>
    </w:p>
    <w:p>
      <w:pPr>
        <w:spacing w:after="0" w:line="165"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Half vested upon the attainment of certain performance-based criteria measured at the time the Company experiences a liquidity event, as defined by the 2016 Equity Incentive Plan (“Contingent Performance-Based Awards”).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 options were exercisable over a period of time not to exceed 10 years from the date of grant.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Cancellation of Stock Option Awards Under 2016 Equity Incentive Plan</w:t>
      </w:r>
    </w:p>
    <w:p>
      <w:pPr>
        <w:spacing w:after="0" w:line="19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July 27, 2020, the Company, Ignite Aggregator LP, and the equity holders of the Company entered into a Securities Purchase Agreement, and in conjunction therewith, the Company amended and restated the 2016 Credit Agreement. A portion of the proceeds from the 2016 Credit Agreement were used by the Company to repurchase 16,095,819 shares of its common stock from the certain members of management, the Board of Directors, and members of our equity partner. Additionally, as part of the 2016 Credit Agreement, the Company executed the Cancellation Agreement, as defined in Note 3, with each of the 2016 Equity Incentive Plan option holders, pursuant to which the Company’s 16,994,976 common stock options which were granted under the 2016 Equity Incentive Plan, were cancelled. The Cancellation Agreement resulted in the option holders receiving the same amount of cash that they would have received had they exercised their options, participated in the repurchase described above and sold their remaining shares. The 2016 Equity Plan was cancelled and replaced with the 2020 Equity Incentive Plan, as described below.</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utilized the Black-Scholes option-pricing model to determine the fair value of stock options on the date of grant. This model derives the fair value of stock options based on certain assumptions related to expected stock price volatility, expected option life, risk-free interest rate, and dividend yield. The Company’s expected volatility was based on the historical volatility of similar publicly traded companies deemed by the Company to be its peers. The risk-free interest rate assumption was based upon the Federal Reserve Board’s Treasury Constant Maturities for the expected term of the Company’s stock option awards, and the selected dividend yield assumption was determined in view of the Company’s historical and estimated dividend payout. The Company has no reason to believe that the expected volatility of its stock price would differ significantly from the historical volatility of its peers. The Company used the simplified method to calculate the expected term for the time vesting awards. The expected term for the contingent performance-based awards was the contractual term.</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estimated the fair value of stock options granted using the following weighted-average assumptions:</w:t>
      </w:r>
    </w:p>
    <w:p>
      <w:pPr>
        <w:spacing w:after="0" w:line="20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34.9% - 39.3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Expected life (years)</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jc w:val="right"/>
              <w:spacing w:after="0"/>
              <w:rPr>
                <w:sz w:val="20"/>
                <w:szCs w:val="20"/>
                <w:color w:val="auto"/>
              </w:rPr>
            </w:pPr>
            <w:r>
              <w:rPr>
                <w:rFonts w:ascii="Arial" w:cs="Arial" w:eastAsia="Arial" w:hAnsi="Arial"/>
                <w:sz w:val="18"/>
                <w:szCs w:val="18"/>
                <w:color w:val="auto"/>
                <w:w w:val="94"/>
              </w:rPr>
              <w:t>- 6.2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0.48</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900" w:type="dxa"/>
            <w:vAlign w:val="bottom"/>
          </w:tcPr>
          <w:p>
            <w:pPr>
              <w:spacing w:after="0"/>
              <w:rPr>
                <w:sz w:val="20"/>
                <w:szCs w:val="20"/>
                <w:color w:val="auto"/>
              </w:rPr>
            </w:pPr>
          </w:p>
        </w:tc>
      </w:tr>
      <w:tr>
        <w:trPr>
          <w:trHeight w:val="850"/>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60" w:type="dxa"/>
            <w:vAlign w:val="bottom"/>
          </w:tcPr>
          <w:p>
            <w:pPr>
              <w:jc w:val="right"/>
              <w:ind w:right="2470"/>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stock option activity for the year ended June 30, 2021 was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Option</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1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Time-based option awards</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price range</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term (in years)</w:t>
            </w:r>
          </w:p>
        </w:tc>
      </w:tr>
    </w:tbl>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8,497,488</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$1.00 - $2.35</w:t>
            </w:r>
          </w:p>
        </w:tc>
        <w:tc>
          <w:tcPr>
            <w:tcW w:w="5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Canceled</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(8,497,488)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4"/>
              </w:rPr>
              <w:t>$1.00 - $2.35</w:t>
            </w:r>
          </w:p>
        </w:tc>
        <w:tc>
          <w:tcPr>
            <w:tcW w:w="56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line="20" w:lineRule="exact"/>
              <w:rPr>
                <w:sz w:val="1"/>
                <w:szCs w:val="1"/>
                <w:color w:val="auto"/>
              </w:rPr>
            </w:pPr>
          </w:p>
        </w:tc>
      </w:tr>
      <w:tr>
        <w:trPr>
          <w:trHeight w:val="399"/>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4"/>
              </w:rPr>
              <w:t>Number of</w:t>
            </w:r>
          </w:p>
        </w:tc>
        <w:tc>
          <w:tcPr>
            <w:tcW w:w="38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213"/>
        </w:trPr>
        <w:tc>
          <w:tcPr>
            <w:tcW w:w="45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Performance-based option awards</w:t>
            </w:r>
          </w:p>
        </w:tc>
        <w:tc>
          <w:tcPr>
            <w:tcW w:w="40" w:type="dxa"/>
            <w:vAlign w:val="bottom"/>
          </w:tcPr>
          <w:p>
            <w:pPr>
              <w:spacing w:after="0"/>
              <w:rPr>
                <w:sz w:val="18"/>
                <w:szCs w:val="18"/>
                <w:color w:val="auto"/>
              </w:rPr>
            </w:pPr>
          </w:p>
        </w:tc>
        <w:tc>
          <w:tcPr>
            <w:tcW w:w="960" w:type="dxa"/>
            <w:vAlign w:val="bottom"/>
            <w:gridSpan w:val="2"/>
          </w:tcPr>
          <w:p>
            <w:pPr>
              <w:jc w:val="center"/>
              <w:ind w:left="276"/>
              <w:spacing w:after="0"/>
              <w:rPr>
                <w:sz w:val="20"/>
                <w:szCs w:val="20"/>
                <w:color w:val="auto"/>
              </w:rPr>
            </w:pPr>
            <w:r>
              <w:rPr>
                <w:rFonts w:ascii="Arial" w:cs="Arial" w:eastAsia="Arial" w:hAnsi="Arial"/>
                <w:sz w:val="16"/>
                <w:szCs w:val="16"/>
                <w:b w:val="1"/>
                <w:bCs w:val="1"/>
                <w:color w:val="auto"/>
                <w:w w:val="89"/>
              </w:rPr>
              <w:t>options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8"/>
              </w:rPr>
              <w:t>exercise price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term (in years)</w:t>
            </w:r>
          </w:p>
        </w:tc>
        <w:tc>
          <w:tcPr>
            <w:tcW w:w="0" w:type="dxa"/>
            <w:vAlign w:val="bottom"/>
          </w:tcPr>
          <w:p>
            <w:pPr>
              <w:spacing w:after="0"/>
              <w:rPr>
                <w:sz w:val="1"/>
                <w:szCs w:val="1"/>
                <w:color w:val="auto"/>
              </w:rPr>
            </w:pPr>
          </w:p>
        </w:tc>
      </w:tr>
      <w:tr>
        <w:trPr>
          <w:trHeight w:val="199"/>
        </w:trPr>
        <w:tc>
          <w:tcPr>
            <w:tcW w:w="4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2020</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8,497,488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0.78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540" w:type="dxa"/>
            <w:vAlign w:val="bottom"/>
            <w:gridSpan w:val="2"/>
          </w:tcPr>
          <w:p>
            <w:pPr>
              <w:ind w:left="120"/>
              <w:spacing w:after="0"/>
              <w:rPr>
                <w:sz w:val="20"/>
                <w:szCs w:val="20"/>
                <w:color w:val="auto"/>
              </w:rPr>
            </w:pPr>
            <w:r>
              <w:rPr>
                <w:rFonts w:ascii="Arial" w:cs="Arial" w:eastAsia="Arial" w:hAnsi="Arial"/>
                <w:sz w:val="18"/>
                <w:szCs w:val="18"/>
                <w:color w:val="auto"/>
              </w:rPr>
              <w:t>Canceled</w:t>
            </w:r>
          </w:p>
        </w:tc>
        <w:tc>
          <w:tcPr>
            <w:tcW w:w="1660" w:type="dxa"/>
            <w:vAlign w:val="bottom"/>
            <w:gridSpan w:val="5"/>
          </w:tcPr>
          <w:p>
            <w:pPr>
              <w:jc w:val="right"/>
              <w:ind w:right="300"/>
              <w:spacing w:after="0"/>
              <w:rPr>
                <w:sz w:val="20"/>
                <w:szCs w:val="20"/>
                <w:color w:val="auto"/>
              </w:rPr>
            </w:pPr>
            <w:r>
              <w:rPr>
                <w:rFonts w:ascii="Arial" w:cs="Arial" w:eastAsia="Arial" w:hAnsi="Arial"/>
                <w:sz w:val="18"/>
                <w:szCs w:val="18"/>
                <w:color w:val="auto"/>
              </w:rPr>
              <w:t>(8,497,488)</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0.78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Profits Interests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LP maintains the 2020 Equity Incentive Plan pursuant to which interests in the LP in the form of Class B Units (profits interests) may be granted to employees, directors, consultants, and advisers. A maximum number of 16,162,177 Class B Units are authorized for grant under the 2020 Equity Incentive Plan. As of June 30, 2021, a total of 13,009,137 profits interests units have been granted under the 2020 Equity Incentive Plan.</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profits interests represented profits interest ownership in the LP tied solely to the accretion, if any, in the value of the LP following the date of issuance of such profits interests. Profits interests participated in any increase of LP value related to their profits interests after the hurdle value had been achieved and the LP profits interests received the agreed-upon return on their invested capital. The hurdle value per unit is $5.49 for both the performance-based and time-based units.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profits interests unit contains the following material terms:</w:t>
      </w:r>
    </w:p>
    <w:p>
      <w:pPr>
        <w:spacing w:after="0" w:line="185" w:lineRule="exact"/>
        <w:rPr>
          <w:sz w:val="20"/>
          <w:szCs w:val="20"/>
          <w:color w:val="auto"/>
        </w:rPr>
      </w:pPr>
    </w:p>
    <w:p>
      <w:pPr>
        <w:jc w:val="both"/>
        <w:ind w:left="1040" w:right="79" w:hanging="315"/>
        <w:spacing w:after="0" w:line="263"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profits interests receive distributions (other than tax distributions) only upon a liquidity event, as defined, that exceed a threshold equivalent to the fair value of the LP, as determined by the Company’s Board of Directors, at the grant date.</w:t>
      </w:r>
    </w:p>
    <w:p>
      <w:pPr>
        <w:spacing w:after="0" w:line="183"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portion of the units vest over a period of continuous employment or service (service-vesting units) while the other portion of the units only vest based on the level of aggregate multiple of invested capital and internal rate of return achieved by Ignite Aggregator LP, one of the limited partners of the LP, upon a change of control of the Company (performance-vesting units).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performance-vesting units are subject to a market condition, which the Company incorporated as part of its determination of the grant date fair value of the units.</w:t>
      </w:r>
    </w:p>
    <w:p>
      <w:pPr>
        <w:spacing w:after="0" w:line="13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used the Monte Carlo option model to determine the fair value of the granted profits interests units. As these awards were granted prior to our IPO, the stock price was based on the price realized in the equity owner transaction. Expected stock price volatility was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assumptions under the Monte Carlo model related to the profits interests units, presented on a weighted-average basis, are provided below: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8"/>
          </w:tcPr>
          <w:p>
            <w:pPr>
              <w:jc w:val="center"/>
              <w:ind w:left="433"/>
              <w:spacing w:after="0"/>
              <w:rPr>
                <w:sz w:val="20"/>
                <w:szCs w:val="20"/>
                <w:color w:val="auto"/>
              </w:rPr>
            </w:pPr>
            <w:r>
              <w:rPr>
                <w:rFonts w:ascii="Arial" w:cs="Arial" w:eastAsia="Arial" w:hAnsi="Arial"/>
                <w:sz w:val="14"/>
                <w:szCs w:val="14"/>
                <w:b w:val="1"/>
                <w:bCs w:val="1"/>
                <w:color w:val="auto"/>
                <w:w w:val="96"/>
              </w:rPr>
              <w:t>2021</w:t>
            </w:r>
          </w:p>
        </w:tc>
        <w:tc>
          <w:tcPr>
            <w:tcW w:w="880" w:type="dxa"/>
            <w:vAlign w:val="bottom"/>
          </w:tcPr>
          <w:p>
            <w:pPr>
              <w:spacing w:after="0"/>
              <w:rPr>
                <w:sz w:val="14"/>
                <w:szCs w:val="14"/>
                <w:color w:val="auto"/>
              </w:rPr>
            </w:pPr>
          </w:p>
        </w:tc>
      </w:tr>
      <w:tr>
        <w:trPr>
          <w:trHeight w:val="209"/>
        </w:trPr>
        <w:tc>
          <w:tcPr>
            <w:tcW w:w="920" w:type="dxa"/>
            <w:vAlign w:val="bottom"/>
          </w:tcPr>
          <w:p>
            <w:pPr>
              <w:spacing w:after="0"/>
              <w:rPr>
                <w:sz w:val="18"/>
                <w:szCs w:val="18"/>
                <w:color w:val="auto"/>
              </w:rPr>
            </w:pPr>
          </w:p>
        </w:tc>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Expected life (years) - time vesting units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177"/>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0.16 %</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 %</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w w:val="91"/>
              </w:rPr>
              <w:t>1.28</w:t>
            </w:r>
          </w:p>
        </w:tc>
        <w:tc>
          <w:tcPr>
            <w:tcW w:w="8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Fair value of underlying stock</w:t>
            </w:r>
          </w:p>
        </w:tc>
        <w:tc>
          <w:tcPr>
            <w:tcW w:w="8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right"/>
              <w:ind w:right="177"/>
              <w:spacing w:after="0"/>
              <w:rPr>
                <w:sz w:val="20"/>
                <w:szCs w:val="20"/>
                <w:color w:val="auto"/>
              </w:rPr>
            </w:pPr>
            <w:r>
              <w:rPr>
                <w:rFonts w:ascii="Arial" w:cs="Arial" w:eastAsia="Arial" w:hAnsi="Arial"/>
                <w:sz w:val="18"/>
                <w:szCs w:val="18"/>
                <w:color w:val="auto"/>
                <w:w w:val="91"/>
              </w:rPr>
              <w:t>5.49</w:t>
            </w:r>
          </w:p>
        </w:tc>
        <w:tc>
          <w:tcPr>
            <w:tcW w:w="880" w:type="dxa"/>
            <w:vAlign w:val="bottom"/>
          </w:tcPr>
          <w:p>
            <w:pPr>
              <w:spacing w:after="0"/>
              <w:rPr>
                <w:sz w:val="20"/>
                <w:szCs w:val="20"/>
                <w:color w:val="auto"/>
              </w:rPr>
            </w:pPr>
          </w:p>
        </w:tc>
      </w:tr>
      <w:tr>
        <w:trPr>
          <w:trHeight w:val="418"/>
        </w:trPr>
        <w:tc>
          <w:tcPr>
            <w:tcW w:w="7420" w:type="dxa"/>
            <w:vAlign w:val="bottom"/>
            <w:gridSpan w:val="8"/>
          </w:tcPr>
          <w:p>
            <w:pPr>
              <w:ind w:left="340"/>
              <w:spacing w:after="0"/>
              <w:rPr>
                <w:sz w:val="20"/>
                <w:szCs w:val="20"/>
                <w:color w:val="auto"/>
              </w:rPr>
            </w:pPr>
            <w:r>
              <w:rPr>
                <w:rFonts w:ascii="Arial" w:cs="Arial" w:eastAsia="Arial" w:hAnsi="Arial"/>
                <w:sz w:val="18"/>
                <w:szCs w:val="18"/>
                <w:color w:val="auto"/>
              </w:rPr>
              <w:t>A summary of profits interests activity for the year ended June 30, 2021 was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7"/>
        </w:trPr>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5"/>
          </w:tcPr>
          <w:p>
            <w:pPr>
              <w:ind w:left="60"/>
              <w:spacing w:after="0"/>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13"/>
        </w:trPr>
        <w:tc>
          <w:tcPr>
            <w:tcW w:w="6480" w:type="dxa"/>
            <w:vAlign w:val="bottom"/>
            <w:gridSpan w:val="3"/>
          </w:tcPr>
          <w:p>
            <w:pPr>
              <w:ind w:left="20"/>
              <w:spacing w:after="0"/>
              <w:rPr>
                <w:sz w:val="20"/>
                <w:szCs w:val="20"/>
                <w:color w:val="auto"/>
              </w:rPr>
            </w:pPr>
            <w:r>
              <w:rPr>
                <w:rFonts w:ascii="Arial" w:cs="Arial" w:eastAsia="Arial" w:hAnsi="Arial"/>
                <w:sz w:val="16"/>
                <w:szCs w:val="16"/>
                <w:b w:val="1"/>
                <w:bCs w:val="1"/>
                <w:color w:val="auto"/>
              </w:rPr>
              <w:t>Time-based unit awards</w:t>
            </w:r>
          </w:p>
        </w:tc>
        <w:tc>
          <w:tcPr>
            <w:tcW w:w="80" w:type="dxa"/>
            <w:vAlign w:val="bottom"/>
          </w:tcPr>
          <w:p>
            <w:pPr>
              <w:spacing w:after="0"/>
              <w:rPr>
                <w:sz w:val="18"/>
                <w:szCs w:val="18"/>
                <w:color w:val="auto"/>
              </w:rPr>
            </w:pPr>
          </w:p>
        </w:tc>
        <w:tc>
          <w:tcPr>
            <w:tcW w:w="86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units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w w:val="92"/>
              </w:rPr>
              <w:t>grant date fair value</w:t>
            </w:r>
          </w:p>
        </w:tc>
      </w:tr>
      <w:tr>
        <w:trPr>
          <w:trHeight w:val="145"/>
        </w:trPr>
        <w:tc>
          <w:tcPr>
            <w:tcW w:w="92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3"/>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4"/>
              </w:rPr>
              <w:t>6,686,568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(99,307)</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9"/>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Outstanding balance, June 30, 2021</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6,587,261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574"/>
        </w:trPr>
        <w:tc>
          <w:tcPr>
            <w:tcW w:w="9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w w:val="96"/>
              </w:rPr>
              <w:t>Weighted average</w:t>
            </w:r>
          </w:p>
        </w:tc>
      </w:tr>
      <w:tr>
        <w:trPr>
          <w:trHeight w:val="213"/>
        </w:trPr>
        <w:tc>
          <w:tcPr>
            <w:tcW w:w="6480" w:type="dxa"/>
            <w:vAlign w:val="bottom"/>
            <w:gridSpan w:val="3"/>
          </w:tcPr>
          <w:p>
            <w:pPr>
              <w:ind w:left="20"/>
              <w:spacing w:after="0"/>
              <w:rPr>
                <w:sz w:val="20"/>
                <w:szCs w:val="20"/>
                <w:color w:val="auto"/>
              </w:rPr>
            </w:pPr>
            <w:r>
              <w:rPr>
                <w:rFonts w:ascii="Arial" w:cs="Arial" w:eastAsia="Arial" w:hAnsi="Arial"/>
                <w:sz w:val="16"/>
                <w:szCs w:val="16"/>
                <w:b w:val="1"/>
                <w:bCs w:val="1"/>
                <w:color w:val="auto"/>
              </w:rPr>
              <w:t>Performance-based unit awards</w:t>
            </w:r>
          </w:p>
        </w:tc>
        <w:tc>
          <w:tcPr>
            <w:tcW w:w="80" w:type="dxa"/>
            <w:vAlign w:val="bottom"/>
          </w:tcPr>
          <w:p>
            <w:pPr>
              <w:spacing w:after="0"/>
              <w:rPr>
                <w:sz w:val="18"/>
                <w:szCs w:val="18"/>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88"/>
              </w:rPr>
              <w:t>units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b w:val="1"/>
                <w:bCs w:val="1"/>
                <w:color w:val="auto"/>
                <w:w w:val="92"/>
              </w:rPr>
              <w:t>grant date fair value</w:t>
            </w:r>
          </w:p>
        </w:tc>
      </w:tr>
      <w:tr>
        <w:trPr>
          <w:trHeight w:val="145"/>
        </w:trPr>
        <w:tc>
          <w:tcPr>
            <w:tcW w:w="920" w:type="dxa"/>
            <w:vAlign w:val="bottom"/>
            <w:tcBorders>
              <w:top w:val="single" w:sz="8" w:color="auto"/>
            </w:tcBorders>
          </w:tcPr>
          <w:p>
            <w:pPr>
              <w:spacing w:after="0"/>
              <w:rPr>
                <w:sz w:val="12"/>
                <w:szCs w:val="12"/>
                <w:color w:val="auto"/>
              </w:rPr>
            </w:pPr>
          </w:p>
        </w:tc>
        <w:tc>
          <w:tcPr>
            <w:tcW w:w="5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16"/>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center"/>
              <w:ind w:right="33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3"/>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6,322,569</w:t>
            </w:r>
          </w:p>
        </w:tc>
        <w:tc>
          <w:tcPr>
            <w:tcW w:w="20" w:type="dxa"/>
            <w:vAlign w:val="bottom"/>
          </w:tcPr>
          <w:p>
            <w:pPr>
              <w:spacing w:after="0"/>
              <w:rPr>
                <w:sz w:val="18"/>
                <w:szCs w:val="18"/>
                <w:color w:val="auto"/>
              </w:rPr>
            </w:pPr>
          </w:p>
        </w:tc>
        <w:tc>
          <w:tcPr>
            <w:tcW w:w="600" w:type="dxa"/>
            <w:vAlign w:val="bottom"/>
            <w:gridSpan w:val="3"/>
          </w:tcPr>
          <w:p>
            <w:pPr>
              <w:jc w:val="center"/>
              <w:ind w:right="33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(99,307)</w:t>
            </w:r>
          </w:p>
        </w:tc>
        <w:tc>
          <w:tcPr>
            <w:tcW w:w="600" w:type="dxa"/>
            <w:vAlign w:val="bottom"/>
            <w:gridSpan w:val="3"/>
            <w:shd w:val="clear" w:color="auto" w:fill="CCEEFF"/>
          </w:tcPr>
          <w:p>
            <w:pPr>
              <w:jc w:val="center"/>
              <w:ind w:right="33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10"/>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Outstanding balance, June 30, 2021</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4"/>
              </w:rPr>
              <w:t>6,223,262</w:t>
            </w:r>
          </w:p>
        </w:tc>
        <w:tc>
          <w:tcPr>
            <w:tcW w:w="20" w:type="dxa"/>
            <w:vAlign w:val="bottom"/>
          </w:tcPr>
          <w:p>
            <w:pPr>
              <w:spacing w:after="0"/>
              <w:rPr>
                <w:sz w:val="18"/>
                <w:szCs w:val="18"/>
                <w:color w:val="auto"/>
              </w:rPr>
            </w:pPr>
          </w:p>
        </w:tc>
        <w:tc>
          <w:tcPr>
            <w:tcW w:w="600" w:type="dxa"/>
            <w:vAlign w:val="bottom"/>
            <w:gridSpan w:val="3"/>
          </w:tcPr>
          <w:p>
            <w:pPr>
              <w:jc w:val="center"/>
              <w:ind w:right="33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9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total unrecognized compensation cost related to profits interests units outstanding as of June 30, 2021 was $10.3 million, comprised (i) $6.8 million related to time-based unit awards expected to be recognized over a weighted-average period of 1.2 years and (ii) $3.5 million related to performance-based unit awards, which will be recorded when it is probable that the performance-based criteria will be met.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19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March 2021, the compensation committee of our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been used. The grant date fair value of restricted stock units are based on the closing market price of our common stock on the date of grant.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restricted stock units activity for the year ended June 30, 2021 was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54"/>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grant-date fair</w:t>
            </w:r>
          </w:p>
        </w:tc>
      </w:tr>
      <w:tr>
        <w:trPr>
          <w:trHeight w:val="213"/>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stock units</w:t>
            </w:r>
          </w:p>
        </w:tc>
        <w:tc>
          <w:tcPr>
            <w:tcW w:w="1440" w:type="dxa"/>
            <w:vAlign w:val="bottom"/>
          </w:tcPr>
          <w:p>
            <w:pPr>
              <w:jc w:val="right"/>
              <w:ind w:right="374"/>
              <w:spacing w:after="0"/>
              <w:rPr>
                <w:sz w:val="20"/>
                <w:szCs w:val="20"/>
                <w:color w:val="auto"/>
              </w:rPr>
            </w:pPr>
            <w:r>
              <w:rPr>
                <w:rFonts w:ascii="Arial" w:cs="Arial" w:eastAsia="Arial" w:hAnsi="Arial"/>
                <w:sz w:val="16"/>
                <w:szCs w:val="16"/>
                <w:b w:val="1"/>
                <w:bCs w:val="1"/>
                <w:color w:val="auto"/>
              </w:rPr>
              <w:t>awards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value per share</w:t>
            </w:r>
          </w:p>
        </w:tc>
      </w:tr>
      <w:tr>
        <w:trPr>
          <w:trHeight w:val="199"/>
        </w:trPr>
        <w:tc>
          <w:tcPr>
            <w:tcW w:w="5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48,470</w:t>
            </w:r>
          </w:p>
        </w:tc>
        <w:tc>
          <w:tcPr>
            <w:tcW w:w="6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22.87</w:t>
            </w:r>
          </w:p>
        </w:tc>
      </w:tr>
      <w:tr>
        <w:trPr>
          <w:trHeight w:val="209"/>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total unrecognized compensation cost related to restricted stock units outstanding as of June 30, 2021 was $1.1 million and is expected to be recognized over a weighted-average period of 2.2 years.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Treasury Stock</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July 27, 2020, as a part of the amendment and restatement of the 2016 Credit Agreement, a portion of the proceeds were used by the Company to repurchase 16,095,819 shares of its common stock from certain members of management, our Board of Directors and our equity partner, at $4.82 per share. As a result of the repurchase, $77.6 million was recorded as Treasury stock, see Note 3 for further discussion. In March 2021, the Company retired all outstanding shares of Treasury stock and at June 30, 2021 there were no shares of treasury stock outstanding. No repurchases were made in fiscal year ended June 30, 2021.</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Income Taxes</w:t>
      </w:r>
    </w:p>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Company’s effective income tax rate for the years ended June 30, 2021 and 2020 was (27.9%) and 28%, respectively, which differed from the amount computed by applying the applicable U.S. federal statutory corporate income tax rate of 21% in each period as a result of the following factors: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6"/>
              </w:rPr>
              <w:t>Year ended June 30,</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89"/>
              </w:rPr>
              <w:t>2020</w:t>
            </w:r>
          </w:p>
        </w:tc>
      </w:tr>
      <w:tr>
        <w:trPr>
          <w:trHeight w:val="179"/>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Statutory rate</w:t>
            </w:r>
          </w:p>
        </w:tc>
        <w:tc>
          <w:tcPr>
            <w:tcW w:w="20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IRC Section 162(m) limitation (a)</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costs (b)</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Change in valuation allowance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Permanent adjustments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Prior year true-up and other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entities not subject to taxation</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State tax</w:t>
            </w:r>
          </w:p>
        </w:tc>
        <w:tc>
          <w:tcPr>
            <w:tcW w:w="1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ind w:left="720" w:right="519" w:hanging="319"/>
        <w:spacing w:after="0" w:line="230" w:lineRule="auto"/>
        <w:tabs>
          <w:tab w:leader="none" w:pos="7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Reflects the permanent addback for the Section 162(m) limitation, which limits the deduction of compensation for the five highest paid officers to $1,000,000.</w:t>
      </w:r>
    </w:p>
    <w:p>
      <w:pPr>
        <w:ind w:left="720" w:right="159" w:hanging="319"/>
        <w:spacing w:after="0" w:line="237" w:lineRule="auto"/>
        <w:tabs>
          <w:tab w:leader="none" w:pos="7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 relates to transaction costs incurred as a result of the July 27, 2020 transaction between us, an affiliate of Apax Partners and our then existing equity holders entering into a Securities Purchase Agreement (the “Apax Transaction”).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Provision for income taxes consisted of the following for the years ended June 30, 2021 and 2020:</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6"/>
              </w:rPr>
              <w:t>Year ended June 30,</w:t>
            </w:r>
          </w:p>
        </w:tc>
      </w:tr>
      <w:tr>
        <w:trPr>
          <w:trHeight w:val="199"/>
        </w:trPr>
        <w:tc>
          <w:tcPr>
            <w:tcW w:w="6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2020</w:t>
            </w:r>
          </w:p>
        </w:tc>
      </w:tr>
      <w:tr>
        <w:trPr>
          <w:trHeight w:val="183"/>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right"/>
              <w:ind w:right="531"/>
              <w:spacing w:after="0" w:line="183" w:lineRule="exact"/>
              <w:rPr>
                <w:sz w:val="20"/>
                <w:szCs w:val="20"/>
                <w:color w:val="auto"/>
              </w:rPr>
            </w:pPr>
            <w:r>
              <w:rPr>
                <w:rFonts w:ascii="Arial" w:cs="Arial" w:eastAsia="Arial" w:hAnsi="Arial"/>
                <w:sz w:val="16"/>
                <w:szCs w:val="16"/>
                <w:i w:val="1"/>
                <w:iCs w:val="1"/>
                <w:color w:val="auto"/>
              </w:rPr>
              <w:t>in thousands</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5,382</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09"/>
        </w:trPr>
        <w:tc>
          <w:tcPr>
            <w:tcW w:w="6820" w:type="dxa"/>
            <w:vAlign w:val="bottom"/>
          </w:tcPr>
          <w:p>
            <w:pPr>
              <w:ind w:left="220"/>
              <w:spacing w:after="0"/>
              <w:rPr>
                <w:sz w:val="20"/>
                <w:szCs w:val="20"/>
                <w:color w:val="auto"/>
              </w:rPr>
            </w:pPr>
            <w:r>
              <w:rPr>
                <w:rFonts w:ascii="Arial" w:cs="Arial" w:eastAsia="Arial" w:hAnsi="Arial"/>
                <w:sz w:val="18"/>
                <w:szCs w:val="18"/>
                <w:color w:val="auto"/>
              </w:rPr>
              <w:t>Total current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16"/>
        </w:trPr>
        <w:tc>
          <w:tcPr>
            <w:tcW w:w="6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16"/>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09"/>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09"/>
        </w:trPr>
        <w:tc>
          <w:tcPr>
            <w:tcW w:w="6820" w:type="dxa"/>
            <w:vAlign w:val="bottom"/>
          </w:tcPr>
          <w:p>
            <w:pPr>
              <w:ind w:left="340"/>
              <w:spacing w:after="0"/>
              <w:rPr>
                <w:sz w:val="20"/>
                <w:szCs w:val="20"/>
                <w:color w:val="auto"/>
              </w:rPr>
            </w:pPr>
            <w:r>
              <w:rPr>
                <w:rFonts w:ascii="Arial" w:cs="Arial" w:eastAsia="Arial" w:hAnsi="Arial"/>
                <w:sz w:val="18"/>
                <w:szCs w:val="18"/>
                <w:color w:val="auto"/>
              </w:rPr>
              <w:t>Total provision for income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significant components of deferred tax assets and liabilities were as follows for the years ended June 30, 2021 and 2020:</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96"/>
              </w:rPr>
              <w:t>Year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4"/>
          </w:tcPr>
          <w:p>
            <w:pPr>
              <w:jc w:val="right"/>
              <w:ind w:right="551"/>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2,241</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net operating losses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uncollectible accounts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Accrued vacation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 and estimated claims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bonuses</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00"/>
              <w:spacing w:after="0"/>
              <w:rPr>
                <w:sz w:val="20"/>
                <w:szCs w:val="20"/>
                <w:color w:val="auto"/>
              </w:rPr>
            </w:pPr>
            <w:r>
              <w:rPr>
                <w:rFonts w:ascii="Arial" w:cs="Arial" w:eastAsia="Arial" w:hAnsi="Arial"/>
                <w:sz w:val="18"/>
                <w:szCs w:val="18"/>
                <w:color w:val="auto"/>
              </w:rPr>
              <w:t>Total deferred tax assets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Equity investment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deferred tax liabilities</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deferred tax liability</w:t>
            </w: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Carryforwards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had state net operating loss carryforwards of $30.9 million and $15.0 million at June 30, 2021 and 2020, respectively, which will begin to expire in 2037 if not utilized. Additionally, the Company has no federal net operating loss carryforwards as of June 30, 2021 and 2020.</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Valuation Allowance</w:t>
      </w:r>
    </w:p>
    <w:p>
      <w:pPr>
        <w:spacing w:after="0" w:line="18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has provided $1.9 million and $0.4 million at June 30, 2021 and June 30, 2020, respectively, as a valuation allowance against its deferred tax assets for state net operating losses where there is not sufficient positive evidence to substantiate that these deferred tax assets will be realized at a more-likely-than-not level of assurance.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w:t>
      </w:r>
    </w:p>
    <w:p>
      <w:pPr>
        <w:spacing w:after="0" w:line="19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As a result of the CARES Act, it is anticipated that the Company will fully utilize all interest expense with no additional disallowed interest expense through June 30, 2021. While several other CARES Act provisions may impact the Company, there have not been any significant impacts noted through June 30, 2021.</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had no uncertain tax positions at June 30, 2021 and 2020.</w:t>
      </w:r>
    </w:p>
    <w:p>
      <w:pPr>
        <w:spacing w:after="0" w:line="18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The Company files income tax returns as a consolidated group, excluding SH1 and InnovAge Sacramento, in the U.S. federal jurisdiction and various states and is subject to examination by taxing authorities in all of those jurisdictions. From time to time, the Company’s tax returns are reviewed or audited by U.S. federal and various U.S. state-taxing authorities.</w:t>
      </w:r>
    </w:p>
    <w:p>
      <w:pPr>
        <w:spacing w:after="0" w:line="12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and state jurisdictions for the period ended June 30, 2018 and forward. The Company is subject to income tax examinations by California, Colorado and New Mexico state jurisdictions for the period ended June 30, 2017 and forward.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Related Parties</w:t>
      </w:r>
    </w:p>
    <w:p>
      <w:pPr>
        <w:spacing w:after="0" w:line="18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PWD VIE</w:t>
      </w:r>
      <w:r>
        <w:rPr>
          <w:rFonts w:ascii="Arial" w:cs="Arial" w:eastAsia="Arial" w:hAnsi="Arial"/>
          <w:sz w:val="18"/>
          <w:szCs w:val="18"/>
          <w:color w:val="auto"/>
        </w:rPr>
        <w:t>. Pursuant to the PWD Amended and Restated Agreement of Limited Partnership, Continental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Housing, the general partner of PWD and our wholly-owned subsidiary (the “General Partner”), helped fund operating deficits and shortfalls of PWD in the form of a loan (the “PWD Loan”). At June 30, 2021 and 2020, $0.7 million and $0.6 million, respectively, was recorded in Deposits and other. The PWD Loan does not accrue interest. Additionally, the General Partner is paid an administration fee of $35,000 per year.</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Segment Reporting</w:t>
      </w:r>
    </w:p>
    <w:p>
      <w:pPr>
        <w:spacing w:after="0" w:line="18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5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June 30, 2021, the Company served approximately 6,850 PACE participants, making it the largest PACE provider in the U.S. based upon participants served, and operated 18 PACE centers across Colorado, California, New Mexico, Pennsylvania and Virginia. PACE, an alternative to nursing homes, is a managed care, capitated program, which serves the frail elderly in a community-based service model. Participants receive all medical services through a comprehensive, consolidated model of care. Capitation payments are received from Medicare parts C and D; Medicaid; VA, and private pay sources. The Company is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CMS share part of the risk for providing prescription medication to the Company’s participants.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44"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Company’s management uses Center-level Contribution Margin as the measure for assessing performance of its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twelve months ended: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June 30, 2021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June 30, 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PACE</w:t>
            </w:r>
          </w:p>
        </w:tc>
        <w:tc>
          <w:tcPr>
            <w:tcW w:w="14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PACE</w:t>
            </w:r>
          </w:p>
        </w:tc>
        <w:tc>
          <w:tcPr>
            <w:tcW w:w="16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1"/>
                <w:szCs w:val="11"/>
                <w:b w:val="1"/>
                <w:bCs w:val="1"/>
                <w:color w:val="auto"/>
              </w:rPr>
              <w:t>All other</w:t>
            </w:r>
            <w:r>
              <w:rPr>
                <w:rFonts w:ascii="Arial" w:cs="Arial" w:eastAsia="Arial" w:hAnsi="Arial"/>
                <w:sz w:val="16"/>
                <w:szCs w:val="16"/>
                <w:b w:val="1"/>
                <w:bCs w:val="1"/>
                <w:color w:val="auto"/>
                <w:vertAlign w:val="superscript"/>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Capitation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635,322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635,322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564,834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service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635,616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637,800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565,177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External provider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309,317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309,317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272,832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272,832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Cost of care, excluding depreciation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151,412</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154,403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149,637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Center-Level Contribution Margin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174,887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174,080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142,708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(1,404)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141,304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line="210" w:lineRule="exact"/>
              <w:rPr>
                <w:sz w:val="20"/>
                <w:szCs w:val="20"/>
                <w:color w:val="auto"/>
              </w:rPr>
            </w:pPr>
            <w:r>
              <w:rPr>
                <w:rFonts w:ascii="Arial" w:cs="Arial" w:eastAsia="Arial" w:hAnsi="Arial"/>
                <w:sz w:val="17"/>
                <w:szCs w:val="17"/>
                <w:color w:val="auto"/>
              </w:rPr>
              <w:t>Overhead costs</w:t>
            </w:r>
            <w:r>
              <w:rPr>
                <w:rFonts w:ascii="Arial" w:cs="Arial" w:eastAsia="Arial" w:hAnsi="Arial"/>
                <w:sz w:val="24"/>
                <w:szCs w:val="24"/>
                <w:color w:val="auto"/>
                <w:vertAlign w:val="superscript"/>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154,607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154,569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Equity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Other operating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equity method investment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(2,568)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56" w:lineRule="exact"/>
        <w:rPr>
          <w:rFonts w:ascii="Arial" w:cs="Arial" w:eastAsia="Arial" w:hAnsi="Arial"/>
          <w:sz w:val="18"/>
          <w:szCs w:val="18"/>
          <w:color w:val="auto"/>
        </w:rPr>
      </w:pPr>
    </w:p>
    <w:p>
      <w:pPr>
        <w:ind w:left="380" w:hanging="330"/>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Overhead consists of the Sales and marketing and Corporate, general and administrative financial statement line items.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Earnings per Share</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As of June 30, 2020, there were 8,084,243 performance-based awards excluded from the calculation of diluted EPS.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values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income (loss) attributable to InnovAge Holding Corp.</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(basic)</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123,618,702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132,616,431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(basic)</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Dilutive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Weighted average common shares outstanding (diluted)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123,618,702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135,233,630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(diluted)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Subsequent Event</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2021.</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to our Internal Control over Financial Reporting</w:t>
      </w:r>
    </w:p>
    <w:p>
      <w:pPr>
        <w:spacing w:after="0" w:line="189"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There were no material changes in our internal control over financial reporting during the quarter ended June 30, 2021 that has materially affected, or are reasonably likely to materially affect, our internal control over financial reporting.</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9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 Additionally, our independent registered public accounting firm is not and will not be required to report on the effectiveness of our internal control over financial reporting pursuant to Section 404 until we cease to be an “emerging growth company” as defined in the JOBS Act.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2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information required by this item, other than the information regarding the code of ethics and business conduct set forth below, will be set forth in the Proxy Statement relating to our 2022 Annual Meeting of Stockholders (the “Proxy Statement”), which is expected to be filed with the Securities and Exchange Commission (the “SEC”) within 120 days of the fiscal year ended June 30, 2021, and is incorporated in this Annual Report by reference.</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00" w:right="119" w:firstLine="324"/>
        <w:spacing w:after="0" w:line="255" w:lineRule="auto"/>
        <w:rPr>
          <w:sz w:val="20"/>
          <w:szCs w:val="20"/>
          <w:color w:val="auto"/>
        </w:rPr>
      </w:pPr>
      <w:r>
        <w:rPr>
          <w:rFonts w:ascii="Arial" w:cs="Arial" w:eastAsia="Arial" w:hAnsi="Arial"/>
          <w:sz w:val="18"/>
          <w:szCs w:val="18"/>
          <w:color w:val="auto"/>
        </w:rPr>
        <w:t>We have adopted a written Code of Ethics that applies to our directors, executive officers and employees, including our Chief Executive Officer, Chief Financial Officer and officers responsible for financial reporting. A current copy of the code is publicly available under “Governance” on the Investor Relations section of our website, www.investor.innovage.com. Any substantive amendments to or waivers from the Code of Ethics (to the extent applicable to our Chief Executive Officer, Chief Financial Officer or officers responsible for financial reporting) will be disclosed on this page of the Company’s website.</w:t>
      </w:r>
    </w:p>
    <w:p>
      <w:pPr>
        <w:spacing w:after="0" w:line="269"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will be set forth in the Proxy Statement, which is expected to be filed with the SEC no later than 120 days after the end of our fiscal year ended June 30, 2021, and is incorporated in this Annual Report by reference.</w:t>
      </w:r>
    </w:p>
    <w:p>
      <w:pPr>
        <w:spacing w:after="0" w:line="274" w:lineRule="exact"/>
        <w:rPr>
          <w:sz w:val="20"/>
          <w:szCs w:val="20"/>
          <w:color w:val="auto"/>
        </w:rPr>
      </w:pPr>
    </w:p>
    <w:p>
      <w:pPr>
        <w:ind w:left="1280" w:right="219" w:hanging="1214"/>
        <w:spacing w:after="0" w:line="282" w:lineRule="auto"/>
        <w:tabs>
          <w:tab w:leader="none" w:pos="12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will be set forth in the Proxy Statement, which is expected to be filed with the SEC no later than 120 days after the end of our fiscal year ended June 30, 2021, and is incorporated in this Annual Report by reference.</w:t>
      </w:r>
    </w:p>
    <w:p>
      <w:pPr>
        <w:spacing w:after="0" w:line="274" w:lineRule="exact"/>
        <w:rPr>
          <w:sz w:val="20"/>
          <w:szCs w:val="20"/>
          <w:color w:val="auto"/>
        </w:rPr>
      </w:pPr>
    </w:p>
    <w:p>
      <w:pPr>
        <w:ind w:left="1280" w:right="1119" w:hanging="1214"/>
        <w:spacing w:after="0" w:line="282" w:lineRule="auto"/>
        <w:tabs>
          <w:tab w:leader="none" w:pos="12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4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will be set forth in the Proxy Statement, which is expected to be filed with the SEC no later than 120 days after the end of our fiscal year ended June 30, 2021, and is incorporated in this Annual Report by reference.</w:t>
      </w:r>
    </w:p>
    <w:p>
      <w:pPr>
        <w:spacing w:after="0" w:line="26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jc w:val="both"/>
        <w:ind w:left="60" w:right="59" w:firstLine="446"/>
        <w:spacing w:after="0" w:line="263" w:lineRule="auto"/>
        <w:rPr>
          <w:sz w:val="20"/>
          <w:szCs w:val="20"/>
          <w:color w:val="auto"/>
        </w:rPr>
      </w:pPr>
      <w:r>
        <w:rPr>
          <w:rFonts w:ascii="Arial" w:cs="Arial" w:eastAsia="Arial" w:hAnsi="Arial"/>
          <w:sz w:val="18"/>
          <w:szCs w:val="18"/>
          <w:color w:val="auto"/>
        </w:rPr>
        <w:t>The information required by this item will be set forth in the Proxy Statement, which is expected to be filed with the SEC no later than 120 days after the end of our fiscal year ended June 30, 2021, and is incorporated in this Annual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9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statements required under this Item begin on page 77 of this Annual Report on Form 10-K.</w:t>
      </w:r>
    </w:p>
    <w:p>
      <w:pPr>
        <w:spacing w:after="0" w:line="22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(a) (2)</w:t>
      </w:r>
      <w:r>
        <w:rPr>
          <w:sz w:val="20"/>
          <w:szCs w:val="20"/>
          <w:color w:val="auto"/>
        </w:rPr>
        <w:tab/>
      </w:r>
      <w:r>
        <w:rPr>
          <w:rFonts w:ascii="Arial" w:cs="Arial" w:eastAsia="Arial" w:hAnsi="Arial"/>
          <w:sz w:val="17"/>
          <w:szCs w:val="17"/>
          <w:color w:val="auto"/>
        </w:rPr>
        <w:t>FINANCIAL STATEMENT SCHEDULES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schedules are omitted because the required information is either inapplicable or presented within the consolidated financial statements or related notes.</w:t>
      </w:r>
    </w:p>
    <w:p>
      <w:pPr>
        <w:spacing w:after="0" w:line="130"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(a) (3)</w:t>
      </w:r>
      <w:r>
        <w:rPr>
          <w:sz w:val="20"/>
          <w:szCs w:val="20"/>
          <w:color w:val="auto"/>
        </w:rPr>
        <w:tab/>
      </w:r>
      <w:r>
        <w:rPr>
          <w:rFonts w:ascii="Arial" w:cs="Arial" w:eastAsia="Arial" w:hAnsi="Arial"/>
          <w:sz w:val="17"/>
          <w:szCs w:val="17"/>
          <w:color w:val="auto"/>
        </w:rPr>
        <w:t>EXHIBITS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Exhibits not filed herewith are incorporated by reference to exhibits previously filed with the SEC, as reflected in the table below.</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1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766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196"/>
        </w:trPr>
        <w:tc>
          <w:tcPr>
            <w:tcW w:w="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No.</w:t>
            </w:r>
          </w:p>
        </w:tc>
        <w:tc>
          <w:tcPr>
            <w:tcW w:w="6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72"/>
        </w:trPr>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Second Amended and Restated Certificate of Incorporation of InnovAge Holding Corp., filed March 3,</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2021 (incorporated by reference to Exhibit 3.1 to the Company’s Current Report on Form 8-K filed with</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the SEC on March 8, 2021).</w:t>
              </w:r>
            </w:hyperlink>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5"/>
              </w:rPr>
            </w:pPr>
            <w:hyperlink r:id="rId138">
              <w:r>
                <w:rPr>
                  <w:rFonts w:ascii="Arial" w:cs="Arial" w:eastAsia="Arial" w:hAnsi="Arial"/>
                  <w:sz w:val="18"/>
                  <w:szCs w:val="18"/>
                  <w:color w:val="0000EE"/>
                  <w:w w:val="95"/>
                </w:rPr>
                <w:t>Amended and Restated Bylaws of InnovAge Holding Corp., effective March 3, 2021 (incorporated by</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reference to Exhibit 3.2 to the Company’s Current Report on Form 8-K filed with the SEC on March 8,</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38">
              <w:r>
                <w:rPr>
                  <w:rFonts w:ascii="Arial" w:cs="Arial" w:eastAsia="Arial" w:hAnsi="Arial"/>
                  <w:sz w:val="18"/>
                  <w:szCs w:val="18"/>
                  <w:color w:val="0000EE"/>
                  <w:w w:val="86"/>
                </w:rPr>
                <w:t>2021).</w:t>
              </w:r>
            </w:hyperlink>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71"/>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Description of Securities</w:t>
              </w:r>
            </w:hyperlink>
          </w:p>
        </w:tc>
        <w:tc>
          <w:tcPr>
            <w:tcW w:w="5860" w:type="dxa"/>
            <w:vAlign w:val="bottom"/>
            <w:gridSpan w:val="6"/>
          </w:tcPr>
          <w:p>
            <w:pPr>
              <w:spacing w:after="0"/>
              <w:rPr>
                <w:sz w:val="24"/>
                <w:szCs w:val="24"/>
                <w:color w:val="auto"/>
              </w:rPr>
            </w:pPr>
          </w:p>
        </w:tc>
      </w:tr>
      <w:tr>
        <w:trPr>
          <w:trHeight w:val="372"/>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Registration Rights Agreement, dated as of March 8, 2021, by and among the Company and the other</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signatories party thereto (incorporated by reference to Exhibit 4.1 to the Company’s Current Report on</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Form 8-K filed with the SEC on March 8, 2021).</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33">
              <w:r>
                <w:rPr>
                  <w:rFonts w:ascii="Arial" w:cs="Arial" w:eastAsia="Arial" w:hAnsi="Arial"/>
                  <w:sz w:val="18"/>
                  <w:szCs w:val="18"/>
                  <w:color w:val="0000EE"/>
                  <w:w w:val="91"/>
                </w:rPr>
                <w:t>Stock Purchase Warrant Agreement, with an issuance date of March 18, 2019, by and between InnovAge</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Holding Corp. and Adventist Health System/West.</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4"/>
              </w:rPr>
            </w:pPr>
            <w:hyperlink r:id="rId140">
              <w:r>
                <w:rPr>
                  <w:rFonts w:ascii="Arial" w:cs="Arial" w:eastAsia="Arial" w:hAnsi="Arial"/>
                  <w:sz w:val="18"/>
                  <w:szCs w:val="18"/>
                  <w:color w:val="0000EE"/>
                  <w:w w:val="94"/>
                </w:rPr>
                <w:t>Amended and Restated Amendment to InnovAge Holding Corp. Stock Purchase Warrant Agreement,</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effective as of February 9, 2021, by and between InnovAge Holding Corp. and Adventist Health</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System/West (incorporated by reference to Exhibit 10.4 to the Company’s Quarterly Report on Form 10-</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Q filed with the SEC on May 11, 2021).</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Director Nomination Agreement, dated as of March 8, 2021, by and among the Company and the other</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signatories party thereto (incorporated by reference to Exhibit 10.1 to the Company’s Current Report on</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Form 8-K filed with the SEC on March 8, 2021).</w:t>
              </w:r>
            </w:hyperlink>
          </w:p>
        </w:tc>
      </w:tr>
      <w:tr>
        <w:trPr>
          <w:trHeight w:val="20"/>
        </w:trPr>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7660" w:type="dxa"/>
            <w:vAlign w:val="bottom"/>
            <w:tcBorders>
              <w:bottom w:val="single" w:sz="8" w:color="0000EE"/>
            </w:tcBorders>
            <w:gridSpan w:val="9"/>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Credit Agreement, dated as of March 8, 2021, by and among Total Community Options, Inc., the</w:t>
              </w:r>
            </w:hyperlink>
          </w:p>
        </w:tc>
      </w:tr>
      <w:tr>
        <w:trPr>
          <w:trHeight w:val="196"/>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60" w:type="dxa"/>
            <w:vAlign w:val="bottom"/>
            <w:gridSpan w:val="9"/>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Borrower, JPMorgan Chase Bank, N.A., as administrative agent, and the other parties thereto</w:t>
              </w:r>
            </w:hyperlink>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517" w:right="1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5880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(incorporated by reference to Exhibit 10.1 to the Company’s Current Report on Form 8-K filed with the</w:t>
              </w:r>
            </w:hyperlink>
          </w:p>
        </w:tc>
      </w:tr>
      <w:tr>
        <w:trPr>
          <w:trHeight w:val="196"/>
        </w:trPr>
        <w:tc>
          <w:tcPr>
            <w:tcW w:w="1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SEC on March 12, 2021).</w:t>
              </w:r>
            </w:hyperlink>
          </w:p>
        </w:tc>
        <w:tc>
          <w:tcPr>
            <w:tcW w:w="5800" w:type="dxa"/>
            <w:vAlign w:val="bottom"/>
            <w:gridSpan w:val="14"/>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Form of Director and Officer Indemnification Agreement between the Company and each of its directors</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and executive officers (incorporated by reference to Exhibit 10.2 to the Company’s Registration Statement</w:t>
              </w:r>
            </w:hyperlink>
          </w:p>
        </w:tc>
      </w:tr>
      <w:tr>
        <w:trPr>
          <w:trHeight w:val="196"/>
        </w:trPr>
        <w:tc>
          <w:tcPr>
            <w:tcW w:w="118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on Form S-1 filed with the SEC on February 8, 2021).</w:t>
              </w:r>
            </w:hyperlink>
          </w:p>
        </w:tc>
      </w:tr>
      <w:tr>
        <w:trPr>
          <w:trHeight w:val="20"/>
        </w:trPr>
        <w:tc>
          <w:tcPr>
            <w:tcW w:w="118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Employment Agreement, dated as of October 30, 2015, by and between Maureen Hewitt and the</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Company (incorporated by reference to Exhibit 10.6 to the Company’s Registration Statement on Form S-</w:t>
              </w:r>
            </w:hyperlink>
          </w:p>
        </w:tc>
      </w:tr>
      <w:tr>
        <w:trPr>
          <w:trHeight w:val="196"/>
        </w:trPr>
        <w:tc>
          <w:tcPr>
            <w:tcW w:w="118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1 filed with the SEC on February 8, 2021).</w:t>
              </w:r>
            </w:hyperlink>
          </w:p>
        </w:tc>
      </w:tr>
      <w:tr>
        <w:trPr>
          <w:trHeight w:val="20"/>
        </w:trPr>
        <w:tc>
          <w:tcPr>
            <w:tcW w:w="118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8"/>
              </w:rPr>
            </w:pPr>
            <w:hyperlink r:id="rId146">
              <w:r>
                <w:rPr>
                  <w:rFonts w:ascii="Arial" w:cs="Arial" w:eastAsia="Arial" w:hAnsi="Arial"/>
                  <w:sz w:val="18"/>
                  <w:szCs w:val="18"/>
                  <w:color w:val="0000EE"/>
                  <w:w w:val="98"/>
                </w:rPr>
                <w:t>Employment Agreement, dated as of April 13, 2017, by and between Barbara Gutierrez and Total</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Community Options, Inc. (incorporated by reference to Exhibit 10.7 to the Company’s Registration</w:t>
              </w:r>
            </w:hyperlink>
          </w:p>
        </w:tc>
      </w:tr>
      <w:tr>
        <w:trPr>
          <w:trHeight w:val="196"/>
        </w:trPr>
        <w:tc>
          <w:tcPr>
            <w:tcW w:w="118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Statement on Form S-1 filed with the SEC on February 8, 2021).</w:t>
              </w:r>
            </w:hyperlink>
          </w:p>
        </w:tc>
      </w:tr>
      <w:tr>
        <w:trPr>
          <w:trHeight w:val="20"/>
        </w:trPr>
        <w:tc>
          <w:tcPr>
            <w:tcW w:w="118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Employment Agreement, dated as of October 30, 2015, by and between Gina DeBlassie and the Company</w:t>
              </w:r>
            </w:hyperlink>
          </w:p>
        </w:tc>
      </w:tr>
      <w:tr>
        <w:trPr>
          <w:trHeight w:val="196"/>
        </w:trPr>
        <w:tc>
          <w:tcPr>
            <w:tcW w:w="118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47">
              <w:r>
                <w:rPr>
                  <w:rFonts w:ascii="Arial" w:cs="Arial" w:eastAsia="Arial" w:hAnsi="Arial"/>
                  <w:sz w:val="18"/>
                  <w:szCs w:val="18"/>
                  <w:color w:val="0000EE"/>
                  <w:w w:val="94"/>
                </w:rPr>
                <w:t>(incorporated by reference to Exhibit 10.8 to the Company’s Registration Statement on Form S-1 filed</w:t>
              </w:r>
            </w:hyperlink>
          </w:p>
        </w:tc>
      </w:tr>
      <w:tr>
        <w:trPr>
          <w:trHeight w:val="196"/>
        </w:trPr>
        <w:tc>
          <w:tcPr>
            <w:tcW w:w="118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with the SEC on February 8, 2021).</w:t>
              </w:r>
            </w:hyperlink>
          </w:p>
        </w:tc>
        <w:tc>
          <w:tcPr>
            <w:tcW w:w="5080" w:type="dxa"/>
            <w:vAlign w:val="bottom"/>
            <w:gridSpan w:val="12"/>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InnovAge Holding Corp. 2021 Omnibus Incentive Plan (incorporated by reference to Exhibit 10.1 to the</w:t>
              </w:r>
            </w:hyperlink>
          </w:p>
        </w:tc>
      </w:tr>
      <w:tr>
        <w:trPr>
          <w:trHeight w:val="196"/>
        </w:trPr>
        <w:tc>
          <w:tcPr>
            <w:tcW w:w="1180" w:type="dxa"/>
            <w:vAlign w:val="bottom"/>
          </w:tcPr>
          <w:p>
            <w:pPr>
              <w:spacing w:after="0"/>
              <w:rPr>
                <w:sz w:val="17"/>
                <w:szCs w:val="17"/>
                <w:color w:val="auto"/>
              </w:rPr>
            </w:pPr>
          </w:p>
        </w:tc>
        <w:tc>
          <w:tcPr>
            <w:tcW w:w="62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Company’s Registration Statement on Form S-8 filed with the SEC on March 5, 2021).</w:t>
              </w:r>
            </w:hyperlink>
          </w:p>
        </w:tc>
        <w:tc>
          <w:tcPr>
            <w:tcW w:w="1380" w:type="dxa"/>
            <w:vAlign w:val="bottom"/>
            <w:gridSpan w:val="6"/>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TCO Group Holdings, Inc. 2016 Equity Incentive Plan (incorporated by reference to Exhibit 10.4 to the</w:t>
              </w:r>
            </w:hyperlink>
          </w:p>
        </w:tc>
      </w:tr>
      <w:tr>
        <w:trPr>
          <w:trHeight w:val="196"/>
        </w:trPr>
        <w:tc>
          <w:tcPr>
            <w:tcW w:w="1180" w:type="dxa"/>
            <w:vAlign w:val="bottom"/>
          </w:tcPr>
          <w:p>
            <w:pPr>
              <w:spacing w:after="0"/>
              <w:rPr>
                <w:sz w:val="17"/>
                <w:szCs w:val="17"/>
                <w:color w:val="auto"/>
              </w:rPr>
            </w:pPr>
          </w:p>
        </w:tc>
        <w:tc>
          <w:tcPr>
            <w:tcW w:w="6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Company’s Registration Statement on Form S-1 filed with the SEC on February 8, 2021).</w:t>
              </w:r>
            </w:hyperlink>
          </w:p>
        </w:tc>
        <w:tc>
          <w:tcPr>
            <w:tcW w:w="1200" w:type="dxa"/>
            <w:vAlign w:val="bottom"/>
            <w:gridSpan w:val="5"/>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6"/>
              </w:rPr>
            </w:pPr>
            <w:hyperlink r:id="rId150">
              <w:r>
                <w:rPr>
                  <w:rFonts w:ascii="Arial" w:cs="Arial" w:eastAsia="Arial" w:hAnsi="Arial"/>
                  <w:sz w:val="18"/>
                  <w:szCs w:val="18"/>
                  <w:color w:val="0000EE"/>
                  <w:w w:val="96"/>
                </w:rPr>
                <w:t>Form of Stock Option Grant Notice and Agreement (incorporated by reference to Exhibit 10.9 to the</w:t>
              </w:r>
            </w:hyperlink>
          </w:p>
        </w:tc>
      </w:tr>
      <w:tr>
        <w:trPr>
          <w:trHeight w:val="196"/>
        </w:trPr>
        <w:tc>
          <w:tcPr>
            <w:tcW w:w="118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Company’s Registration Statement on Form S-1/A filed with the SEC on February 24, 2021).</w:t>
              </w:r>
            </w:hyperlink>
          </w:p>
        </w:tc>
      </w:tr>
      <w:tr>
        <w:trPr>
          <w:trHeight w:val="20"/>
        </w:trPr>
        <w:tc>
          <w:tcPr>
            <w:tcW w:w="118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Form of Restricted Stock Unit Grant Notice and Agreement (incorporated by reference to Exhibit 10.10 to</w:t>
              </w:r>
            </w:hyperlink>
          </w:p>
        </w:tc>
      </w:tr>
      <w:tr>
        <w:trPr>
          <w:trHeight w:val="196"/>
        </w:trPr>
        <w:tc>
          <w:tcPr>
            <w:tcW w:w="118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the Company’s Registration Statement on Form S-1/A filed with the SEC on February 24, 2021).</w:t>
              </w:r>
            </w:hyperlink>
          </w:p>
        </w:tc>
        <w:tc>
          <w:tcPr>
            <w:tcW w:w="660" w:type="dxa"/>
            <w:vAlign w:val="bottom"/>
            <w:gridSpan w:val="3"/>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21*</w:t>
            </w:r>
          </w:p>
        </w:tc>
        <w:tc>
          <w:tcPr>
            <w:tcW w:w="7660" w:type="dxa"/>
            <w:vAlign w:val="bottom"/>
            <w:gridSpan w:val="15"/>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Subsidiaries of InnovAge Holding Corp.</w:t>
              </w:r>
            </w:hyperlink>
          </w:p>
        </w:tc>
      </w:tr>
      <w:tr>
        <w:trPr>
          <w:trHeight w:val="371"/>
        </w:trPr>
        <w:tc>
          <w:tcPr>
            <w:tcW w:w="1180" w:type="dxa"/>
            <w:vAlign w:val="bottom"/>
          </w:tcPr>
          <w:p>
            <w:pPr>
              <w:spacing w:after="0"/>
              <w:rPr>
                <w:sz w:val="20"/>
                <w:szCs w:val="20"/>
                <w:color w:val="auto"/>
              </w:rPr>
            </w:pPr>
            <w:r>
              <w:rPr>
                <w:rFonts w:ascii="Arial" w:cs="Arial" w:eastAsia="Arial" w:hAnsi="Arial"/>
                <w:sz w:val="18"/>
                <w:szCs w:val="18"/>
                <w:color w:val="auto"/>
              </w:rPr>
              <w:t>23*</w:t>
            </w:r>
          </w:p>
        </w:tc>
        <w:tc>
          <w:tcPr>
            <w:tcW w:w="2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Consent of Deloitte &amp; Touche LLP</w:t>
              </w:r>
            </w:hyperlink>
          </w:p>
        </w:tc>
        <w:tc>
          <w:tcPr>
            <w:tcW w:w="380" w:type="dxa"/>
            <w:vAlign w:val="bottom"/>
            <w:tcBorders>
              <w:top w:val="single" w:sz="8" w:color="0000EE"/>
            </w:tcBorders>
            <w:gridSpan w:val="2"/>
          </w:tcPr>
          <w:p>
            <w:pPr>
              <w:spacing w:after="0"/>
              <w:rPr>
                <w:sz w:val="24"/>
                <w:szCs w:val="24"/>
                <w:color w:val="auto"/>
              </w:rPr>
            </w:pPr>
          </w:p>
        </w:tc>
        <w:tc>
          <w:tcPr>
            <w:tcW w:w="4740" w:type="dxa"/>
            <w:vAlign w:val="bottom"/>
            <w:gridSpan w:val="11"/>
          </w:tcPr>
          <w:p>
            <w:pPr>
              <w:spacing w:after="0"/>
              <w:rPr>
                <w:sz w:val="24"/>
                <w:szCs w:val="24"/>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24*</w:t>
            </w:r>
          </w:p>
        </w:tc>
        <w:tc>
          <w:tcPr>
            <w:tcW w:w="7660" w:type="dxa"/>
            <w:vAlign w:val="bottom"/>
            <w:gridSpan w:val="15"/>
          </w:tcPr>
          <w:p>
            <w:pPr>
              <w:spacing w:after="0"/>
              <w:rPr>
                <w:sz w:val="20"/>
                <w:szCs w:val="20"/>
                <w:color w:val="auto"/>
              </w:rPr>
            </w:pPr>
            <w:r>
              <w:rPr>
                <w:rFonts w:ascii="Arial" w:cs="Arial" w:eastAsia="Arial" w:hAnsi="Arial"/>
                <w:sz w:val="18"/>
                <w:szCs w:val="18"/>
                <w:color w:val="auto"/>
              </w:rPr>
              <w:t>Powers of Attorney (included on signature page)</w:t>
            </w:r>
          </w:p>
        </w:tc>
      </w:tr>
      <w:tr>
        <w:trPr>
          <w:trHeight w:val="351"/>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72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Certification of Chief Executive Officer Pursuant to Section 302 of the Sarbanes-Oxley Act of 2002</w:t>
              </w:r>
            </w:hyperlink>
          </w:p>
        </w:tc>
        <w:tc>
          <w:tcPr>
            <w:tcW w:w="460" w:type="dxa"/>
            <w:vAlign w:val="bottom"/>
          </w:tcPr>
          <w:p>
            <w:pPr>
              <w:spacing w:after="0"/>
              <w:rPr>
                <w:sz w:val="24"/>
                <w:szCs w:val="24"/>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7660" w:type="dxa"/>
            <w:vAlign w:val="bottom"/>
            <w:gridSpan w:val="15"/>
          </w:tcPr>
          <w:p>
            <w:pPr>
              <w:spacing w:after="0"/>
              <w:rPr>
                <w:rFonts w:ascii="Arial" w:cs="Arial" w:eastAsia="Arial" w:hAnsi="Arial"/>
                <w:sz w:val="18"/>
                <w:szCs w:val="18"/>
                <w:color w:val="0000EE"/>
                <w:w w:val="98"/>
              </w:rPr>
            </w:pPr>
            <w:hyperlink w:anchor="page149">
              <w:r>
                <w:rPr>
                  <w:rFonts w:ascii="Arial" w:cs="Arial" w:eastAsia="Arial" w:hAnsi="Arial"/>
                  <w:sz w:val="18"/>
                  <w:szCs w:val="18"/>
                  <w:color w:val="0000EE"/>
                  <w:w w:val="98"/>
                </w:rPr>
                <w:t>Certification of Chief Financial Officer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3720" w:type="dxa"/>
            <w:vAlign w:val="bottom"/>
            <w:gridSpan w:val="7"/>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150">
              <w:r>
                <w:rPr>
                  <w:rFonts w:ascii="Arial" w:cs="Arial" w:eastAsia="Arial" w:hAnsi="Arial"/>
                  <w:sz w:val="18"/>
                  <w:szCs w:val="18"/>
                  <w:color w:val="0000EE"/>
                  <w:w w:val="97"/>
                </w:rPr>
                <w:t>Certification of Chief Executive Officer Pursuant to 18 U.S.C. Section 1350, as adopted pursuant to</w:t>
              </w:r>
            </w:hyperlink>
          </w:p>
        </w:tc>
      </w:tr>
      <w:tr>
        <w:trPr>
          <w:trHeight w:val="196"/>
        </w:trPr>
        <w:tc>
          <w:tcPr>
            <w:tcW w:w="11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Section 906 of the Sarbanes-Oxley Act of 2002</w:t>
              </w:r>
            </w:hyperlink>
          </w:p>
        </w:tc>
        <w:tc>
          <w:tcPr>
            <w:tcW w:w="4240" w:type="dxa"/>
            <w:vAlign w:val="bottom"/>
            <w:gridSpan w:val="9"/>
          </w:tcPr>
          <w:p>
            <w:pPr>
              <w:spacing w:after="0"/>
              <w:rPr>
                <w:sz w:val="17"/>
                <w:szCs w:val="17"/>
                <w:color w:val="auto"/>
              </w:rPr>
            </w:pPr>
          </w:p>
        </w:tc>
      </w:tr>
      <w:tr>
        <w:trPr>
          <w:trHeight w:val="371"/>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151">
              <w:r>
                <w:rPr>
                  <w:rFonts w:ascii="Arial" w:cs="Arial" w:eastAsia="Arial" w:hAnsi="Arial"/>
                  <w:sz w:val="18"/>
                  <w:szCs w:val="18"/>
                  <w:color w:val="0000EE"/>
                  <w:w w:val="97"/>
                </w:rPr>
                <w:t>Certification of Chief Financial Officer Pursuant to 18 U.S.C. Section 1350, as adopted pursuant to</w:t>
              </w:r>
            </w:hyperlink>
          </w:p>
        </w:tc>
      </w:tr>
      <w:tr>
        <w:trPr>
          <w:trHeight w:val="196"/>
        </w:trPr>
        <w:tc>
          <w:tcPr>
            <w:tcW w:w="118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Section 906 of the Sarbanes-Oxley Act of 2002</w:t>
              </w:r>
            </w:hyperlink>
          </w:p>
        </w:tc>
        <w:tc>
          <w:tcPr>
            <w:tcW w:w="4240" w:type="dxa"/>
            <w:vAlign w:val="bottom"/>
            <w:gridSpan w:val="9"/>
          </w:tcPr>
          <w:p>
            <w:pPr>
              <w:spacing w:after="0"/>
              <w:rPr>
                <w:sz w:val="17"/>
                <w:szCs w:val="17"/>
                <w:color w:val="auto"/>
              </w:rPr>
            </w:pPr>
          </w:p>
        </w:tc>
      </w:tr>
      <w:tr>
        <w:trPr>
          <w:trHeight w:val="398"/>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7660" w:type="dxa"/>
            <w:vAlign w:val="bottom"/>
            <w:gridSpan w:val="15"/>
          </w:tcPr>
          <w:p>
            <w:pPr>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w:t>
            </w:r>
          </w:p>
        </w:tc>
      </w:tr>
      <w:tr>
        <w:trPr>
          <w:trHeight w:val="230"/>
        </w:trPr>
        <w:tc>
          <w:tcPr>
            <w:tcW w:w="1180" w:type="dxa"/>
            <w:vAlign w:val="bottom"/>
          </w:tcPr>
          <w:p>
            <w:pPr>
              <w:spacing w:after="0"/>
              <w:rPr>
                <w:sz w:val="20"/>
                <w:szCs w:val="20"/>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391"/>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76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76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76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0" w:lineRule="exact"/>
        <w:rPr>
          <w:sz w:val="20"/>
          <w:szCs w:val="20"/>
          <w:color w:val="auto"/>
        </w:rPr>
      </w:pPr>
    </w:p>
    <w:p>
      <w:pPr>
        <w:sectPr>
          <w:pgSz w:w="11900" w:h="16838" w:orient="portrait"/>
          <w:cols w:equalWidth="0" w:num="1">
            <w:col w:w="9139"/>
          </w:cols>
          <w:pgMar w:left="1320" w:top="517" w:right="1440" w:bottom="1440" w:gutter="0" w:footer="0" w:header="0"/>
        </w:sectPr>
      </w:pPr>
    </w:p>
    <w:p>
      <w:pPr>
        <w:spacing w:after="0" w:line="393"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5880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517" w:right="1440" w:bottom="1440" w:gutter="0" w:footer="0" w:header="0"/>
          <w:type w:val="continuous"/>
        </w:sectPr>
      </w:pPr>
    </w:p>
    <w:bookmarkStart w:id="122" w:name="page123"/>
    <w:bookmarkEnd w:id="122"/>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241"/>
          </w:cols>
          <w:pgMar w:left="1319" w:top="51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1"/>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07" w:lineRule="exact"/>
        <w:rPr>
          <w:sz w:val="20"/>
          <w:szCs w:val="20"/>
          <w:color w:val="auto"/>
        </w:rPr>
      </w:pPr>
    </w:p>
    <w:p>
      <w:pPr>
        <w:sectPr>
          <w:pgSz w:w="11900" w:h="16838" w:orient="portrait"/>
          <w:cols w:equalWidth="0" w:num="2">
            <w:col w:w="861" w:space="420"/>
            <w:col w:w="7960"/>
          </w:cols>
          <w:pgMar w:left="1319" w:top="517" w:right="1339" w:bottom="1440" w:gutter="0" w:footer="0" w:header="0"/>
          <w:type w:val="continuous"/>
        </w:sectPr>
      </w:pPr>
    </w:p>
    <w:p>
      <w:pPr>
        <w:ind w:left="101"/>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w:t>
      </w:r>
    </w:p>
    <w:p>
      <w:pPr>
        <w:spacing w:after="0" w:line="200" w:lineRule="exact"/>
        <w:rPr>
          <w:sz w:val="20"/>
          <w:szCs w:val="20"/>
          <w:color w:val="auto"/>
        </w:rPr>
      </w:pPr>
    </w:p>
    <w:p>
      <w:pPr>
        <w:sectPr>
          <w:pgSz w:w="11900" w:h="16838" w:orient="portrait"/>
          <w:cols w:equalWidth="0" w:num="2">
            <w:col w:w="561" w:space="720"/>
            <w:col w:w="7960"/>
          </w:cols>
          <w:pgMar w:left="1319" w:top="517" w:right="1339" w:bottom="1440" w:gutter="0" w:footer="0" w:header="0"/>
          <w:type w:val="continuous"/>
        </w:sectPr>
      </w:pPr>
    </w:p>
    <w:p>
      <w:pPr>
        <w:spacing w:after="0" w:line="224" w:lineRule="exact"/>
        <w:rPr>
          <w:sz w:val="20"/>
          <w:szCs w:val="20"/>
          <w:color w:val="auto"/>
        </w:rPr>
      </w:pPr>
    </w:p>
    <w:p>
      <w:pPr>
        <w:ind w:left="1"/>
        <w:spacing w:after="0"/>
        <w:rPr>
          <w:sz w:val="20"/>
          <w:szCs w:val="20"/>
          <w:color w:val="auto"/>
        </w:rPr>
      </w:pPr>
      <w:r>
        <w:rPr>
          <w:rFonts w:ascii="Arial" w:cs="Arial" w:eastAsia="Arial" w:hAnsi="Arial"/>
          <w:sz w:val="18"/>
          <w:szCs w:val="18"/>
          <w:color w:val="auto"/>
        </w:rPr>
        <w:t>_________________________________________</w:t>
      </w:r>
    </w:p>
    <w:p>
      <w:pPr>
        <w:spacing w:after="0" w:line="185" w:lineRule="exact"/>
        <w:rPr>
          <w:sz w:val="20"/>
          <w:szCs w:val="20"/>
          <w:color w:val="auto"/>
        </w:rPr>
      </w:pPr>
    </w:p>
    <w:p>
      <w:pPr>
        <w:ind w:left="641" w:hanging="641"/>
        <w:spacing w:after="0"/>
        <w:tabs>
          <w:tab w:leader="none" w:pos="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(and not filed) herewith pursuant to Item 601(b)(32)(ii) of the SEC’s Regulation S-K</w:t>
      </w:r>
    </w:p>
    <w:p>
      <w:pPr>
        <w:spacing w:after="0" w:line="9" w:lineRule="exact"/>
        <w:rPr>
          <w:rFonts w:ascii="Arial" w:cs="Arial" w:eastAsia="Arial" w:hAnsi="Arial"/>
          <w:sz w:val="18"/>
          <w:szCs w:val="18"/>
          <w:color w:val="auto"/>
        </w:rPr>
      </w:pPr>
    </w:p>
    <w:p>
      <w:pPr>
        <w:ind w:left="641" w:hanging="648"/>
        <w:spacing w:after="0" w:line="260" w:lineRule="auto"/>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601(a)(5) of the SEC’s Regulation S-K and will be provided on a supplemental basis to the SEC upon request.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17" w:right="1339"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 September 22, 2021</w:t>
            </w:r>
          </w:p>
        </w:tc>
        <w:tc>
          <w:tcPr>
            <w:tcW w:w="4400" w:type="dxa"/>
            <w:vAlign w:val="bottom"/>
            <w:gridSpan w:val="3"/>
          </w:tcPr>
          <w:p>
            <w:pPr>
              <w:ind w:left="1820"/>
              <w:spacing w:after="0"/>
              <w:rPr>
                <w:sz w:val="20"/>
                <w:szCs w:val="20"/>
                <w:color w:val="auto"/>
              </w:rPr>
            </w:pPr>
            <w:r>
              <w:rPr>
                <w:rFonts w:ascii="Arial" w:cs="Arial" w:eastAsia="Arial" w:hAnsi="Arial"/>
                <w:sz w:val="18"/>
                <w:szCs w:val="18"/>
                <w:b w:val="1"/>
                <w:bCs w:val="1"/>
                <w:color w:val="auto"/>
              </w:rPr>
              <w:t>INNOVAGE HOLDING CORP.</w:t>
            </w:r>
          </w:p>
        </w:tc>
        <w:tc>
          <w:tcPr>
            <w:tcW w:w="820" w:type="dxa"/>
            <w:vAlign w:val="bottom"/>
          </w:tcPr>
          <w:p>
            <w:pPr>
              <w:spacing w:after="0"/>
              <w:rPr>
                <w:sz w:val="20"/>
                <w:szCs w:val="20"/>
                <w:color w:val="auto"/>
              </w:rPr>
            </w:pPr>
          </w:p>
        </w:tc>
      </w:tr>
      <w:tr>
        <w:trPr>
          <w:trHeight w:val="351"/>
        </w:trPr>
        <w:tc>
          <w:tcPr>
            <w:tcW w:w="3680" w:type="dxa"/>
            <w:vAlign w:val="bottom"/>
          </w:tcPr>
          <w:p>
            <w:pPr>
              <w:spacing w:after="0"/>
              <w:rPr>
                <w:sz w:val="24"/>
                <w:szCs w:val="24"/>
                <w:color w:val="auto"/>
              </w:rPr>
            </w:pPr>
          </w:p>
        </w:tc>
        <w:tc>
          <w:tcPr>
            <w:tcW w:w="2900" w:type="dxa"/>
            <w:vAlign w:val="bottom"/>
            <w:gridSpan w:val="2"/>
          </w:tcPr>
          <w:p>
            <w:pPr>
              <w:ind w:left="1900"/>
              <w:spacing w:after="0"/>
              <w:rPr>
                <w:sz w:val="20"/>
                <w:szCs w:val="20"/>
                <w:color w:val="auto"/>
              </w:rPr>
            </w:pPr>
            <w:r>
              <w:rPr>
                <w:rFonts w:ascii="Arial" w:cs="Arial" w:eastAsia="Arial" w:hAnsi="Arial"/>
                <w:sz w:val="18"/>
                <w:szCs w:val="18"/>
                <w:color w:val="auto"/>
              </w:rPr>
              <w:t>By:   /s/</w:t>
            </w:r>
          </w:p>
        </w:tc>
        <w:tc>
          <w:tcPr>
            <w:tcW w:w="1500" w:type="dxa"/>
            <w:vAlign w:val="bottom"/>
          </w:tcPr>
          <w:p>
            <w:pPr>
              <w:ind w:left="360"/>
              <w:spacing w:after="0"/>
              <w:rPr>
                <w:sz w:val="20"/>
                <w:szCs w:val="20"/>
                <w:color w:val="auto"/>
              </w:rPr>
            </w:pPr>
            <w:r>
              <w:rPr>
                <w:rFonts w:ascii="Arial" w:cs="Arial" w:eastAsia="Arial" w:hAnsi="Arial"/>
                <w:sz w:val="18"/>
                <w:szCs w:val="18"/>
                <w:color w:val="auto"/>
              </w:rPr>
              <w:t>Barbara</w:t>
            </w:r>
          </w:p>
        </w:tc>
        <w:tc>
          <w:tcPr>
            <w:tcW w:w="820" w:type="dxa"/>
            <w:vAlign w:val="bottom"/>
          </w:tcPr>
          <w:p>
            <w:pPr>
              <w:ind w:left="140"/>
              <w:spacing w:after="0"/>
              <w:rPr>
                <w:sz w:val="20"/>
                <w:szCs w:val="20"/>
                <w:color w:val="auto"/>
              </w:rPr>
            </w:pPr>
            <w:r>
              <w:rPr>
                <w:rFonts w:ascii="Arial" w:cs="Arial" w:eastAsia="Arial" w:hAnsi="Arial"/>
                <w:sz w:val="18"/>
                <w:szCs w:val="18"/>
                <w:color w:val="auto"/>
                <w:w w:val="89"/>
              </w:rPr>
              <w:t>Gutierrez</w:t>
            </w:r>
          </w:p>
        </w:tc>
      </w:tr>
      <w:tr>
        <w:trPr>
          <w:trHeight w:val="20"/>
        </w:trPr>
        <w:tc>
          <w:tcPr>
            <w:tcW w:w="3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128905</wp:posOffset>
            </wp:positionV>
            <wp:extent cx="3543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Barbara Gutierrez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Maureen Hewitt, Barbara Gutierrez and Nicole D’Amato,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any and all exhibits thereto, and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12"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indicated as of September 22, 2021.</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20"/>
                <w:szCs w:val="20"/>
                <w:color w:val="auto"/>
              </w:rPr>
            </w:pP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Maureen Hewitt</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w w:val="94"/>
              </w:rPr>
              <w:t>President, Chief Executive Officer and Director (principal</w:t>
            </w: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Maureen Hewitt</w:t>
            </w:r>
          </w:p>
        </w:tc>
        <w:tc>
          <w:tcPr>
            <w:tcW w:w="400" w:type="dxa"/>
            <w:vAlign w:val="bottom"/>
          </w:tcPr>
          <w:p>
            <w:pPr>
              <w:spacing w:after="0"/>
              <w:rPr>
                <w:sz w:val="19"/>
                <w:szCs w:val="19"/>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444"/>
        </w:trPr>
        <w:tc>
          <w:tcPr>
            <w:tcW w:w="4140" w:type="dxa"/>
            <w:vAlign w:val="bottom"/>
          </w:tcPr>
          <w:p>
            <w:pPr>
              <w:ind w:left="100"/>
              <w:spacing w:after="0"/>
              <w:rPr>
                <w:sz w:val="20"/>
                <w:szCs w:val="20"/>
                <w:color w:val="auto"/>
              </w:rPr>
            </w:pPr>
            <w:r>
              <w:rPr>
                <w:rFonts w:ascii="Arial" w:cs="Arial" w:eastAsia="Arial" w:hAnsi="Arial"/>
                <w:sz w:val="18"/>
                <w:szCs w:val="18"/>
                <w:color w:val="auto"/>
              </w:rPr>
              <w:t>/s/ Barbara Gutierrez</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(principal financial officer and</w:t>
            </w:r>
          </w:p>
        </w:tc>
        <w:tc>
          <w:tcPr>
            <w:tcW w:w="0" w:type="dxa"/>
            <w:vAlign w:val="bottom"/>
          </w:tcPr>
          <w:p>
            <w:pPr>
              <w:spacing w:after="0"/>
              <w:rPr>
                <w:sz w:val="1"/>
                <w:szCs w:val="1"/>
                <w:color w:val="auto"/>
              </w:rPr>
            </w:pPr>
          </w:p>
        </w:tc>
      </w:tr>
      <w:tr>
        <w:trPr>
          <w:trHeight w:val="41"/>
        </w:trPr>
        <w:tc>
          <w:tcPr>
            <w:tcW w:w="4140" w:type="dxa"/>
            <w:vAlign w:val="bottom"/>
            <w:tcBorders>
              <w:bottom w:val="single" w:sz="8" w:color="auto"/>
            </w:tcBorders>
          </w:tcPr>
          <w:p>
            <w:pPr>
              <w:spacing w:after="0"/>
              <w:rPr>
                <w:sz w:val="3"/>
                <w:szCs w:val="3"/>
                <w:color w:val="auto"/>
              </w:rPr>
            </w:pPr>
          </w:p>
        </w:tc>
        <w:tc>
          <w:tcPr>
            <w:tcW w:w="400" w:type="dxa"/>
            <w:vAlign w:val="bottom"/>
            <w:vMerge w:val="restart"/>
          </w:tcPr>
          <w:p>
            <w:pPr>
              <w:spacing w:after="0"/>
              <w:rPr>
                <w:sz w:val="3"/>
                <w:szCs w:val="3"/>
                <w:color w:val="auto"/>
              </w:rPr>
            </w:pPr>
          </w:p>
        </w:tc>
        <w:tc>
          <w:tcPr>
            <w:tcW w:w="4380" w:type="dxa"/>
            <w:vAlign w:val="bottom"/>
            <w:gridSpan w:val="2"/>
            <w:vMerge w:val="restart"/>
          </w:tcPr>
          <w:p>
            <w:pPr>
              <w:ind w:left="1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Barbara Gutierrez</w:t>
            </w:r>
          </w:p>
        </w:tc>
        <w:tc>
          <w:tcPr>
            <w:tcW w:w="400" w:type="dxa"/>
            <w:vAlign w:val="bottom"/>
            <w:vMerge w:val="continue"/>
          </w:tcPr>
          <w:p>
            <w:pPr>
              <w:spacing w:after="0"/>
              <w:rPr>
                <w:sz w:val="19"/>
                <w:szCs w:val="19"/>
                <w:color w:val="auto"/>
              </w:rPr>
            </w:pPr>
          </w:p>
        </w:tc>
        <w:tc>
          <w:tcPr>
            <w:tcW w:w="4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John Ellis Bush</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John Ellis Bush</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Andrew Cavanna</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Andrew Cavanna</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Caroline Dechert</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Caroline Dechert</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Edward Kennedy, Jr.</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Edward Kennedy, Jr.</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Pavithra Mahesh</w:t>
            </w:r>
          </w:p>
        </w:tc>
        <w:tc>
          <w:tcPr>
            <w:tcW w:w="40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Pavithra Mahesh</w:t>
            </w:r>
          </w:p>
        </w:tc>
        <w:tc>
          <w:tcPr>
            <w:tcW w:w="4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4"/>
        </w:trPr>
        <w:tc>
          <w:tcPr>
            <w:tcW w:w="4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40" w:type="dxa"/>
            <w:vAlign w:val="bottom"/>
          </w:tcPr>
          <w:p>
            <w:pPr>
              <w:ind w:left="100"/>
              <w:spacing w:after="0"/>
              <w:rPr>
                <w:sz w:val="20"/>
                <w:szCs w:val="20"/>
                <w:color w:val="auto"/>
              </w:rPr>
            </w:pPr>
            <w:r>
              <w:rPr>
                <w:rFonts w:ascii="Arial" w:cs="Arial" w:eastAsia="Arial" w:hAnsi="Arial"/>
                <w:sz w:val="18"/>
                <w:szCs w:val="18"/>
                <w:color w:val="auto"/>
              </w:rPr>
              <w:t>/s/ Thomas Scully</w:t>
            </w:r>
          </w:p>
        </w:tc>
        <w:tc>
          <w:tcPr>
            <w:tcW w:w="478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Thomas Scully</w:t>
            </w:r>
          </w:p>
        </w:tc>
        <w:tc>
          <w:tcPr>
            <w:tcW w:w="4780" w:type="dxa"/>
            <w:vAlign w:val="bottom"/>
          </w:tcPr>
          <w:p>
            <w:pPr>
              <w:spacing w:after="0"/>
              <w:rPr>
                <w:sz w:val="19"/>
                <w:szCs w:val="19"/>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Marilyn Tavenner</w:t>
            </w:r>
          </w:p>
        </w:tc>
        <w:tc>
          <w:tcPr>
            <w:tcW w:w="478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Marilyn Tavenner</w:t>
            </w:r>
          </w:p>
        </w:tc>
        <w:tc>
          <w:tcPr>
            <w:tcW w:w="4780" w:type="dxa"/>
            <w:vAlign w:val="bottom"/>
          </w:tcPr>
          <w:p>
            <w:pPr>
              <w:spacing w:after="0"/>
              <w:rPr>
                <w:sz w:val="19"/>
                <w:szCs w:val="19"/>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Sean Traynor</w:t>
            </w:r>
          </w:p>
        </w:tc>
        <w:tc>
          <w:tcPr>
            <w:tcW w:w="478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Sean Traynor</w:t>
            </w:r>
          </w:p>
        </w:tc>
        <w:tc>
          <w:tcPr>
            <w:tcW w:w="4780" w:type="dxa"/>
            <w:vAlign w:val="bottom"/>
          </w:tcPr>
          <w:p>
            <w:pPr>
              <w:spacing w:after="0"/>
              <w:rPr>
                <w:sz w:val="19"/>
                <w:szCs w:val="19"/>
                <w:color w:val="auto"/>
              </w:rPr>
            </w:pPr>
          </w:p>
        </w:tc>
      </w:tr>
      <w:tr>
        <w:trPr>
          <w:trHeight w:val="458"/>
        </w:trPr>
        <w:tc>
          <w:tcPr>
            <w:tcW w:w="4140" w:type="dxa"/>
            <w:vAlign w:val="bottom"/>
          </w:tcPr>
          <w:p>
            <w:pPr>
              <w:ind w:left="100"/>
              <w:spacing w:after="0"/>
              <w:rPr>
                <w:sz w:val="20"/>
                <w:szCs w:val="20"/>
                <w:color w:val="auto"/>
              </w:rPr>
            </w:pPr>
            <w:r>
              <w:rPr>
                <w:rFonts w:ascii="Arial" w:cs="Arial" w:eastAsia="Arial" w:hAnsi="Arial"/>
                <w:sz w:val="18"/>
                <w:szCs w:val="18"/>
                <w:color w:val="auto"/>
              </w:rPr>
              <w:t>/s/ Richard Zoretic</w:t>
            </w:r>
          </w:p>
        </w:tc>
        <w:tc>
          <w:tcPr>
            <w:tcW w:w="478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27"/>
        </w:trPr>
        <w:tc>
          <w:tcPr>
            <w:tcW w:w="4140" w:type="dxa"/>
            <w:vAlign w:val="bottom"/>
            <w:tcBorders>
              <w:bottom w:val="single" w:sz="8" w:color="auto"/>
            </w:tcBorders>
          </w:tcPr>
          <w:p>
            <w:pPr>
              <w:spacing w:after="0"/>
              <w:rPr>
                <w:sz w:val="2"/>
                <w:szCs w:val="2"/>
                <w:color w:val="auto"/>
              </w:rPr>
            </w:pPr>
          </w:p>
        </w:tc>
        <w:tc>
          <w:tcPr>
            <w:tcW w:w="4780" w:type="dxa"/>
            <w:vAlign w:val="bottom"/>
          </w:tcPr>
          <w:p>
            <w:pPr>
              <w:spacing w:after="0"/>
              <w:rPr>
                <w:sz w:val="2"/>
                <w:szCs w:val="2"/>
                <w:color w:val="auto"/>
              </w:rPr>
            </w:pPr>
          </w:p>
        </w:tc>
      </w:tr>
      <w:tr>
        <w:trPr>
          <w:trHeight w:val="224"/>
        </w:trPr>
        <w:tc>
          <w:tcPr>
            <w:tcW w:w="4140" w:type="dxa"/>
            <w:vAlign w:val="bottom"/>
          </w:tcPr>
          <w:p>
            <w:pPr>
              <w:ind w:left="100"/>
              <w:spacing w:after="0"/>
              <w:rPr>
                <w:sz w:val="20"/>
                <w:szCs w:val="20"/>
                <w:color w:val="auto"/>
              </w:rPr>
            </w:pPr>
            <w:r>
              <w:rPr>
                <w:rFonts w:ascii="Arial" w:cs="Arial" w:eastAsia="Arial" w:hAnsi="Arial"/>
                <w:sz w:val="18"/>
                <w:szCs w:val="18"/>
                <w:color w:val="auto"/>
              </w:rPr>
              <w:t>Richard Zoretic</w:t>
            </w:r>
          </w:p>
        </w:tc>
        <w:tc>
          <w:tcPr>
            <w:tcW w:w="4780" w:type="dxa"/>
            <w:vAlign w:val="bottom"/>
          </w:tcPr>
          <w:p>
            <w:pPr>
              <w:spacing w:after="0"/>
              <w:rPr>
                <w:sz w:val="19"/>
                <w:szCs w:val="19"/>
                <w:color w:val="auto"/>
              </w:rPr>
            </w:pPr>
          </w:p>
        </w:tc>
      </w:tr>
      <w:tr>
        <w:trPr>
          <w:trHeight w:val="2936"/>
        </w:trPr>
        <w:tc>
          <w:tcPr>
            <w:tcW w:w="4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 OF THE SECURITIES AND EXCHANGE ACT OF 1934</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InnovAge Holding Corp. (the “Company,” “we,” “our,” and “us”) has one class of securities, our common stock, par value $0.001 per share, registered under Section 12 of the Securities Exchange Act of 1934, as amended.</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following summary of terms of our common stock is based upon our Second Amended and Restated Certificate of Incorporation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and 3.2 to our Annual Report on Form 10-K of which this Exhibit 4.2 is a part. We encourage you to read these documents and the applicable sections of the Delaware General Corporation Law, as amended (the “DGCL”), carefully.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authorized to issue 500,000,000 shares of common stock, par value $0.001 per share (“common stock”) and 50,000,000 shares of undesignated preferred stock, par value $0.001 per share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Each outstanding share of common stock is entitled to one vote on all matters submitted to a vote of shareholders. Holders of shares of our common stock have no cumulative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or other similar subscription rights to purchase any of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or redemption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neither convertible nor redeemable.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our liquidation, the holders of our common stock will be entitled to receive pro rata our assets that are legally available for distribution, after payment of all debts and other liabilities and subject to the prior rights of any holders of preferred stock then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6" w:name="page127"/>
    <w:bookmarkEnd w:id="126"/>
    <w:p>
      <w:pPr>
        <w:ind w:right="140"/>
        <w:spacing w:after="0" w:line="259" w:lineRule="auto"/>
        <w:rPr>
          <w:sz w:val="20"/>
          <w:szCs w:val="20"/>
          <w:color w:val="auto"/>
        </w:rPr>
      </w:pPr>
      <w:r>
        <w:rPr>
          <w:rFonts w:ascii="Arial" w:cs="Arial" w:eastAsia="Arial" w:hAnsi="Arial"/>
          <w:sz w:val="18"/>
          <w:szCs w:val="18"/>
          <w:color w:val="auto"/>
        </w:rPr>
        <w:t>in connection with any unsolicited offer to acquire us. However, these provisions may have an anti-takeover effect and may delay, deter or prevent a merger or acquisition of the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Our certificate of incorporation provides that our Board is divided into three classes of directors,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as nearly equal in 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w:t>
      </w:r>
    </w:p>
    <w:p>
      <w:pPr>
        <w:spacing w:after="0" w:line="19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b w:val="1"/>
          <w:bCs w:val="1"/>
          <w:i w:val="1"/>
          <w:iCs w:val="1"/>
          <w:color w:val="auto"/>
        </w:rPr>
        <w:t>Shareholder action by written consent</w:t>
      </w:r>
      <w:r>
        <w:rPr>
          <w:rFonts w:ascii="Arial" w:cs="Arial" w:eastAsia="Arial" w:hAnsi="Arial"/>
          <w:sz w:val="17"/>
          <w:szCs w:val="17"/>
          <w:color w:val="auto"/>
        </w:rPr>
        <w:t>. Our certificate of incorporation precludes shareholder action by written consent at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when Apax Partners (“Apax”) and Welsh, Carson, Anderson and Stowe (“WCAS” and, together with Apax, the “Principal Shareholders”) beneficially own, in the aggregate, less than 35% in voting power of our outstanding common stock.</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i w:val="1"/>
          <w:iCs w:val="1"/>
          <w:color w:val="auto"/>
        </w:rPr>
        <w:t>Special meetings of shareholders</w:t>
      </w:r>
      <w:r>
        <w:rPr>
          <w:rFonts w:ascii="Arial" w:cs="Arial" w:eastAsia="Arial" w:hAnsi="Arial"/>
          <w:sz w:val="18"/>
          <w:szCs w:val="18"/>
          <w:color w:val="auto"/>
        </w:rPr>
        <w:t>. Our certificate of incorporation and bylaws provide that, except as required by law,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meetings of our 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9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b w:val="1"/>
          <w:bCs w:val="1"/>
          <w:i w:val="1"/>
          <w:iCs w:val="1"/>
          <w:color w:val="auto"/>
        </w:rPr>
        <w:t>Advance notice procedures</w:t>
      </w:r>
      <w:r>
        <w:rPr>
          <w:rFonts w:ascii="Arial" w:cs="Arial" w:eastAsia="Arial" w:hAnsi="Arial"/>
          <w:sz w:val="16"/>
          <w:szCs w:val="16"/>
          <w:color w:val="auto"/>
        </w:rPr>
        <w:t>. Our bylaws establish advance-notice procedures with respect to shareholder proposals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 of candidates 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w:t>
      </w:r>
    </w:p>
    <w:p>
      <w:pPr>
        <w:spacing w:after="0" w:line="174" w:lineRule="exact"/>
        <w:rPr>
          <w:sz w:val="20"/>
          <w:szCs w:val="20"/>
          <w:color w:val="auto"/>
        </w:rPr>
      </w:pPr>
    </w:p>
    <w:p>
      <w:pPr>
        <w:ind w:firstLine="648"/>
        <w:spacing w:after="0" w:line="260" w:lineRule="auto"/>
        <w:rPr>
          <w:sz w:val="20"/>
          <w:szCs w:val="20"/>
          <w:color w:val="auto"/>
        </w:rPr>
      </w:pPr>
      <w:r>
        <w:rPr>
          <w:rFonts w:ascii="Arial" w:cs="Arial" w:eastAsia="Arial" w:hAnsi="Arial"/>
          <w:sz w:val="17"/>
          <w:szCs w:val="17"/>
          <w:b w:val="1"/>
          <w:bCs w:val="1"/>
          <w:i w:val="1"/>
          <w:iCs w:val="1"/>
          <w:color w:val="auto"/>
        </w:rPr>
        <w:t>Removal of directors; vacancies</w:t>
      </w:r>
      <w:r>
        <w:rPr>
          <w:rFonts w:ascii="Arial" w:cs="Arial" w:eastAsia="Arial" w:hAnsi="Arial"/>
          <w:sz w:val="17"/>
          <w:szCs w:val="17"/>
          <w:color w:val="auto"/>
        </w:rPr>
        <w:t>. Our certificate of incorporation provides that a director nominated by the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may be removed with or without cause by the Principal Shareholders;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23"/>
          <w:szCs w:val="23"/>
          <w:color w:val="auto"/>
          <w:vertAlign w:val="subscript"/>
        </w:rPr>
        <w:t>3</w:t>
      </w:r>
      <w:r>
        <w:rPr>
          <w:rFonts w:ascii="Arial" w:cs="Arial" w:eastAsia="Arial" w:hAnsi="Arial"/>
          <w:sz w:val="17"/>
          <w:szCs w:val="17"/>
          <w:color w:val="auto"/>
        </w:rPr>
        <w:t>% in voting power of all the then-outstanding shares of stock of the Company entitled to vote thereon, voting together as a single class. In addition, our certificate of incorporation also provides that, subject to the rights granted to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466725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27" w:name="page128"/>
    <w:bookmarkEnd w:id="127"/>
    <w:p>
      <w:pPr>
        <w:ind w:right="20"/>
        <w:spacing w:after="0" w:line="255" w:lineRule="auto"/>
        <w:rPr>
          <w:sz w:val="20"/>
          <w:szCs w:val="20"/>
          <w:color w:val="auto"/>
        </w:rPr>
      </w:pPr>
      <w:r>
        <w:rPr>
          <w:rFonts w:ascii="Arial" w:cs="Arial" w:eastAsia="Arial" w:hAnsi="Arial"/>
          <w:sz w:val="18"/>
          <w:szCs w:val="18"/>
          <w:color w:val="auto"/>
        </w:rPr>
        <w:t>series of preferred stock then outstanding, any newly created directorship on our Board that results from an increase in the number of directors and any vacancy occurring on our Board may only be filled by a majority of the 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Apax and one director nominated by WCAS, is required to constitute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approval requirements</w:t>
      </w:r>
    </w:p>
    <w:p>
      <w:pPr>
        <w:spacing w:after="0" w:line="229"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the voting power of our common stock then outstanding, a majority vote is required to amend, alter, rescind or repeal our bylaws.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24"/>
          <w:szCs w:val="24"/>
          <w:color w:val="auto"/>
          <w:vertAlign w:val="subscript"/>
        </w:rPr>
        <w:t>3</w:t>
      </w:r>
      <w:r>
        <w:rPr>
          <w:rFonts w:ascii="Arial" w:cs="Arial" w:eastAsia="Arial" w:hAnsi="Arial"/>
          <w:sz w:val="18"/>
          <w:szCs w:val="18"/>
          <w:color w:val="auto"/>
        </w:rPr>
        <w:t>% in voting power of all the then-outstanding shares of stock of the Company entitled to vote thereon, voting together as a single class.</w:t>
      </w:r>
    </w:p>
    <w:p>
      <w:pPr>
        <w:spacing w:after="0" w:line="19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4" w:lineRule="exact"/>
        <w:rPr>
          <w:sz w:val="20"/>
          <w:szCs w:val="20"/>
          <w:color w:val="auto"/>
        </w:rPr>
      </w:pPr>
    </w:p>
    <w:p>
      <w:pPr>
        <w:ind w:right="80" w:firstLine="648"/>
        <w:spacing w:after="0" w:line="256" w:lineRule="auto"/>
        <w:rPr>
          <w:sz w:val="20"/>
          <w:szCs w:val="20"/>
          <w:color w:val="auto"/>
        </w:rPr>
      </w:pPr>
      <w:r>
        <w:rPr>
          <w:rFonts w:ascii="Arial" w:cs="Arial" w:eastAsia="Arial" w:hAnsi="Arial"/>
          <w:sz w:val="17"/>
          <w:szCs w:val="17"/>
          <w:color w:val="auto"/>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23"/>
          <w:szCs w:val="23"/>
          <w:color w:val="auto"/>
          <w:vertAlign w:val="subscript"/>
        </w:rPr>
        <w:t>3</w:t>
      </w:r>
      <w:r>
        <w:rPr>
          <w:rFonts w:ascii="Arial" w:cs="Arial" w:eastAsia="Arial" w:hAnsi="Arial"/>
          <w:sz w:val="17"/>
          <w:szCs w:val="17"/>
          <w:color w:val="auto"/>
        </w:rPr>
        <w:t>% in voting power of all the then-outstanding shares of stock of the Company entitled to vote thereon, voting together as a single class:</w:t>
      </w:r>
    </w:p>
    <w:p>
      <w:pPr>
        <w:spacing w:after="0" w:line="122"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24"/>
          <w:szCs w:val="24"/>
          <w:color w:val="auto"/>
          <w:vertAlign w:val="subscript"/>
        </w:rPr>
        <w:t>3</w:t>
      </w:r>
      <w:r>
        <w:rPr>
          <w:rFonts w:ascii="Arial" w:cs="Arial" w:eastAsia="Arial" w:hAnsi="Arial"/>
          <w:sz w:val="18"/>
          <w:szCs w:val="18"/>
          <w:color w:val="auto"/>
        </w:rPr>
        <w:t>% supermajority vote for shareholders to amend our bylaws;</w:t>
      </w:r>
    </w:p>
    <w:p>
      <w:pPr>
        <w:spacing w:after="0" w:line="233"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regarding shareholder action by written consent;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and newly created directorships;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23"/>
          <w:szCs w:val="23"/>
          <w:color w:val="auto"/>
          <w:vertAlign w:val="subscript"/>
        </w:rPr>
        <w:t>3</w:t>
      </w:r>
      <w:r>
        <w:rPr>
          <w:rFonts w:ascii="Arial" w:cs="Arial" w:eastAsia="Arial" w:hAnsi="Arial"/>
          <w:sz w:val="17"/>
          <w:szCs w:val="17"/>
          <w:color w:val="auto"/>
        </w:rPr>
        <w:t>% supermajority vote.</w:t>
      </w:r>
    </w:p>
    <w:p>
      <w:pPr>
        <w:spacing w:after="0" w:line="245"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28" w:name="page129"/>
    <w:bookmarkEnd w:id="128"/>
    <w:p>
      <w:pPr>
        <w:ind w:right="40"/>
        <w:spacing w:after="0" w:line="277" w:lineRule="auto"/>
        <w:rPr>
          <w:sz w:val="20"/>
          <w:szCs w:val="20"/>
          <w:color w:val="auto"/>
        </w:rPr>
      </w:pPr>
      <w:r>
        <w:rPr>
          <w:rFonts w:ascii="Arial" w:cs="Arial" w:eastAsia="Arial" w:hAnsi="Arial"/>
          <w:sz w:val="18"/>
          <w:szCs w:val="18"/>
          <w:color w:val="auto"/>
        </w:rPr>
        <w:t>power to retain and discharge our officers, these provisions could also make it more difficult for existing shareholders or another party to effect a change in management.</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i w:val="1"/>
          <w:iCs w:val="1"/>
          <w:color w:val="auto"/>
        </w:rPr>
        <w:t>Authorized but unissued shares</w:t>
      </w:r>
      <w:r>
        <w:rPr>
          <w:rFonts w:ascii="Arial" w:cs="Arial" w:eastAsia="Arial" w:hAnsi="Arial"/>
          <w:sz w:val="16"/>
          <w:szCs w:val="16"/>
          <w:color w:val="auto"/>
        </w:rPr>
        <w:t>. Our authorized but unissued shares of common stock and preferred stock will be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shareholders of opportunities to sell their shares of common stock at prices higher than prevailing market prices.</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b w:val="1"/>
          <w:bCs w:val="1"/>
          <w:i w:val="1"/>
          <w:iCs w:val="1"/>
          <w:color w:val="auto"/>
        </w:rPr>
        <w:t>Business combinations</w:t>
      </w:r>
      <w:r>
        <w:rPr>
          <w:rFonts w:ascii="Arial" w:cs="Arial" w:eastAsia="Arial" w:hAnsi="Arial"/>
          <w:sz w:val="16"/>
          <w:szCs w:val="16"/>
          <w:color w:val="auto"/>
        </w:rPr>
        <w:t>. We are not subject to the provisions of Section 203 of the DGCL. In general, Section 203 prohibits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8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184" w:lineRule="exact"/>
        <w:rPr>
          <w:sz w:val="20"/>
          <w:szCs w:val="20"/>
          <w:color w:val="auto"/>
        </w:rPr>
      </w:pPr>
    </w:p>
    <w:p>
      <w:pPr>
        <w:ind w:left="980" w:right="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which resulted in the shareholder becoming an interested shareholder;</w:t>
      </w:r>
    </w:p>
    <w:p>
      <w:pPr>
        <w:spacing w:after="0" w:line="170" w:lineRule="exact"/>
        <w:rPr>
          <w:rFonts w:ascii="Arial" w:cs="Arial" w:eastAsia="Arial" w:hAnsi="Arial"/>
          <w:sz w:val="18"/>
          <w:szCs w:val="18"/>
          <w:color w:val="auto"/>
        </w:rPr>
      </w:pPr>
    </w:p>
    <w:p>
      <w:pPr>
        <w:ind w:left="980" w:right="18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183"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66</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24"/>
          <w:szCs w:val="24"/>
          <w:color w:val="auto"/>
          <w:vertAlign w:val="subscript"/>
        </w:rPr>
        <w:t>3</w:t>
      </w:r>
      <w:r>
        <w:rPr>
          <w:rFonts w:ascii="Arial" w:cs="Arial" w:eastAsia="Arial" w:hAnsi="Arial"/>
          <w:sz w:val="18"/>
          <w:szCs w:val="18"/>
          <w:color w:val="auto"/>
        </w:rPr>
        <w:t>% of our outstanding voting stock that is not owned by the interested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129" w:name="page130"/>
    <w:bookmarkEnd w:id="129"/>
    <w:p>
      <w:pPr>
        <w:ind w:right="40" w:firstLine="648"/>
        <w:spacing w:after="0" w:line="273"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w:t>
      </w:r>
    </w:p>
    <w:p>
      <w:pPr>
        <w:spacing w:after="0" w:line="17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Our certificate of incorporation provides that the Principal Shareholders, and any of their direct or indirect transferees and any group as to which such persons are a party, do not constitute “interested shareholders” for purposes of this provision.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29"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Under the DGCL, with certain exceptions, our shareholders have appraisal rights in connection with a merger or consolidation of us. Pursuant to the DGCL, shareholders who properly request and perfect appraisal rights in connection with such merger or consolidation have the right to receive payment of the fair value of their shares as determined by the Delaware Court of Chancery.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derivative actions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shareholders for monetary damages for breaches of directors’ fiduciary duties, subject to certain exceptions. Our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shareholders, through shareholders’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171"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limitation of liability, indemnification and advancement provisions that are included in our certificate of incorporation and bylaws may discourage shareholders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31" w:name="page132"/>
    <w:bookmarkEnd w:id="131"/>
    <w:p>
      <w:pPr>
        <w:ind w:left="20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Select Market under the symbol “INNV.”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Execution Version</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STOCK PURCHASE WARRANT AGREEMENT AND THE WARRANT COMMON STOCK THAT MAY BE PURCHASED HEREUNDER HAVE NOT BEEN REGISTERED UNDER THE SECURITIES ACT OF 1933 OR UNDER THE SECURITIES LAWS OF ANY STATE. THIS STOCK PURCHASE WARRANT AGREEMENT HAS BEEN ACQUIRED FOR INVESTMENT PURPOSES AND NOT WITH A VIEW TO DISTRIBUTION, AND THIS STOCK PURCHASE WARRANT AGREEMENT AND THE WARRANT COMMON STOCK THAT MAY BE PURCHASED HEREUNDER MAY NOT BE SOLD OR OFFERED FOR SALE IN THE ABSENCE OF AN EFFECTIVE REGISTRATION STATEMENT UNDER THE SECURITIES ACT OF 1933, AND REGISTRATION OR QUALIFICATION UNDER APPLICABLE STATE SECURITIES LAWS OR AN OPINION OF COUNSEL THAT THE PROPOSED TRANSACTION DOES NOT VIOLATE THE SECURITIES ACT OF 1933, AND APPLICABLE STATE SECURITIES LAWS. THIS STOCK PURCHASE WARRANT AGREEMENT AND THE WARRANT COMMON STOCK THAT MAY BE PURCHASED HEREUNDER ARE SUBJECT TO RESTRICTIONS ON VOTING AND TRANSFER AND REQUIREMENTS OF SALE AND OTHER PROVISIONS AS SET FORTH IN THE STOCKHOLDERS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TCO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WARRANT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Issuance: March 18, 2019 Certificate No. W-1</w:t>
      </w:r>
    </w:p>
    <w:p>
      <w:pPr>
        <w:spacing w:after="0" w:line="181"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b w:val="1"/>
          <w:bCs w:val="1"/>
          <w:color w:val="auto"/>
        </w:rPr>
        <w:t xml:space="preserve">THIS IS TO CERTIFY </w:t>
      </w:r>
      <w:r>
        <w:rPr>
          <w:rFonts w:ascii="Arial" w:cs="Arial" w:eastAsia="Arial" w:hAnsi="Arial"/>
          <w:sz w:val="16"/>
          <w:szCs w:val="16"/>
          <w:color w:val="auto"/>
        </w:rPr>
        <w:t>that</w:t>
      </w:r>
      <w:r>
        <w:rPr>
          <w:rFonts w:ascii="Arial" w:cs="Arial" w:eastAsia="Arial" w:hAnsi="Arial"/>
          <w:sz w:val="16"/>
          <w:szCs w:val="16"/>
          <w:b w:val="1"/>
          <w:bCs w:val="1"/>
          <w:color w:val="auto"/>
        </w:rPr>
        <w:t xml:space="preserve"> ADVENTIST HEALTH SYSTEM/WEST, </w:t>
      </w:r>
      <w:r>
        <w:rPr>
          <w:rFonts w:ascii="Arial" w:cs="Arial" w:eastAsia="Arial" w:hAnsi="Arial"/>
          <w:sz w:val="16"/>
          <w:szCs w:val="16"/>
          <w:color w:val="auto"/>
        </w:rPr>
        <w:t>a California nonprofit religious corporation, d/b/a</w:t>
      </w:r>
      <w:r>
        <w:rPr>
          <w:rFonts w:ascii="Arial" w:cs="Arial" w:eastAsia="Arial" w:hAnsi="Arial"/>
          <w:sz w:val="16"/>
          <w:szCs w:val="16"/>
          <w:b w:val="1"/>
          <w:bCs w:val="1"/>
          <w:color w:val="auto"/>
        </w:rPr>
        <w:t xml:space="preserve"> ADVENTIST HEALTH</w:t>
      </w:r>
      <w:r>
        <w:rPr>
          <w:rFonts w:ascii="Arial" w:cs="Arial" w:eastAsia="Arial" w:hAnsi="Arial"/>
          <w:sz w:val="16"/>
          <w:szCs w:val="16"/>
          <w:color w:val="auto"/>
        </w:rPr>
        <w:t>, and its permitted transferees, successors and assigns (the “</w:t>
      </w:r>
      <w:r>
        <w:rPr>
          <w:rFonts w:ascii="Arial" w:cs="Arial" w:eastAsia="Arial" w:hAnsi="Arial"/>
          <w:sz w:val="16"/>
          <w:szCs w:val="16"/>
          <w:u w:val="single" w:color="auto"/>
          <w:color w:val="auto"/>
        </w:rPr>
        <w:t>Holder</w:t>
      </w:r>
      <w:r>
        <w:rPr>
          <w:rFonts w:ascii="Arial" w:cs="Arial" w:eastAsia="Arial" w:hAnsi="Arial"/>
          <w:sz w:val="16"/>
          <w:szCs w:val="16"/>
          <w:color w:val="auto"/>
        </w:rPr>
        <w:t>”), for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and sufficiency of which are hereby acknowledged, is entitled to purchase from </w:t>
      </w:r>
      <w:r>
        <w:rPr>
          <w:rFonts w:ascii="Arial" w:cs="Arial" w:eastAsia="Arial" w:hAnsi="Arial"/>
          <w:sz w:val="16"/>
          <w:szCs w:val="16"/>
          <w:b w:val="1"/>
          <w:bCs w:val="1"/>
          <w:color w:val="auto"/>
        </w:rPr>
        <w:t>TCO GROUP HOLDINGS, INC.</w:t>
      </w:r>
      <w:r>
        <w:rPr>
          <w:rFonts w:ascii="Arial" w:cs="Arial" w:eastAsia="Arial" w:hAnsi="Arial"/>
          <w:sz w:val="16"/>
          <w:szCs w:val="16"/>
          <w:color w:val="auto"/>
        </w:rPr>
        <w:t>,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shares of Company Common Stock, par value $0.001 per share, of the Company representing an aggregate number of Company Common Stock equal to five percent (5%) of the issued and outstanding equity interests of the Company on a Fully Diluted basis determined at the time of and after giving effect to the exercise of this Warrant in full at an exercise price equal to the Fair Market Value Per Share of such Company Common Stock at the time of the exercise of this Warrant (the “</w:t>
      </w:r>
      <w:r>
        <w:rPr>
          <w:rFonts w:ascii="Arial" w:cs="Arial" w:eastAsia="Arial" w:hAnsi="Arial"/>
          <w:sz w:val="16"/>
          <w:szCs w:val="16"/>
          <w:u w:val="single" w:color="auto"/>
          <w:color w:val="auto"/>
        </w:rPr>
        <w:t>Exercise Price</w:t>
      </w:r>
      <w:r>
        <w:rPr>
          <w:rFonts w:ascii="Arial" w:cs="Arial" w:eastAsia="Arial" w:hAnsi="Arial"/>
          <w:sz w:val="16"/>
          <w:szCs w:val="16"/>
          <w:color w:val="auto"/>
        </w:rPr>
        <w:t>”), at any time on or after the Exercise Date and expiring on the Expiration Date. The number of Warrant Common Stock which may be purchased pursuant to this Stock Purchase Warrant Agreement (as amended, modified or supplemented from time to time, this “</w:t>
      </w:r>
      <w:r>
        <w:rPr>
          <w:rFonts w:ascii="Arial" w:cs="Arial" w:eastAsia="Arial" w:hAnsi="Arial"/>
          <w:sz w:val="16"/>
          <w:szCs w:val="16"/>
          <w:u w:val="single" w:color="auto"/>
          <w:color w:val="auto"/>
        </w:rPr>
        <w:t>Warrant Agreement</w:t>
      </w:r>
      <w:r>
        <w:rPr>
          <w:rFonts w:ascii="Arial" w:cs="Arial" w:eastAsia="Arial" w:hAnsi="Arial"/>
          <w:sz w:val="16"/>
          <w:szCs w:val="16"/>
          <w:color w:val="auto"/>
        </w:rPr>
        <w:t>” or this “</w:t>
      </w:r>
      <w:r>
        <w:rPr>
          <w:rFonts w:ascii="Arial" w:cs="Arial" w:eastAsia="Arial" w:hAnsi="Arial"/>
          <w:sz w:val="16"/>
          <w:szCs w:val="16"/>
          <w:u w:val="single" w:color="auto"/>
          <w:color w:val="auto"/>
        </w:rPr>
        <w:t>Warrant</w:t>
      </w:r>
      <w:r>
        <w:rPr>
          <w:rFonts w:ascii="Arial" w:cs="Arial" w:eastAsia="Arial" w:hAnsi="Arial"/>
          <w:sz w:val="16"/>
          <w:szCs w:val="16"/>
          <w:color w:val="auto"/>
        </w:rPr>
        <w:t>”) are referred to herein as the “</w:t>
      </w:r>
      <w:r>
        <w:rPr>
          <w:rFonts w:ascii="Arial" w:cs="Arial" w:eastAsia="Arial" w:hAnsi="Arial"/>
          <w:sz w:val="16"/>
          <w:szCs w:val="16"/>
          <w:u w:val="single" w:color="auto"/>
          <w:color w:val="auto"/>
        </w:rPr>
        <w:t>Aggregate Number</w:t>
      </w:r>
      <w:r>
        <w:rPr>
          <w:rFonts w:ascii="Arial" w:cs="Arial" w:eastAsia="Arial" w:hAnsi="Arial"/>
          <w:sz w:val="16"/>
          <w:szCs w:val="16"/>
          <w:color w:val="auto"/>
        </w:rPr>
        <w:t>.” Capitalized terms used but not defined herein shall have the meanings ascribed to such terms in that certain Stockholders Agreement dated as May 13, 2016, as amended from time to time, by and among the Company and the other parties named therein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WARRANT AGREEMENT; TRANSFER AND EXCHANGE; VESTING</w:t>
      </w:r>
    </w:p>
    <w:p>
      <w:pPr>
        <w:spacing w:after="0" w:line="170" w:lineRule="exact"/>
        <w:rPr>
          <w:sz w:val="20"/>
          <w:szCs w:val="20"/>
          <w:color w:val="auto"/>
        </w:rPr>
      </w:pPr>
    </w:p>
    <w:p>
      <w:pPr>
        <w:ind w:left="120" w:firstLine="536"/>
        <w:spacing w:after="0" w:line="277" w:lineRule="auto"/>
        <w:tabs>
          <w:tab w:leader="none" w:pos="131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The Warrant Agreement</w:t>
      </w:r>
      <w:r>
        <w:rPr>
          <w:rFonts w:ascii="Arial" w:cs="Arial" w:eastAsia="Arial" w:hAnsi="Arial"/>
          <w:sz w:val="18"/>
          <w:szCs w:val="18"/>
          <w:color w:val="auto"/>
        </w:rPr>
        <w:t>. This Warrant Agreement and the rights and privileges of the Holder hereunder may be exercised by the Holder in whole or in part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982980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jc w:val="both"/>
        <w:ind w:left="4" w:firstLine="536"/>
        <w:spacing w:after="0" w:line="273" w:lineRule="auto"/>
        <w:tabs>
          <w:tab w:leader="none" w:pos="119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Transfer and Exchanges</w:t>
      </w:r>
      <w:r>
        <w:rPr>
          <w:rFonts w:ascii="Arial" w:cs="Arial" w:eastAsia="Arial" w:hAnsi="Arial"/>
          <w:sz w:val="17"/>
          <w:szCs w:val="17"/>
          <w:color w:val="auto"/>
        </w:rPr>
        <w:t>. The Company shall initially record this Warrant Agreement on a register to be maintained by the Company with its other books and records and subject to Stockholders Agreement, from time to time thereafter shall reflect the transfer of this Warrant Agreement on such register when surrendered for transfer in accordance with the terms of this Warrant and the Stockholders Agreement and properly endorsed, accompanied by appropriate instructions. Upon any such transfer, a new warrant agreement on the same terms and conditions as set forth herein shall be issued to the transferee and the Holder (in the event the Warrant is only partially transferred) and the surrendered warrant shall be canceled.</w:t>
      </w:r>
    </w:p>
    <w:p>
      <w:pPr>
        <w:spacing w:after="0" w:line="150" w:lineRule="exact"/>
        <w:rPr>
          <w:rFonts w:ascii="Arial" w:cs="Arial" w:eastAsia="Arial" w:hAnsi="Arial"/>
          <w:sz w:val="17"/>
          <w:szCs w:val="17"/>
          <w:color w:val="auto"/>
        </w:rPr>
      </w:pPr>
    </w:p>
    <w:p>
      <w:pPr>
        <w:ind w:left="1184" w:hanging="639"/>
        <w:spacing w:after="0"/>
        <w:tabs>
          <w:tab w:leader="none" w:pos="118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This Warrant shall be fully vested on the Exercise Date.</w:t>
      </w:r>
    </w:p>
    <w:p>
      <w:pPr>
        <w:spacing w:after="0" w:line="181"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EXERCISE; PAYMENT; ISSUANCE</w:t>
      </w:r>
    </w:p>
    <w:p>
      <w:pPr>
        <w:spacing w:after="0" w:line="170" w:lineRule="exact"/>
        <w:rPr>
          <w:sz w:val="20"/>
          <w:szCs w:val="20"/>
          <w:color w:val="auto"/>
        </w:rPr>
      </w:pPr>
    </w:p>
    <w:p>
      <w:pPr>
        <w:ind w:left="1184" w:hanging="639"/>
        <w:spacing w:after="0"/>
        <w:tabs>
          <w:tab w:leader="none" w:pos="118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4" w:firstLine="1087"/>
        <w:spacing w:after="0" w:line="269" w:lineRule="auto"/>
        <w:tabs>
          <w:tab w:leader="none" w:pos="1840" w:val="left"/>
        </w:tabs>
        <w:numPr>
          <w:ilvl w:val="2"/>
          <w:numId w:val="65"/>
        </w:numPr>
        <w:rPr>
          <w:rFonts w:ascii="Arial" w:cs="Arial" w:eastAsia="Arial" w:hAnsi="Arial"/>
          <w:sz w:val="17"/>
          <w:szCs w:val="17"/>
          <w:color w:val="auto"/>
        </w:rPr>
      </w:pPr>
      <w:r>
        <w:rPr>
          <w:rFonts w:ascii="Arial" w:cs="Arial" w:eastAsia="Arial" w:hAnsi="Arial"/>
          <w:sz w:val="17"/>
          <w:szCs w:val="17"/>
          <w:color w:val="auto"/>
        </w:rPr>
        <w:t>At any time on or after the Exercise Date and on or before the Expiration Date, and subject to any applicable regulatory requirements (in which the Company shall comply with such regulatory requirements on a timely basis), but only once per six-month period, the Holder, in accordance with the terms hereof, may provide a written request to the Company for the most current TTM Consolidated EBITDA (the “</w:t>
      </w:r>
      <w:r>
        <w:rPr>
          <w:rFonts w:ascii="Arial" w:cs="Arial" w:eastAsia="Arial" w:hAnsi="Arial"/>
          <w:sz w:val="17"/>
          <w:szCs w:val="17"/>
          <w:u w:val="single" w:color="auto"/>
          <w:color w:val="auto"/>
        </w:rPr>
        <w:t>Exercise TTM Consolidated EBITDA</w:t>
      </w:r>
      <w:r>
        <w:rPr>
          <w:rFonts w:ascii="Arial" w:cs="Arial" w:eastAsia="Arial" w:hAnsi="Arial"/>
          <w:sz w:val="17"/>
          <w:szCs w:val="17"/>
          <w:color w:val="auto"/>
        </w:rPr>
        <w:t>”), and, within 10 Business Days of such request, the Company will provide in writing to the Holder (x) the most current TTM Consolidated EBITDA, (y) the Company’s calculation of the Fair Market Value Per Share, and (z) the back-up information supporting such calculation. Within 30 days of receipt of the Company’s calculation of the Fair Market Value Per Share and such supporting information, the Holder may elect to have the Fair Market Value Per Share be determined by the Valuation Firm. The Holder and the Company shall work in good faith to select the Valuation Firm within 15 Business Days of the Holder’s election. The determination by such firm shall be final and conclusive, and the fees and expense of such firm shall be borne solely by the Holder.</w:t>
      </w:r>
    </w:p>
    <w:p>
      <w:pPr>
        <w:spacing w:after="0" w:line="144" w:lineRule="exact"/>
        <w:rPr>
          <w:rFonts w:ascii="Arial" w:cs="Arial" w:eastAsia="Arial" w:hAnsi="Arial"/>
          <w:sz w:val="17"/>
          <w:szCs w:val="17"/>
          <w:color w:val="auto"/>
        </w:rPr>
      </w:pPr>
    </w:p>
    <w:p>
      <w:pPr>
        <w:jc w:val="both"/>
        <w:ind w:left="4" w:firstLine="1087"/>
        <w:spacing w:after="0" w:line="285" w:lineRule="auto"/>
        <w:tabs>
          <w:tab w:leader="none" w:pos="1840" w:val="left"/>
        </w:tabs>
        <w:numPr>
          <w:ilvl w:val="2"/>
          <w:numId w:val="65"/>
        </w:numPr>
        <w:rPr>
          <w:rFonts w:ascii="Arial" w:cs="Arial" w:eastAsia="Arial" w:hAnsi="Arial"/>
          <w:sz w:val="16"/>
          <w:szCs w:val="16"/>
          <w:color w:val="auto"/>
        </w:rPr>
      </w:pPr>
      <w:r>
        <w:rPr>
          <w:rFonts w:ascii="Arial" w:cs="Arial" w:eastAsia="Arial" w:hAnsi="Arial"/>
          <w:sz w:val="16"/>
          <w:szCs w:val="16"/>
          <w:color w:val="auto"/>
        </w:rPr>
        <w:t xml:space="preserve">Within 30 days of receipt of the later of (x) the Exercise TTM Consolidated EBITDA and Fair Market Value Per Share from the Company or (y) the determination of the Fair Market Value Per Share by the Valuation Firm, subject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Holder may exercise this Warrant Agreement, in whole or in part, by delivering the Notice of Exercise, in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attached hereto and made a part hereof (the “Notice of Exercise”), duly executed. The aggregate Exercise Price (the “</w:t>
      </w:r>
      <w:r>
        <w:rPr>
          <w:rFonts w:ascii="Arial" w:cs="Arial" w:eastAsia="Arial" w:hAnsi="Arial"/>
          <w:sz w:val="16"/>
          <w:szCs w:val="16"/>
          <w:u w:val="single" w:color="auto"/>
          <w:color w:val="auto"/>
        </w:rPr>
        <w:t>Aggregate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Price</w:t>
      </w:r>
      <w:r>
        <w:rPr>
          <w:rFonts w:ascii="Arial" w:cs="Arial" w:eastAsia="Arial" w:hAnsi="Arial"/>
          <w:sz w:val="16"/>
          <w:szCs w:val="16"/>
          <w:color w:val="auto"/>
        </w:rPr>
        <w:t>”) to be paid for the Warrant Common Stock to be purchased (the “Exercise Amount”) shall be equal to the product of</w:t>
      </w:r>
    </w:p>
    <w:p>
      <w:pPr>
        <w:spacing w:after="0" w:line="1" w:lineRule="exact"/>
        <w:rPr>
          <w:rFonts w:ascii="Arial" w:cs="Arial" w:eastAsia="Arial" w:hAnsi="Arial"/>
          <w:sz w:val="16"/>
          <w:szCs w:val="16"/>
          <w:color w:val="auto"/>
        </w:rPr>
      </w:pPr>
    </w:p>
    <w:p>
      <w:pPr>
        <w:ind w:left="4" w:right="20" w:hanging="4"/>
        <w:spacing w:after="0" w:line="260"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Amount multiplied by (B) the Exercise Price. If the Expiration Date is not a Business Day, then this Warrant Agreement may be exercised on the next succeeding Business Day.</w:t>
      </w:r>
    </w:p>
    <w:p>
      <w:pPr>
        <w:spacing w:after="0" w:line="144" w:lineRule="exact"/>
        <w:rPr>
          <w:rFonts w:ascii="Arial" w:cs="Arial" w:eastAsia="Arial" w:hAnsi="Arial"/>
          <w:sz w:val="18"/>
          <w:szCs w:val="18"/>
          <w:color w:val="auto"/>
        </w:rPr>
      </w:pPr>
    </w:p>
    <w:p>
      <w:pPr>
        <w:jc w:val="both"/>
        <w:ind w:left="4" w:firstLine="1087"/>
        <w:spacing w:after="0" w:line="259" w:lineRule="auto"/>
        <w:tabs>
          <w:tab w:leader="none" w:pos="18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Subject to all other terms and conditions hereof, the Holder only may exercise this Warrant Agreement and deliver a Notice of Exercise (A) once per twelve-month period and (B) if the Aggregate Exercise Price in respect of such exercise is more than Five Million Dollars ($5,000,000), unless, in the case of clause (B), such exercise is for all of the, or the remainder of any, outstanding, unexercised Warrant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517" w:right="999" w:bottom="1440" w:gutter="0" w:footer="0" w:header="0"/>
        </w:sectPr>
      </w:pPr>
    </w:p>
    <w:bookmarkStart w:id="134" w:name="page135"/>
    <w:bookmarkEnd w:id="134"/>
    <w:p>
      <w:pPr>
        <w:jc w:val="both"/>
        <w:ind w:left="4" w:firstLine="542"/>
        <w:spacing w:after="0" w:line="259" w:lineRule="auto"/>
        <w:tabs>
          <w:tab w:leader="none" w:pos="119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Payment of the Aggregate Exercise Price</w:t>
      </w:r>
      <w:r>
        <w:rPr>
          <w:rFonts w:ascii="Arial" w:cs="Arial" w:eastAsia="Arial" w:hAnsi="Arial"/>
          <w:sz w:val="18"/>
          <w:szCs w:val="18"/>
          <w:color w:val="auto"/>
        </w:rPr>
        <w:t xml:space="preserve">. Payment of the Aggregate Exercise Price shall be made to the Company in cash or other immediately available funds or as provided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or a combination thereof. In the case of payment of all or a portion of the Aggregate Exercise Price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the direction by the Holder to make a “Cashless Exercise” shall serve as accompanying payment for that portion of the Exercise Price.</w:t>
      </w:r>
    </w:p>
    <w:p>
      <w:pPr>
        <w:spacing w:after="0" w:line="146" w:lineRule="exact"/>
        <w:rPr>
          <w:rFonts w:ascii="Arial" w:cs="Arial" w:eastAsia="Arial" w:hAnsi="Arial"/>
          <w:sz w:val="18"/>
          <w:szCs w:val="18"/>
          <w:color w:val="auto"/>
        </w:rPr>
      </w:pPr>
    </w:p>
    <w:p>
      <w:pPr>
        <w:jc w:val="both"/>
        <w:ind w:left="4" w:firstLine="542"/>
        <w:spacing w:after="0" w:line="257" w:lineRule="auto"/>
        <w:tabs>
          <w:tab w:leader="none" w:pos="1192"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The Holder shall have the right to pay all or a portion of the Aggregate Exercise Price by making a “Cashless Exercise” in connection with a Change of Control, in which case the proceeds to be received by the Holder in respect of the Aggregate Number of shares of Warrant Common Stock that are being acquired upon the exercise of this Warrant in connection with the Change of Control will be reduced by the portion of the Aggregate Exercise Price that is to be paid through the “Cashless Exercise” (which will be retained by the Company).</w:t>
      </w:r>
    </w:p>
    <w:p>
      <w:pPr>
        <w:spacing w:after="0" w:line="160" w:lineRule="exact"/>
        <w:rPr>
          <w:rFonts w:ascii="Arial" w:cs="Arial" w:eastAsia="Arial" w:hAnsi="Arial"/>
          <w:sz w:val="18"/>
          <w:szCs w:val="18"/>
          <w:color w:val="auto"/>
        </w:rPr>
      </w:pPr>
    </w:p>
    <w:p>
      <w:pPr>
        <w:jc w:val="both"/>
        <w:ind w:left="4" w:firstLine="542"/>
        <w:spacing w:after="0" w:line="287" w:lineRule="auto"/>
        <w:tabs>
          <w:tab w:leader="none" w:pos="119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Issuance of Company Common Stock</w:t>
      </w:r>
      <w:r>
        <w:rPr>
          <w:rFonts w:ascii="Arial" w:cs="Arial" w:eastAsia="Arial" w:hAnsi="Arial"/>
          <w:sz w:val="16"/>
          <w:szCs w:val="16"/>
          <w:color w:val="auto"/>
        </w:rPr>
        <w:t>. Upon receipt by the Company of the Notice of Exercise and payment of the Aggregate Exercise Price, the Holder shall be deemed to be the holder of record of the Company Common Stock issuable upon such exercise, notwithstanding that certificates representing such Company Common Stock may not then be actually delivered. Within three</w:t>
      </w:r>
    </w:p>
    <w:p>
      <w:pPr>
        <w:spacing w:after="0" w:line="2" w:lineRule="exact"/>
        <w:rPr>
          <w:rFonts w:ascii="Arial" w:cs="Arial" w:eastAsia="Arial" w:hAnsi="Arial"/>
          <w:sz w:val="16"/>
          <w:szCs w:val="16"/>
          <w:color w:val="auto"/>
        </w:rPr>
      </w:pPr>
    </w:p>
    <w:p>
      <w:pPr>
        <w:ind w:left="4" w:right="20" w:hanging="4"/>
        <w:spacing w:after="0" w:line="290" w:lineRule="auto"/>
        <w:tabs>
          <w:tab w:leader="none" w:pos="264" w:val="left"/>
        </w:tabs>
        <w:numPr>
          <w:ilvl w:val="0"/>
          <w:numId w:val="68"/>
        </w:numPr>
        <w:rPr>
          <w:rFonts w:ascii="Arial" w:cs="Arial" w:eastAsia="Arial" w:hAnsi="Arial"/>
          <w:sz w:val="17"/>
          <w:szCs w:val="17"/>
          <w:color w:val="auto"/>
        </w:rPr>
      </w:pPr>
      <w:r>
        <w:rPr>
          <w:rFonts w:ascii="Arial" w:cs="Arial" w:eastAsia="Arial" w:hAnsi="Arial"/>
          <w:sz w:val="17"/>
          <w:szCs w:val="17"/>
          <w:color w:val="auto"/>
        </w:rPr>
        <w:t>Business Days after such delivery of the Notice of Exercise and payment of the Aggregate Exercise Price, the Company shall issue and cause to be delivered to the Holder a certificate or certificates (in the name of the Holder) for the Exercise Amount.</w:t>
      </w:r>
    </w:p>
    <w:p>
      <w:pPr>
        <w:spacing w:after="0" w:line="120" w:lineRule="exact"/>
        <w:rPr>
          <w:rFonts w:ascii="Arial" w:cs="Arial" w:eastAsia="Arial" w:hAnsi="Arial"/>
          <w:sz w:val="17"/>
          <w:szCs w:val="17"/>
          <w:color w:val="auto"/>
        </w:rPr>
      </w:pPr>
    </w:p>
    <w:p>
      <w:pPr>
        <w:jc w:val="both"/>
        <w:ind w:left="4" w:firstLine="542"/>
        <w:spacing w:after="0" w:line="279" w:lineRule="auto"/>
        <w:tabs>
          <w:tab w:leader="none" w:pos="1192"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The Company may, but shall not be required to, deliver fractions of Company Common Stock upon exercise of this Warrant Agreement. If any fraction of a share of Company Common Stock would be deliverable upon an exercise of this Warrant Agreement, the Company may, in lieu of receiving such fraction of a share of Company Common Stock, require the Holder to accept a cash payment in an amount equal to the same fraction of the Fair Market Value Per Share.</w:t>
      </w:r>
    </w:p>
    <w:p>
      <w:pPr>
        <w:spacing w:after="0" w:line="127"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PAYMENT OF TAXES; REPLACEMENT WARRANT</w:t>
      </w:r>
    </w:p>
    <w:p>
      <w:pPr>
        <w:spacing w:after="0" w:line="184" w:lineRule="exact"/>
        <w:rPr>
          <w:sz w:val="20"/>
          <w:szCs w:val="20"/>
          <w:color w:val="auto"/>
        </w:rPr>
      </w:pPr>
    </w:p>
    <w:p>
      <w:pPr>
        <w:jc w:val="both"/>
        <w:ind w:left="4" w:firstLine="545"/>
        <w:spacing w:after="0" w:line="259" w:lineRule="auto"/>
        <w:rPr>
          <w:sz w:val="20"/>
          <w:szCs w:val="20"/>
          <w:color w:val="auto"/>
        </w:rPr>
      </w:pPr>
      <w:r>
        <w:rPr>
          <w:rFonts w:ascii="Arial" w:cs="Arial" w:eastAsia="Arial" w:hAnsi="Arial"/>
          <w:sz w:val="18"/>
          <w:szCs w:val="18"/>
          <w:color w:val="auto"/>
        </w:rPr>
        <w:t>The Company shall pay all stamp taxes attributable to the initial issuance of Warrant Common Stock or other securities issuable upon the exercise of this Warrant Agreement, excluding any tax or taxes which may be payable because of the transfer involved in the issuance or delivery of any certificates for Warrant Common Stock or other securities in a name other than that of the Holder in respect of which such Warrant Common Stock or securities are issued.</w:t>
      </w:r>
    </w:p>
    <w:p>
      <w:pPr>
        <w:spacing w:after="0" w:line="146"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IN CASE THIS WARRANT AGREEMENT IS MUTILATED, LOST, STOLEN OR DESTROYED, THE COMPANY SHALL ISSUE AND DELIVER IN EXCHANGE AND SUBSTITUTION FOR AND UPON CANCELLATION OF THE MUTILATED WARRANT AGREEMENT, OR IN LIEU OF AND IN SUBSTITUTION FOR THE WARRANT AGREEMENT LOST, STOLEN OR DESTROYED, A NEW WARRANT AGREEMENT WITH THE SAME TERMS AND CONDITIONS AS SET FORTH HEREIN AND REPRESENTING AN EQUIVALENT RIGHT OR INTEREST, BUT ONLY UPON RECEIPT OF EVIDENCE REASONABLY SATISFACTORY TO THE COMPANY OF SUCH LOSS, THEFT OR DESTRUCTION OF SUCH WARRANT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125" w:right="999" w:bottom="1440" w:gutter="0" w:footer="0" w:header="0"/>
        </w:sectPr>
      </w:pPr>
    </w:p>
    <w:bookmarkStart w:id="135" w:name="page136"/>
    <w:bookmarkEnd w:id="135"/>
    <w:p>
      <w:pPr>
        <w:jc w:val="center"/>
        <w:ind w:right="100"/>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ISSUANCE OF STOCK</w:t>
      </w:r>
    </w:p>
    <w:p>
      <w:pPr>
        <w:spacing w:after="0" w:line="170" w:lineRule="exact"/>
        <w:rPr>
          <w:sz w:val="20"/>
          <w:szCs w:val="20"/>
          <w:color w:val="auto"/>
        </w:rPr>
      </w:pPr>
    </w:p>
    <w:p>
      <w:pPr>
        <w:jc w:val="both"/>
        <w:ind w:firstLine="536"/>
        <w:spacing w:after="0" w:line="288" w:lineRule="auto"/>
        <w:tabs>
          <w:tab w:leader="none" w:pos="119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Regulatory Requirements and Restrictions</w:t>
      </w:r>
      <w:r>
        <w:rPr>
          <w:rFonts w:ascii="Arial" w:cs="Arial" w:eastAsia="Arial" w:hAnsi="Arial"/>
          <w:sz w:val="16"/>
          <w:szCs w:val="16"/>
          <w:color w:val="auto"/>
        </w:rPr>
        <w:t>. In the event of any reasonable determination by the Holder that, by reason of any existing or future federal or state law, statute, rule, regulation, guideline, order, court or administrative ruling, request or directive (whether or not having the force of law and whether or not failure to comply therewith would be unlawful) (collectively, a “</w:t>
      </w:r>
      <w:r>
        <w:rPr>
          <w:rFonts w:ascii="Arial" w:cs="Arial" w:eastAsia="Arial" w:hAnsi="Arial"/>
          <w:sz w:val="16"/>
          <w:szCs w:val="16"/>
          <w:u w:val="single" w:color="auto"/>
          <w:color w:val="auto"/>
        </w:rPr>
        <w:t>Regulatory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Requirement</w:t>
      </w:r>
      <w:r>
        <w:rPr>
          <w:rFonts w:ascii="Arial" w:cs="Arial" w:eastAsia="Arial" w:hAnsi="Arial"/>
          <w:sz w:val="16"/>
          <w:szCs w:val="16"/>
          <w:color w:val="auto"/>
        </w:rPr>
        <w:t>”), the Holder is effectively restricted or prohibited from holding this Warrant Agreement or the Warrant Common Stock (including any Company Common Stock or other securities distributable to the Holder in any merger, reorganization, readjustment or other reclassification), or otherwise realizing upon or receiving the benefits intended under this Warrant Agreement, the Company shall, and shall use its commercially reasonable efforts to have its Stockholders take such action as the Holder and the Company shall jointly agree in good faith to be necessary to permit the Holder to comply with such Regulatory Requirement. The reasonable costs of taking such action, whether by the Company, the Holder or otherwise, shall be borne by the Company if such Regulatory Requirement is applicable to the Company, and the Holder if such Regulatory Requirement is applicable to the Holder.</w:t>
      </w:r>
    </w:p>
    <w:p>
      <w:pPr>
        <w:spacing w:after="0" w:line="141" w:lineRule="exact"/>
        <w:rPr>
          <w:rFonts w:ascii="Arial" w:cs="Arial" w:eastAsia="Arial" w:hAnsi="Arial"/>
          <w:sz w:val="16"/>
          <w:szCs w:val="16"/>
          <w:color w:val="auto"/>
        </w:rPr>
      </w:pPr>
    </w:p>
    <w:p>
      <w:pPr>
        <w:jc w:val="both"/>
        <w:ind w:firstLine="536"/>
        <w:spacing w:after="0" w:line="287" w:lineRule="auto"/>
        <w:tabs>
          <w:tab w:leader="none" w:pos="119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Validly Issued Company Common Stock.</w:t>
      </w:r>
      <w:r>
        <w:rPr>
          <w:rFonts w:ascii="Arial" w:cs="Arial" w:eastAsia="Arial" w:hAnsi="Arial"/>
          <w:sz w:val="16"/>
          <w:szCs w:val="16"/>
          <w:color w:val="auto"/>
        </w:rPr>
        <w:t xml:space="preserve"> The Company covenants that all Company Common Stock that may be issued pursuant to this Warrant Agreement, assuming full payment of the Aggregate Exercise Price shall, upon delivery by the Company, be duly authorized and validly issued, fully paid and nonassessable, free and clear from all taxes, liens and charges with respect to the issue or delivery thereof and otherwise free and clear of all other security interests, encumbrances and claims of any nature whatsoever (other than restrictions under applicable federal and/or state securities laws). The Company shall at all times during the term of the Warrant (i) have authorized and reserved shares of Company Common Stock as will be sufficient to satisfy the requirements of this Warrant Agreement and (ii) take all such actions as may be necessary or appropriate in order that the Company Common Stock that may be issued upon exercise of this Warrant pursuant to the terms hereof be validly issued, fully paid and nonassessable, issued without violation of any preemptive or similar rights of any equityholder of the Company, and free and clear from all taxes, liens and charges with respect to the issue or delivery thereof, and otherwise free and clear of all other security interests, encumbrances and claims of any nature whatsoever (other than restrictions under applicable federal and/or state securities laws).</w:t>
      </w:r>
    </w:p>
    <w:p>
      <w:pPr>
        <w:spacing w:after="0" w:line="131" w:lineRule="exact"/>
        <w:rPr>
          <w:rFonts w:ascii="Arial" w:cs="Arial" w:eastAsia="Arial" w:hAnsi="Arial"/>
          <w:sz w:val="16"/>
          <w:szCs w:val="16"/>
          <w:color w:val="auto"/>
        </w:rPr>
      </w:pPr>
    </w:p>
    <w:p>
      <w:pPr>
        <w:jc w:val="both"/>
        <w:ind w:firstLine="536"/>
        <w:spacing w:after="0" w:line="257" w:lineRule="auto"/>
        <w:tabs>
          <w:tab w:leader="none" w:pos="119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No holder of this Warrant, as such, shall be entitled to vote or receive dividends or be deemed the holder of shares of Company Common Stock, nor shall anything contained herein be construed to confer upon the holder of this Warrant, as such, any of the rights of a stockholder of the Company or any right to vote for the election of directors or upon any matter submitted to stockholders at any meeting thereof, or to receive notice of meetings, or to receive dividends or subscription rights or otherwise until this Warrant shall have been exercised as provided herein.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136" w:name="page137"/>
    <w:bookmarkEnd w:id="136"/>
    <w:p>
      <w:pPr>
        <w:jc w:val="center"/>
        <w:ind w:right="96"/>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TRANSFERS OF THE WARRANT AGREEMENT OR WARRANT COMMON STOCK</w:t>
      </w:r>
    </w:p>
    <w:p>
      <w:pPr>
        <w:spacing w:after="0" w:line="170" w:lineRule="exact"/>
        <w:rPr>
          <w:sz w:val="20"/>
          <w:szCs w:val="20"/>
          <w:color w:val="auto"/>
        </w:rPr>
      </w:pPr>
    </w:p>
    <w:p>
      <w:pPr>
        <w:jc w:val="both"/>
        <w:ind w:left="4" w:firstLine="542"/>
        <w:spacing w:after="0" w:line="286" w:lineRule="auto"/>
        <w:tabs>
          <w:tab w:leader="none" w:pos="1192"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Acknowledgment of the Holder.</w:t>
      </w:r>
      <w:r>
        <w:rPr>
          <w:rFonts w:ascii="Arial" w:cs="Arial" w:eastAsia="Arial" w:hAnsi="Arial"/>
          <w:sz w:val="16"/>
          <w:szCs w:val="16"/>
          <w:color w:val="auto"/>
        </w:rPr>
        <w:t xml:space="preserve"> This Warrant Agreement has not been, and the Warrant Common Stock at the time of their issuance may not be, registered under the Securities Act and except as provided in this Warrant Agreement, the Company shall not be required to so register this Warrant Agreement and the Warrant Common Stock. This Warrant Agreement and the Warrant Common Stock are issued or issuable subject to the provisions and conditions contained herein, and every Holder hereof by accepting the same</w:t>
      </w:r>
    </w:p>
    <w:p>
      <w:pPr>
        <w:spacing w:after="0" w:line="1" w:lineRule="exact"/>
        <w:rPr>
          <w:rFonts w:ascii="Arial" w:cs="Arial" w:eastAsia="Arial" w:hAnsi="Arial"/>
          <w:sz w:val="16"/>
          <w:szCs w:val="16"/>
          <w:color w:val="auto"/>
        </w:rPr>
      </w:pPr>
    </w:p>
    <w:p>
      <w:pPr>
        <w:jc w:val="both"/>
        <w:ind w:left="4" w:right="20" w:hanging="4"/>
        <w:spacing w:after="0" w:line="255" w:lineRule="auto"/>
        <w:tabs>
          <w:tab w:leader="none" w:pos="2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agrees with the Company to such provisions and conditions, and (ii) represents to the Company that this Warrant Agreement has been acquired and the Warrant Common Stock will be acquired for the account of the Holder for investment and not with a view to or for sale in connection with any distribution thereof.</w:t>
      </w:r>
    </w:p>
    <w:p>
      <w:pPr>
        <w:spacing w:after="0" w:line="162" w:lineRule="exact"/>
        <w:rPr>
          <w:rFonts w:ascii="Arial" w:cs="Arial" w:eastAsia="Arial" w:hAnsi="Arial"/>
          <w:sz w:val="18"/>
          <w:szCs w:val="18"/>
          <w:color w:val="auto"/>
        </w:rPr>
      </w:pPr>
    </w:p>
    <w:p>
      <w:pPr>
        <w:jc w:val="both"/>
        <w:ind w:left="4" w:firstLine="542"/>
        <w:spacing w:after="0" w:line="293" w:lineRule="auto"/>
        <w:tabs>
          <w:tab w:leader="none" w:pos="119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xml:space="preserve"> The Holder agrees that this Warrant Agreement and the Warrant Common Stock may not be sold or otherwise disposed of except pursuant to an effective registration statement under the Securities Act and applicable state securities laws or pursuant to an applicable exemption from the registration requirements of the Securities Act and applicable state securities laws. In the event that the Holder transfers this Warrant Agreement or the Warrant Common Stock pursuant to an applicable exemption from registration, the Company may request, at its expense, that the Holder deliver an opinion of counsel reasonably acceptable to the Company that the proposed transfer does not violate the Securities Act and applicable state securities laws.</w:t>
      </w:r>
    </w:p>
    <w:p>
      <w:pPr>
        <w:spacing w:after="0" w:line="123" w:lineRule="exact"/>
        <w:rPr>
          <w:rFonts w:ascii="Arial" w:cs="Arial" w:eastAsia="Arial" w:hAnsi="Arial"/>
          <w:sz w:val="16"/>
          <w:szCs w:val="16"/>
          <w:color w:val="auto"/>
        </w:rPr>
      </w:pPr>
    </w:p>
    <w:p>
      <w:pPr>
        <w:jc w:val="both"/>
        <w:ind w:left="4" w:firstLine="542"/>
        <w:spacing w:after="0" w:line="263" w:lineRule="auto"/>
        <w:tabs>
          <w:tab w:leader="none" w:pos="119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Restrictive Securities Legend.</w:t>
      </w:r>
      <w:r>
        <w:rPr>
          <w:rFonts w:ascii="Arial" w:cs="Arial" w:eastAsia="Arial" w:hAnsi="Arial"/>
          <w:sz w:val="18"/>
          <w:szCs w:val="18"/>
          <w:color w:val="auto"/>
        </w:rPr>
        <w:t xml:space="preserve"> Shares of Company Common Stock issued upon exercise of this Warrant or otherwise delivered in satisfaction of this Warrant will bear such legends as may be required or provided for under the terms of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-1245235</wp:posOffset>
            </wp:positionV>
            <wp:extent cx="4019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401955" cy="8890"/>
                    </a:xfrm>
                    <a:prstGeom prst="rect">
                      <a:avLst/>
                    </a:prstGeom>
                    <a:noFill/>
                  </pic:spPr>
                </pic:pic>
              </a:graphicData>
            </a:graphic>
          </wp:anchor>
        </w:drawing>
      </w:r>
    </w:p>
    <w:p>
      <w:pPr>
        <w:spacing w:after="0" w:line="119"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DEFINITIONS</w:t>
      </w:r>
    </w:p>
    <w:p>
      <w:pPr>
        <w:spacing w:after="0" w:line="18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18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Exercise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2(a)(ii)</w:t>
      </w:r>
      <w:r>
        <w:rPr>
          <w:rFonts w:ascii="Arial" w:cs="Arial" w:eastAsia="Arial" w:hAnsi="Arial"/>
          <w:sz w:val="18"/>
          <w:szCs w:val="18"/>
          <w:color w:val="auto"/>
        </w:rPr>
        <w:t>.</w:t>
      </w:r>
    </w:p>
    <w:p>
      <w:pPr>
        <w:spacing w:after="0" w:line="185"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Number</w:t>
      </w:r>
      <w:r>
        <w:rPr>
          <w:rFonts w:ascii="Arial" w:cs="Arial" w:eastAsia="Arial" w:hAnsi="Arial"/>
          <w:sz w:val="18"/>
          <w:szCs w:val="18"/>
          <w:color w:val="auto"/>
        </w:rPr>
        <w:t>” has the meaning set forth in the Preamble.</w:t>
      </w:r>
    </w:p>
    <w:p>
      <w:pPr>
        <w:spacing w:after="0" w:line="19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jc w:val="both"/>
        <w:ind w:left="4" w:firstLine="5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of (i) a consolidation, merger, or similar transaction or series of related transactions involving the Company, including a sale or other disposition of equity securities of the Company, as a result of which, the Company (or the surviving entity of such transaction) is controlled by a Third Party or Third Parties acting in concert, or which results in the acquisition of all or substantially all of the Company’s then outstanding equity by a Third Party or by a group of Third Parties acting in concert or</w:t>
      </w:r>
    </w:p>
    <w:p>
      <w:pPr>
        <w:spacing w:after="0" w:line="1" w:lineRule="exact"/>
        <w:rPr>
          <w:sz w:val="20"/>
          <w:szCs w:val="20"/>
          <w:color w:val="auto"/>
        </w:rPr>
      </w:pPr>
    </w:p>
    <w:p>
      <w:pPr>
        <w:jc w:val="both"/>
        <w:ind w:left="4" w:hanging="4"/>
        <w:spacing w:after="0" w:line="255" w:lineRule="auto"/>
        <w:tabs>
          <w:tab w:leader="none" w:pos="2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sale or transfer of all or substantially all of the Company’s assets to a Third Party or a group of Third Parties acting in concert. For the avoidance of doubt, if an event or condition constitutes a Change of Control, then no other event or condition shall thereafter constitute a Change of Control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4"/>
          </w:cols>
          <w:pgMar w:left="1096" w:top="121" w:right="99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has the meaning set forth in the then-current credit agreement between TCO and TCO’s senior secured lender. The definition of “Consolidated EBITDA” as of the date hereof is attached hereto at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2(a)(ii)</w:t>
      </w:r>
      <w:r>
        <w:rPr>
          <w:rFonts w:ascii="Arial" w:cs="Arial" w:eastAsia="Arial" w:hAnsi="Arial"/>
          <w:sz w:val="18"/>
          <w:szCs w:val="18"/>
          <w:color w:val="auto"/>
        </w:rPr>
        <w:t>.</w:t>
      </w:r>
    </w:p>
    <w:p>
      <w:pPr>
        <w:spacing w:after="0" w:line="185" w:lineRule="exact"/>
        <w:rPr>
          <w:sz w:val="20"/>
          <w:szCs w:val="20"/>
          <w:color w:val="auto"/>
        </w:rPr>
      </w:pPr>
    </w:p>
    <w:p>
      <w:pPr>
        <w:jc w:val="both"/>
        <w:ind w:left="120" w:firstLine="545"/>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date on which the Holder or its Affiliate has made aggregate capital contributions in an amount greater than Twenty-Five Million U.S. Dollars ($25,000,000) to one or more joint venture entities in which the Holder or its Affiliate, on the one hand, and the Company or one of its Affiliates, on the other hand, hold equity.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set forth in the Preamble.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TTM Consolidated EBITDA</w:t>
      </w:r>
      <w:r>
        <w:rPr>
          <w:rFonts w:ascii="Arial" w:cs="Arial" w:eastAsia="Arial" w:hAnsi="Arial"/>
          <w:sz w:val="18"/>
          <w:szCs w:val="18"/>
          <w:color w:val="auto"/>
        </w:rPr>
        <w:t>” has the meaning set forth in Section 2(a)(i).</w:t>
      </w:r>
    </w:p>
    <w:p>
      <w:pPr>
        <w:spacing w:after="0" w:line="185" w:lineRule="exact"/>
        <w:rPr>
          <w:sz w:val="20"/>
          <w:szCs w:val="20"/>
          <w:color w:val="auto"/>
        </w:rPr>
      </w:pPr>
    </w:p>
    <w:p>
      <w:pPr>
        <w:jc w:val="both"/>
        <w:ind w:left="120" w:firstLine="545"/>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the earlier of earlier of (i) the liquidation, dissolution or winding up of the Company or (ii) a Change of Control, provided that if the Change of Control occurs after the Exercise Date, the Holder has the opportunity to exercise this Warrant Agreement, in whole or in part, in connection with a Change of Control.</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 Per Share</w:t>
      </w:r>
      <w:r>
        <w:rPr>
          <w:rFonts w:ascii="Arial" w:cs="Arial" w:eastAsia="Arial" w:hAnsi="Arial"/>
          <w:sz w:val="16"/>
          <w:szCs w:val="16"/>
          <w:color w:val="auto"/>
        </w:rPr>
        <w:t xml:space="preserve">” means (a) an amount equal to (i) (A) 10.5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Exercise TTM Consolidated EBITDA </w:t>
      </w:r>
      <w:r>
        <w:rPr>
          <w:rFonts w:ascii="Arial" w:cs="Arial" w:eastAsia="Arial" w:hAnsi="Arial"/>
          <w:sz w:val="16"/>
          <w:szCs w:val="16"/>
          <w:i w:val="1"/>
          <w:iCs w:val="1"/>
          <w:color w:val="auto"/>
        </w:rPr>
        <w:t>minus</w:t>
      </w:r>
      <w:r>
        <w:rPr>
          <w:rFonts w:ascii="Arial" w:cs="Arial" w:eastAsia="Arial" w:hAnsi="Arial"/>
          <w:sz w:val="16"/>
          <w:szCs w:val="16"/>
          <w:color w:val="auto"/>
        </w:rPr>
        <w:t xml:space="preserve">(C)the Company’s and its Subsidiaries’ aggregate debt as of the last day of the Last Fiscal Quarter that is used for calculating the Exercise TTM Consolidated EBITDA </w:t>
      </w:r>
      <w:r>
        <w:rPr>
          <w:rFonts w:ascii="Arial" w:cs="Arial" w:eastAsia="Arial" w:hAnsi="Arial"/>
          <w:sz w:val="16"/>
          <w:szCs w:val="16"/>
          <w:i w:val="1"/>
          <w:iCs w:val="1"/>
          <w:color w:val="auto"/>
        </w:rPr>
        <w:t>plus</w:t>
      </w:r>
      <w:r>
        <w:rPr>
          <w:rFonts w:ascii="Arial" w:cs="Arial" w:eastAsia="Arial" w:hAnsi="Arial"/>
          <w:sz w:val="16"/>
          <w:szCs w:val="16"/>
          <w:color w:val="auto"/>
        </w:rPr>
        <w:t xml:space="preserve"> (D) the Company’s and its Subsidiaries’ aggregate cash as of the last day of the Last Fiscal Quarter that is used for calculating the Exercise TTM Consolidated EBITDA </w:t>
      </w:r>
      <w:r>
        <w:rPr>
          <w:rFonts w:ascii="Arial" w:cs="Arial" w:eastAsia="Arial" w:hAnsi="Arial"/>
          <w:sz w:val="16"/>
          <w:szCs w:val="16"/>
          <w:i w:val="1"/>
          <w:iCs w:val="1"/>
          <w:color w:val="auto"/>
        </w:rPr>
        <w:t>minus</w:t>
      </w:r>
      <w:r>
        <w:rPr>
          <w:rFonts w:ascii="Arial" w:cs="Arial" w:eastAsia="Arial" w:hAnsi="Arial"/>
          <w:sz w:val="16"/>
          <w:szCs w:val="16"/>
          <w:color w:val="auto"/>
        </w:rPr>
        <w:t xml:space="preserve"> (E) all cash reserved by the Company and its Subsidiaries as required by Program of All- Inclusive Care for the Elderly law as of the last day of the Last Fiscal Quarter that is used for calculating the Exercise TTM Consolidated EBITDA </w:t>
      </w:r>
      <w:r>
        <w:rPr>
          <w:rFonts w:ascii="Arial" w:cs="Arial" w:eastAsia="Arial" w:hAnsi="Arial"/>
          <w:sz w:val="16"/>
          <w:szCs w:val="16"/>
          <w:i w:val="1"/>
          <w:iCs w:val="1"/>
          <w:color w:val="auto"/>
        </w:rPr>
        <w:t>plus</w:t>
      </w:r>
      <w:r>
        <w:rPr>
          <w:rFonts w:ascii="Arial" w:cs="Arial" w:eastAsia="Arial" w:hAnsi="Arial"/>
          <w:sz w:val="16"/>
          <w:szCs w:val="16"/>
          <w:color w:val="auto"/>
        </w:rPr>
        <w:t xml:space="preserve"> (F) the cash proceeds received by the Company assuming all issued and outstanding in-the-money Options or Convertible Securities (other than warrants) are exercised as of the last day of the Last Fiscal Quarter that is used for calculating the Exercise TTM Consolidated EBITDA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then-current number of issued and outstanding Company Common Stock assuming all issued and outstanding in-the- money Options or Convertible Securities (other than warrants) are exercised as of the last day of the Last Fiscal Quarter that is used for calculating the Exercise TTM Consolidated EBITDA without giving effect to the exercise of this Warrant, or (b) in the event the Holder elects to have the Fair Market Value Per Share determined by the Valuation, then the value per share of the Company Common Stock as determined by the Valuation Firm.</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120" w:right="400" w:firstLine="5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Last Fiscal Quarter</w:t>
      </w:r>
      <w:r>
        <w:rPr>
          <w:rFonts w:ascii="Arial" w:cs="Arial" w:eastAsia="Arial" w:hAnsi="Arial"/>
          <w:sz w:val="18"/>
          <w:szCs w:val="18"/>
          <w:color w:val="auto"/>
        </w:rPr>
        <w:t>” means the most recently completed quarterly accounting period of the Company for which unaudited financial statements have been completed.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Exercise</w:t>
      </w:r>
      <w:r>
        <w:rPr>
          <w:rFonts w:ascii="Arial" w:cs="Arial" w:eastAsia="Arial" w:hAnsi="Arial"/>
          <w:sz w:val="18"/>
          <w:szCs w:val="18"/>
          <w:color w:val="auto"/>
        </w:rPr>
        <w:t>” has the meaning set forth in Section 2(a)(ii).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TCO</w:t>
      </w:r>
      <w:r>
        <w:rPr>
          <w:rFonts w:ascii="Arial" w:cs="Arial" w:eastAsia="Arial" w:hAnsi="Arial"/>
          <w:sz w:val="18"/>
          <w:szCs w:val="18"/>
          <w:color w:val="auto"/>
        </w:rPr>
        <w:t>” means Total Community Options, Inc., a Colorado corporation and indirect Subsidiary of the Company.</w:t>
      </w:r>
    </w:p>
    <w:p>
      <w:pPr>
        <w:spacing w:after="0" w:line="185" w:lineRule="exact"/>
        <w:rPr>
          <w:sz w:val="20"/>
          <w:szCs w:val="20"/>
          <w:color w:val="auto"/>
        </w:rPr>
      </w:pPr>
    </w:p>
    <w:p>
      <w:pPr>
        <w:ind w:left="540"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TTM Consolidated EBITDA</w:t>
      </w:r>
      <w:r>
        <w:rPr>
          <w:rFonts w:ascii="Arial" w:cs="Arial" w:eastAsia="Arial" w:hAnsi="Arial"/>
          <w:sz w:val="18"/>
          <w:szCs w:val="18"/>
          <w:color w:val="auto"/>
        </w:rPr>
        <w:t>” means the trailing twelve-month Consolidated EBITDA as of the last day of the Last Fiscal Quarter.</w:t>
      </w:r>
    </w:p>
    <w:p>
      <w:pPr>
        <w:spacing w:after="0" w:line="143"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Firm</w:t>
      </w:r>
      <w:r>
        <w:rPr>
          <w:rFonts w:ascii="Arial" w:cs="Arial" w:eastAsia="Arial" w:hAnsi="Arial"/>
          <w:sz w:val="18"/>
          <w:szCs w:val="18"/>
          <w:color w:val="auto"/>
        </w:rPr>
        <w:t>” means a nationally recognized investment banking, accounting or valuation firm jointly selected by the Board and the Holder and engaged by the Company.</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has the meaning set forth in the Preamble.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has the meaning set forth in the Preamble.</w:t>
      </w:r>
    </w:p>
    <w:p>
      <w:pPr>
        <w:spacing w:after="0" w:line="198" w:lineRule="exact"/>
        <w:rPr>
          <w:sz w:val="20"/>
          <w:szCs w:val="20"/>
          <w:color w:val="auto"/>
        </w:rPr>
      </w:pPr>
    </w:p>
    <w:p>
      <w:pPr>
        <w:ind w:right="160" w:firstLine="5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Common Stock</w:t>
      </w:r>
      <w:r>
        <w:rPr>
          <w:rFonts w:ascii="Arial" w:cs="Arial" w:eastAsia="Arial" w:hAnsi="Arial"/>
          <w:sz w:val="18"/>
          <w:szCs w:val="18"/>
          <w:color w:val="auto"/>
        </w:rPr>
        <w:t>” means the Company Common Stock issued or issuable upon exercise of this Warrant Agreement in accordance with its terms.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Securities</w:t>
      </w:r>
      <w:r>
        <w:rPr>
          <w:rFonts w:ascii="Arial" w:cs="Arial" w:eastAsia="Arial" w:hAnsi="Arial"/>
          <w:sz w:val="18"/>
          <w:szCs w:val="18"/>
          <w:color w:val="auto"/>
        </w:rPr>
        <w:t>” means the Warrant Agreement and the Warrant Common Stock, collectively.</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SURVIVAL OF PROVISIONS</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ALL OF THE PROVISIONS OF THIS WARRANT AGREEMENT SHALL EXPRESSLY SURVIVE ANY EXERCISE OF THIS WARRANT AGREEMENT UNTIL THE DATE ON WHICH THE HOLDER NO LONGER HOLDS ANY WARRANT SECURITIES.</w:t>
      </w:r>
    </w:p>
    <w:p>
      <w:pPr>
        <w:spacing w:after="0" w:line="13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CAPTIONS</w:t>
      </w:r>
    </w:p>
    <w:p>
      <w:pPr>
        <w:spacing w:after="0" w:line="170" w:lineRule="exact"/>
        <w:rPr>
          <w:sz w:val="20"/>
          <w:szCs w:val="20"/>
          <w:color w:val="auto"/>
        </w:rPr>
      </w:pPr>
    </w:p>
    <w:p>
      <w:pPr>
        <w:jc w:val="both"/>
        <w:ind w:firstLine="545"/>
        <w:spacing w:after="0" w:line="277" w:lineRule="auto"/>
        <w:rPr>
          <w:sz w:val="20"/>
          <w:szCs w:val="20"/>
          <w:color w:val="auto"/>
        </w:rPr>
      </w:pPr>
      <w:r>
        <w:rPr>
          <w:rFonts w:ascii="Arial" w:cs="Arial" w:eastAsia="Arial" w:hAnsi="Arial"/>
          <w:sz w:val="18"/>
          <w:szCs w:val="18"/>
          <w:color w:val="auto"/>
        </w:rPr>
        <w:t>The titles and captions of the Sections and other provisions of this Warrant Agreement are for convenience of reference only and are not to be considered in construing this Warrant Agreement.</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NOTICES</w:t>
      </w:r>
    </w:p>
    <w:p>
      <w:pPr>
        <w:spacing w:after="0" w:line="170" w:lineRule="exact"/>
        <w:rPr>
          <w:sz w:val="20"/>
          <w:szCs w:val="20"/>
          <w:color w:val="auto"/>
        </w:rPr>
      </w:pPr>
    </w:p>
    <w:p>
      <w:pPr>
        <w:jc w:val="both"/>
        <w:ind w:firstLine="545"/>
        <w:spacing w:after="0" w:line="269" w:lineRule="auto"/>
        <w:rPr>
          <w:sz w:val="20"/>
          <w:szCs w:val="20"/>
          <w:color w:val="auto"/>
        </w:rPr>
      </w:pPr>
      <w:r>
        <w:rPr>
          <w:rFonts w:ascii="Arial" w:cs="Arial" w:eastAsia="Arial" w:hAnsi="Arial"/>
          <w:sz w:val="17"/>
          <w:szCs w:val="17"/>
          <w:color w:val="auto"/>
        </w:rPr>
        <w:t>Any notice, request, demand, claim or other communication required or permitted to be delivered, given or otherwise provided under this Warrant Agreement must be in writing and must be delivered personally, delivered by nationally recognized overnight courier service, sent by certified or registered mail, postage prepaid, or (if a facsimile number is provided below) sent by facsimile (subject to electronic confirmation of good facsimile transmission). Any such notice, request, demand, claim or other communication will be deemed to have been delivered and given (a) when delivered, if delivered personally, (b) the Business Day after it is deposited with such nationally recognized overnight courier service, if sent for overnight delivery by a nationally recognized overnight courier service, (c) the day of sending, if sent by facsimile prior to 5:00 p.m. (Eastern time) on any Business Day or the next succeeding Business Day if sent by facsimile after 5:00 p.m. (Eastern time) on any Business Day or on any day other than a Business Day or (d) five Business Days after the date of mailing, if mailed by certified or registered mail, postage prepaid, in each case, to the following address or, if applicable, facsimile number, or to such other address or addresses or facsimile number or numbers as such party may subsequently designate to the other parties by notice given hereunder: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5" w:right="999" w:bottom="1440" w:gutter="0" w:footer="0" w:header="0"/>
        </w:sectPr>
      </w:pPr>
    </w:p>
    <w:bookmarkStart w:id="139" w:name="page140"/>
    <w:bookmarkEnd w:id="139"/>
    <w:p>
      <w:pPr>
        <w:ind w:left="540"/>
        <w:spacing w:after="0"/>
        <w:rPr>
          <w:sz w:val="20"/>
          <w:szCs w:val="20"/>
          <w:color w:val="auto"/>
        </w:rPr>
      </w:pPr>
      <w:r>
        <w:rPr>
          <w:rFonts w:ascii="Arial" w:cs="Arial" w:eastAsia="Arial" w:hAnsi="Arial"/>
          <w:sz w:val="18"/>
          <w:szCs w:val="18"/>
          <w:color w:val="auto"/>
        </w:rPr>
        <w:t>If to the Company:</w:t>
      </w:r>
    </w:p>
    <w:p>
      <w:pPr>
        <w:spacing w:after="0" w:line="18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 Welsh, Carson, Anderson &amp; Stowe</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320 Park Avenue Suite 2500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New York 10022-6815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number: (212) 893-9575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Thomas A. Scully and Sean M. Traynor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18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McDermott Will &amp; Emery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444 West Lake Street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number: (312) 277-2813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John Callahan and Patrick Martinez</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Holder:</w:t>
      </w:r>
    </w:p>
    <w:p>
      <w:pPr>
        <w:spacing w:after="0" w:line="19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Adventist Health</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2100 Douglas Blvd.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Roseville, CA 95661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number: (916) 774-3326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President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(not constituting notice) to:</w:t>
      </w:r>
    </w:p>
    <w:p>
      <w:pPr>
        <w:spacing w:after="0" w:line="18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Meredith Jobe</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Adventist Health</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2100 Douglas Blvd.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Roseville, CA 95661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number: (916) 406-2324</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355 South Grand Ave., Suite 100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Los Angeles, CA 90071-1560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Daniel K. Settelmayer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number: (213) 891-8763</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the parties to this Warrant Agreement may specify a different address or addresses or facsimile number or facsimile numbers by giving notice in accordance with this Section 9 to each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5" w:right="999" w:bottom="1440" w:gutter="0" w:footer="0" w:header="0"/>
        </w:sectPr>
      </w:pPr>
    </w:p>
    <w:bookmarkStart w:id="140" w:name="page141"/>
    <w:bookmarkEnd w:id="140"/>
    <w:p>
      <w:pPr>
        <w:jc w:val="center"/>
        <w:ind w:right="100"/>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ASSIGNMENT, SUCCESSORS AND ASSIGNS</w:t>
      </w:r>
    </w:p>
    <w:p>
      <w:pPr>
        <w:spacing w:after="0" w:line="170" w:lineRule="exact"/>
        <w:rPr>
          <w:sz w:val="20"/>
          <w:szCs w:val="20"/>
          <w:color w:val="auto"/>
        </w:rPr>
      </w:pPr>
    </w:p>
    <w:p>
      <w:pPr>
        <w:ind w:right="280" w:firstLine="545"/>
        <w:spacing w:after="0" w:line="286" w:lineRule="auto"/>
        <w:rPr>
          <w:sz w:val="20"/>
          <w:szCs w:val="20"/>
          <w:color w:val="auto"/>
        </w:rPr>
      </w:pPr>
      <w:r>
        <w:rPr>
          <w:rFonts w:ascii="Arial" w:cs="Arial" w:eastAsia="Arial" w:hAnsi="Arial"/>
          <w:sz w:val="17"/>
          <w:szCs w:val="17"/>
          <w:color w:val="auto"/>
        </w:rPr>
        <w:t>This Warrant and all of the provisions hereof shall be binding upon and inure to the benefit of the parties hereto and their respective successors and permitted assigns, but neither this Warrant nor any of the rights, interests or obligations hereunder shall be assigned by any of the parties hereto without the prior written consent of the other parties.</w:t>
      </w:r>
    </w:p>
    <w:p>
      <w:pPr>
        <w:spacing w:after="0" w:line="13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AMENDMENTS</w:t>
      </w:r>
    </w:p>
    <w:p>
      <w:pPr>
        <w:spacing w:after="0" w:line="170" w:lineRule="exact"/>
        <w:rPr>
          <w:sz w:val="20"/>
          <w:szCs w:val="20"/>
          <w:color w:val="auto"/>
        </w:rPr>
      </w:pPr>
    </w:p>
    <w:p>
      <w:pPr>
        <w:ind w:right="180" w:firstLine="545"/>
        <w:spacing w:after="0" w:line="277" w:lineRule="auto"/>
        <w:rPr>
          <w:sz w:val="20"/>
          <w:szCs w:val="20"/>
          <w:color w:val="auto"/>
        </w:rPr>
      </w:pPr>
      <w:r>
        <w:rPr>
          <w:rFonts w:ascii="Arial" w:cs="Arial" w:eastAsia="Arial" w:hAnsi="Arial"/>
          <w:sz w:val="18"/>
          <w:szCs w:val="18"/>
          <w:color w:val="auto"/>
        </w:rPr>
        <w:t>Neither this Warrant Agreement nor any term hereof may be amended, changed, waived, discharged or terminated without the prior written consent of the Holder and the Company to such action.</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SEVERABILITY</w:t>
      </w:r>
    </w:p>
    <w:p>
      <w:pPr>
        <w:spacing w:after="0" w:line="184"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8"/>
          <w:szCs w:val="18"/>
          <w:color w:val="auto"/>
        </w:rPr>
        <w:t>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hereof.</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13</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GOVERNING LAW</w:t>
      </w:r>
    </w:p>
    <w:p>
      <w:pPr>
        <w:spacing w:after="0" w:line="170" w:lineRule="exact"/>
        <w:rPr>
          <w:sz w:val="20"/>
          <w:szCs w:val="20"/>
          <w:color w:val="auto"/>
        </w:rPr>
      </w:pPr>
    </w:p>
    <w:p>
      <w:pPr>
        <w:ind w:right="100" w:firstLine="545"/>
        <w:spacing w:after="0" w:line="277" w:lineRule="auto"/>
        <w:rPr>
          <w:sz w:val="20"/>
          <w:szCs w:val="20"/>
          <w:color w:val="auto"/>
        </w:rPr>
      </w:pPr>
      <w:r>
        <w:rPr>
          <w:rFonts w:ascii="Arial" w:cs="Arial" w:eastAsia="Arial" w:hAnsi="Arial"/>
          <w:sz w:val="18"/>
          <w:szCs w:val="18"/>
          <w:color w:val="auto"/>
        </w:rPr>
        <w:t>This Warrant Agreement is to be construed and enforced in accordance with and governed by the laws of the State of Delaware and without regard to the principles of conflicts of law of such state.</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14</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ENTIRE AGREEMENT</w:t>
      </w:r>
    </w:p>
    <w:p>
      <w:pPr>
        <w:spacing w:after="0" w:line="170" w:lineRule="exact"/>
        <w:rPr>
          <w:sz w:val="20"/>
          <w:szCs w:val="20"/>
          <w:color w:val="auto"/>
        </w:rPr>
      </w:pPr>
    </w:p>
    <w:p>
      <w:pPr>
        <w:jc w:val="both"/>
        <w:ind w:firstLine="545"/>
        <w:spacing w:after="0" w:line="286" w:lineRule="auto"/>
        <w:rPr>
          <w:sz w:val="20"/>
          <w:szCs w:val="20"/>
          <w:color w:val="auto"/>
        </w:rPr>
      </w:pPr>
      <w:r>
        <w:rPr>
          <w:rFonts w:ascii="Arial" w:cs="Arial" w:eastAsia="Arial" w:hAnsi="Arial"/>
          <w:sz w:val="17"/>
          <w:szCs w:val="17"/>
          <w:color w:val="auto"/>
        </w:rPr>
        <w:t>This Warrant Agreement, the Stockholders Agreement and the agreements, documents and instruments entered hereby are intended by the parties as a final expression of their agreement and are intended to be a complete and exclusive statement of the agreement and understanding of the parties hereto in respect of the subject matter contained herein and therein.</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15</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RULES OF CONSTRUCTION</w:t>
      </w:r>
    </w:p>
    <w:p>
      <w:pPr>
        <w:spacing w:after="0" w:line="184" w:lineRule="exact"/>
        <w:rPr>
          <w:sz w:val="20"/>
          <w:szCs w:val="20"/>
          <w:color w:val="auto"/>
        </w:rPr>
      </w:pPr>
    </w:p>
    <w:p>
      <w:pPr>
        <w:jc w:val="both"/>
        <w:ind w:firstLine="545"/>
        <w:spacing w:after="0" w:line="286" w:lineRule="auto"/>
        <w:rPr>
          <w:sz w:val="20"/>
          <w:szCs w:val="20"/>
          <w:color w:val="auto"/>
        </w:rPr>
      </w:pPr>
      <w:r>
        <w:rPr>
          <w:rFonts w:ascii="Arial" w:cs="Arial" w:eastAsia="Arial" w:hAnsi="Arial"/>
          <w:sz w:val="17"/>
          <w:szCs w:val="17"/>
          <w:color w:val="auto"/>
        </w:rPr>
        <w:t>Unless the context otherwise requires, “or” is not exclusive, and references to sections or subsections refer to sections or subsections of this Warrant Agreement. All pronouns and any variations thereof refer to the masculine, feminine or neuter, singular or plural, as the context may require. The use in this Warrant of the term “including” means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141" w:name="page142"/>
    <w:bookmarkEnd w:id="141"/>
    <w:p>
      <w:pPr>
        <w:jc w:val="center"/>
        <w:ind w:right="100"/>
        <w:spacing w:after="0"/>
        <w:rPr>
          <w:sz w:val="20"/>
          <w:szCs w:val="20"/>
          <w:color w:val="auto"/>
        </w:rPr>
      </w:pPr>
      <w:r>
        <w:rPr>
          <w:rFonts w:ascii="Arial" w:cs="Arial" w:eastAsia="Arial" w:hAnsi="Arial"/>
          <w:sz w:val="18"/>
          <w:szCs w:val="18"/>
          <w:b w:val="1"/>
          <w:bCs w:val="1"/>
          <w:color w:val="auto"/>
        </w:rPr>
        <w:t>SECTION 16</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COUNTERPARTS</w:t>
      </w:r>
    </w:p>
    <w:p>
      <w:pPr>
        <w:spacing w:after="0" w:line="170"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color w:val="auto"/>
        </w:rPr>
        <w:t>This Warrant Agreement may be executed in any number of counterparts, and each such counterpart hereof shall be deemed to be an original instrument, but all such counterparts together shall constitute but one agreement. The parties hereto may deliver executed signature pages to this Warrant Agreement by facsimile or email transmission. No party hereto may raise as a defense to the formation or enforceability of this Warrant Agreement, and each party hereto forever waives any such defense, either (i) the use of a facsimile or email transmission to deliver a signature or (ii) the fact that any signature was signed and subsequently transmitted by facsimile or email transmission.</w:t>
      </w:r>
    </w:p>
    <w:p>
      <w:pPr>
        <w:spacing w:after="0" w:line="16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SECTION 17</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EXPENSES</w:t>
      </w:r>
    </w:p>
    <w:p>
      <w:pPr>
        <w:spacing w:after="0" w:line="170" w:lineRule="exact"/>
        <w:rPr>
          <w:sz w:val="20"/>
          <w:szCs w:val="20"/>
          <w:color w:val="auto"/>
        </w:rPr>
      </w:pPr>
    </w:p>
    <w:p>
      <w:pPr>
        <w:jc w:val="both"/>
        <w:ind w:firstLine="545"/>
        <w:spacing w:after="0" w:line="263" w:lineRule="auto"/>
        <w:rPr>
          <w:sz w:val="20"/>
          <w:szCs w:val="20"/>
          <w:color w:val="auto"/>
        </w:rPr>
      </w:pPr>
      <w:r>
        <w:rPr>
          <w:rFonts w:ascii="Arial" w:cs="Arial" w:eastAsia="Arial" w:hAnsi="Arial"/>
          <w:sz w:val="18"/>
          <w:szCs w:val="18"/>
          <w:color w:val="auto"/>
        </w:rPr>
        <w:t>Each party will pay their own respective financial advisory, legal, accounting and other expenses incurred by them or for their benefit in connection with the preparation and execution of this Warrant Agreement, the compliance herewith and the consummation of the transactions contemplated hereby.</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18</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JOINDER TO STOCKHOLDERS AGREEMENT</w:t>
      </w:r>
    </w:p>
    <w:p>
      <w:pPr>
        <w:spacing w:after="0" w:line="184" w:lineRule="exact"/>
        <w:rPr>
          <w:sz w:val="20"/>
          <w:szCs w:val="20"/>
          <w:color w:val="auto"/>
        </w:rPr>
      </w:pPr>
    </w:p>
    <w:p>
      <w:pPr>
        <w:ind w:right="180" w:firstLine="545"/>
        <w:spacing w:after="0" w:line="277" w:lineRule="auto"/>
        <w:rPr>
          <w:sz w:val="20"/>
          <w:szCs w:val="20"/>
          <w:color w:val="auto"/>
        </w:rPr>
      </w:pPr>
      <w:r>
        <w:rPr>
          <w:rFonts w:ascii="Arial" w:cs="Arial" w:eastAsia="Arial" w:hAnsi="Arial"/>
          <w:sz w:val="18"/>
          <w:szCs w:val="18"/>
          <w:color w:val="auto"/>
        </w:rPr>
        <w:t>By acceptance of the Warrant Common Stock, the undersigned agrees hereby to become a party to, and be bound by the terms of, the Stockholders Agreement, as a Stockholder.</w:t>
      </w:r>
    </w:p>
    <w:p>
      <w:pPr>
        <w:spacing w:after="0" w:line="1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142" w:name="page143"/>
    <w:bookmarkEnd w:id="142"/>
    <w:p>
      <w:pPr>
        <w:ind w:firstLine="54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Warrant Agreement to be issued and executed in its corporate name</w:t>
      </w:r>
      <w:r>
        <w:rPr>
          <w:rFonts w:ascii="Arial" w:cs="Arial" w:eastAsia="Arial" w:hAnsi="Arial"/>
          <w:sz w:val="18"/>
          <w:szCs w:val="18"/>
          <w:b w:val="1"/>
          <w:bCs w:val="1"/>
          <w:color w:val="auto"/>
        </w:rPr>
        <w:t xml:space="preserve"> </w:t>
      </w:r>
      <w:r>
        <w:rPr>
          <w:rFonts w:ascii="Arial" w:cs="Arial" w:eastAsia="Arial" w:hAnsi="Arial"/>
          <w:sz w:val="18"/>
          <w:szCs w:val="18"/>
          <w:color w:val="auto"/>
        </w:rPr>
        <w:t>by its duly authorized officer as of the date of issuance set forth above.</w:t>
      </w:r>
    </w:p>
    <w:p>
      <w:pPr>
        <w:spacing w:after="0" w:line="1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TCO GROUP HOLDINGS, INC.</w:t>
      </w:r>
    </w:p>
    <w:p>
      <w:pPr>
        <w:spacing w:after="0" w:line="229"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2777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Maureen Hewitt</w:t>
      </w:r>
    </w:p>
    <w:p>
      <w:pPr>
        <w:spacing w:after="0" w:line="23"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Title:</w:t>
        <w:tab/>
        <w:t>Chief Executive Officer and President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ACKNOWLEDGED AND ACCEPTED this 6 day of March, 2019.</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ADVENTIST HEALTH SYSTEM/WEST</w:t>
      </w:r>
    </w:p>
    <w:p>
      <w:pPr>
        <w:spacing w:after="0" w:line="229" w:lineRule="exact"/>
        <w:rPr>
          <w:sz w:val="20"/>
          <w:szCs w:val="20"/>
          <w:color w:val="auto"/>
        </w:rPr>
      </w:pPr>
    </w:p>
    <w:p>
      <w:pPr>
        <w:ind w:left="4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14605</wp:posOffset>
            </wp:positionV>
            <wp:extent cx="27774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1034415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1100" w:top="121" w:right="11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u w:val="single" w:color="auto"/>
          <w:color w:val="auto"/>
        </w:rPr>
        <w:t>EXHIBIT A</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NOTICE OF EXERCISE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597535</wp:posOffset>
            </wp:positionV>
            <wp:extent cx="2888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452120</wp:posOffset>
            </wp:positionV>
            <wp:extent cx="2888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306070</wp:posOffset>
            </wp:positionV>
            <wp:extent cx="28886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160655</wp:posOffset>
            </wp:positionV>
            <wp:extent cx="28886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14605</wp:posOffset>
            </wp:positionV>
            <wp:extent cx="2888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20" w:firstLine="536"/>
        <w:spacing w:after="0" w:line="296" w:lineRule="auto"/>
        <w:tabs>
          <w:tab w:leader="none" w:pos="1312"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Capitalized terms used but not otherwise defined herein have the meanings ascribed thereto in the Warrant Agreement. The undersigned, pursuant to the provisions of the Warrant Agreement, hereby elects to exercise the Warrant Agreement with respect to shares of Warrant Common Stock representing ___ % of the issued and outstanding equity interest of the Company on a Fully Diluted, as of the date hereof after giving effect to the exercise of the Warrant Agreement. Subject to adjustment after confirmation with the Company, the Holder has calculated the number of shares of Warrant Common Stock to be _____ shares.</w:t>
      </w:r>
    </w:p>
    <w:p>
      <w:pPr>
        <w:spacing w:after="0" w:line="120" w:lineRule="exact"/>
        <w:rPr>
          <w:rFonts w:ascii="Arial" w:cs="Arial" w:eastAsia="Arial" w:hAnsi="Arial"/>
          <w:sz w:val="16"/>
          <w:szCs w:val="16"/>
          <w:color w:val="auto"/>
        </w:rPr>
      </w:pPr>
    </w:p>
    <w:p>
      <w:pPr>
        <w:jc w:val="both"/>
        <w:ind w:left="120" w:firstLine="536"/>
        <w:spacing w:after="0" w:line="263" w:lineRule="auto"/>
        <w:tabs>
          <w:tab w:leader="none" w:pos="13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adjustment after confirmation with the Company, the undersigned herewith tenders payment for such Company Common Stock, together with any applicable transfer taxes, in the following manner (please check type, or types, of payment and indicate the portion of the Exercise Price to be paid by each type of payment):</w:t>
      </w:r>
    </w:p>
    <w:p>
      <w:pPr>
        <w:spacing w:after="0" w:line="1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________ Exercise for Cash</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________ Cashless Exercise</w:t>
      </w:r>
    </w:p>
    <w:p>
      <w:pPr>
        <w:spacing w:after="0" w:line="185" w:lineRule="exact"/>
        <w:rPr>
          <w:sz w:val="20"/>
          <w:szCs w:val="20"/>
          <w:color w:val="auto"/>
        </w:rPr>
      </w:pPr>
    </w:p>
    <w:p>
      <w:pPr>
        <w:ind w:left="120" w:right="140" w:firstLine="542"/>
        <w:spacing w:after="0" w:line="277" w:lineRule="auto"/>
        <w:tabs>
          <w:tab w:leader="none" w:pos="13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Company Common Stock issuable in respect hereof under the terms of the attached Warrant Agreement, as follows:</w:t>
      </w:r>
    </w:p>
    <w:p>
      <w:pPr>
        <w:spacing w:after="0" w:line="1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of Record Holder/Transferee)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and deliver such certificate or certificates to the following address:</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 of Record Holder/Transferee)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20" w:firstLine="536"/>
        <w:spacing w:after="0" w:line="263" w:lineRule="auto"/>
        <w:tabs>
          <w:tab w:leader="none" w:pos="131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represents that the aforesaid Company Common Stock are being acquired for the account of the undersigned for investment and not with a view to, or for resale in connection with, the distribution thereof and that the undersigned has no present intention of distributing or reselling such Company Common Stock.</w:t>
      </w:r>
    </w:p>
    <w:p>
      <w:pPr>
        <w:spacing w:after="0" w:line="200" w:lineRule="exact"/>
        <w:rPr>
          <w:sz w:val="20"/>
          <w:szCs w:val="20"/>
          <w:color w:val="auto"/>
        </w:rPr>
      </w:pPr>
    </w:p>
    <w:p>
      <w:pPr>
        <w:spacing w:after="0" w:line="21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1155065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DEFINITION OF “ CONSOLIDATED EBITDA”</w:t>
      </w:r>
    </w:p>
    <w:p>
      <w:pPr>
        <w:spacing w:after="0" w:line="1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768985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145" w:name="page146"/>
    <w:bookmarkEnd w:id="145"/>
    <w:p>
      <w:pPr>
        <w:ind w:left="8160"/>
        <w:spacing w:after="0"/>
        <w:rPr>
          <w:sz w:val="20"/>
          <w:szCs w:val="20"/>
          <w:color w:val="auto"/>
        </w:rPr>
      </w:pPr>
      <w:r>
        <w:rPr>
          <w:rFonts w:ascii="Arial" w:cs="Arial" w:eastAsia="Arial" w:hAnsi="Arial"/>
          <w:sz w:val="16"/>
          <w:szCs w:val="16"/>
          <w:b w:val="1"/>
          <w:bCs w:val="1"/>
          <w:color w:val="auto"/>
        </w:rPr>
        <w:t>Exhibit 21</w:t>
      </w:r>
    </w:p>
    <w:p>
      <w:pPr>
        <w:spacing w:after="0" w:line="250" w:lineRule="exact"/>
        <w:rPr>
          <w:sz w:val="20"/>
          <w:szCs w:val="20"/>
          <w:color w:val="auto"/>
        </w:rPr>
      </w:pPr>
    </w:p>
    <w:tbl>
      <w:tblPr>
        <w:tblLayout w:type="fixed"/>
        <w:tblInd w:w="5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0" w:type="dxa"/>
            <w:vAlign w:val="bottom"/>
            <w:gridSpan w:val="5"/>
          </w:tcPr>
          <w:p>
            <w:pPr>
              <w:jc w:val="center"/>
              <w:ind w:right="2700"/>
              <w:spacing w:after="0"/>
              <w:rPr>
                <w:sz w:val="20"/>
                <w:szCs w:val="20"/>
                <w:color w:val="auto"/>
              </w:rPr>
            </w:pPr>
            <w:r>
              <w:rPr>
                <w:rFonts w:ascii="Arial" w:cs="Arial" w:eastAsia="Arial" w:hAnsi="Arial"/>
                <w:sz w:val="20"/>
                <w:szCs w:val="20"/>
                <w:color w:val="auto"/>
                <w:w w:val="93"/>
              </w:rPr>
              <w:t>InnovAge Holding Corp.</w:t>
            </w:r>
          </w:p>
        </w:tc>
      </w:tr>
      <w:tr>
        <w:trPr>
          <w:trHeight w:val="216"/>
        </w:trPr>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gridSpan w:val="5"/>
          </w:tcPr>
          <w:p>
            <w:pPr>
              <w:jc w:val="center"/>
              <w:ind w:right="2720"/>
              <w:spacing w:after="0"/>
              <w:rPr>
                <w:sz w:val="20"/>
                <w:szCs w:val="20"/>
                <w:color w:val="auto"/>
              </w:rPr>
            </w:pPr>
            <w:r>
              <w:rPr>
                <w:rFonts w:ascii="Arial" w:cs="Arial" w:eastAsia="Arial" w:hAnsi="Arial"/>
                <w:sz w:val="18"/>
                <w:szCs w:val="18"/>
                <w:color w:val="auto"/>
                <w:w w:val="92"/>
              </w:rPr>
              <w:t>List of Subsidiaries</w:t>
            </w:r>
          </w:p>
        </w:tc>
      </w:tr>
      <w:tr>
        <w:trPr>
          <w:trHeight w:val="230"/>
        </w:trPr>
        <w:tc>
          <w:tcPr>
            <w:tcW w:w="2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0" w:type="dxa"/>
            <w:vAlign w:val="bottom"/>
            <w:gridSpan w:val="5"/>
          </w:tcPr>
          <w:p>
            <w:pPr>
              <w:jc w:val="center"/>
              <w:ind w:right="2720"/>
              <w:spacing w:after="0"/>
              <w:rPr>
                <w:sz w:val="20"/>
                <w:szCs w:val="20"/>
                <w:color w:val="auto"/>
              </w:rPr>
            </w:pPr>
            <w:r>
              <w:rPr>
                <w:rFonts w:ascii="Arial" w:cs="Arial" w:eastAsia="Arial" w:hAnsi="Arial"/>
                <w:sz w:val="18"/>
                <w:szCs w:val="18"/>
                <w:color w:val="auto"/>
                <w:w w:val="89"/>
              </w:rPr>
              <w:t>As of June 30, 2021</w:t>
            </w:r>
          </w:p>
        </w:tc>
      </w:tr>
      <w:tr>
        <w:trPr>
          <w:trHeight w:val="405"/>
        </w:trPr>
        <w:tc>
          <w:tcPr>
            <w:tcW w:w="4980" w:type="dxa"/>
            <w:vAlign w:val="bottom"/>
            <w:gridSpan w:val="3"/>
          </w:tcPr>
          <w:p>
            <w:pPr>
              <w:ind w:left="2260"/>
              <w:spacing w:after="0"/>
              <w:rPr>
                <w:sz w:val="20"/>
                <w:szCs w:val="20"/>
                <w:color w:val="auto"/>
              </w:rPr>
            </w:pPr>
            <w:r>
              <w:rPr>
                <w:rFonts w:ascii="Arial" w:cs="Arial" w:eastAsia="Arial" w:hAnsi="Arial"/>
                <w:sz w:val="18"/>
                <w:szCs w:val="18"/>
                <w:b w:val="1"/>
                <w:bCs w:val="1"/>
                <w:color w:val="auto"/>
              </w:rPr>
              <w:t>Name</w:t>
            </w:r>
          </w:p>
        </w:tc>
        <w:tc>
          <w:tcPr>
            <w:tcW w:w="3940" w:type="dxa"/>
            <w:vAlign w:val="bottom"/>
            <w:gridSpan w:val="4"/>
          </w:tcPr>
          <w:p>
            <w:pPr>
              <w:ind w:left="1600"/>
              <w:spacing w:after="0"/>
              <w:rPr>
                <w:sz w:val="20"/>
                <w:szCs w:val="20"/>
                <w:color w:val="auto"/>
              </w:rPr>
            </w:pPr>
            <w:r>
              <w:rPr>
                <w:rFonts w:ascii="Arial" w:cs="Arial" w:eastAsia="Arial" w:hAnsi="Arial"/>
                <w:sz w:val="18"/>
                <w:szCs w:val="18"/>
                <w:b w:val="1"/>
                <w:bCs w:val="1"/>
                <w:color w:val="auto"/>
              </w:rPr>
              <w:t>State</w:t>
            </w: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TCO Group Holdings, L.P.</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TCO Group Holdings GP,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Holding Corp.</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TCO Intermediate Holdings</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Community Options, Inc. dba InnovAge</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Investment Holdings,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Longterm Care Solutions,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TCO Western Holdings,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TCO Eastern Holdings,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Total Community Care,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Longterm Care, Inc.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Senior Housing Thornton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Innovative Care Management, Inc.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Seniors! Inc.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InnovAge Senior Housing – Thornton (Managing Member),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California PACE – Sacramento,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Virginia PACE – Roanoke Valley,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Virginia</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Virginia PACE – Charlottesville,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Virginia</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Life at Home,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Senior Life at Home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Senior Housing, Thornton,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California PACE – Los Angeles,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Kentucky PACE – Louisville,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Virginia PACE II,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Virginia</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TLC Inland,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Continental Community Housing, Inc.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Home Care – North,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Home Care – Aspen,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California PACE – Oakland,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Florida PACE,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09"/>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InnovAge Florida PACE II, LLC</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Greater Colorado PACE – Loveland,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Pinewood Lodge LLLP</w:t>
            </w:r>
          </w:p>
        </w:tc>
        <w:tc>
          <w:tcPr>
            <w:tcW w:w="3620" w:type="dxa"/>
            <w:vAlign w:val="bottom"/>
            <w:tcBorders>
              <w:bottom w:val="single" w:sz="8" w:color="auto"/>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Colorado</w:t>
            </w:r>
          </w:p>
        </w:tc>
        <w:tc>
          <w:tcPr>
            <w:tcW w:w="320" w:type="dxa"/>
            <w:vAlign w:val="bottom"/>
          </w:tcPr>
          <w:p>
            <w:pPr>
              <w:spacing w:after="0"/>
              <w:rPr>
                <w:sz w:val="18"/>
                <w:szCs w:val="18"/>
                <w:color w:val="auto"/>
              </w:rPr>
            </w:pPr>
          </w:p>
        </w:tc>
      </w:tr>
      <w:tr>
        <w:trPr>
          <w:trHeight w:val="210"/>
        </w:trPr>
        <w:tc>
          <w:tcPr>
            <w:tcW w:w="49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InnovAge Pennsylvania LIFE, LLC</w:t>
            </w:r>
          </w:p>
        </w:tc>
        <w:tc>
          <w:tcPr>
            <w:tcW w:w="36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Pennsylvania</w:t>
            </w:r>
          </w:p>
        </w:tc>
        <w:tc>
          <w:tcPr>
            <w:tcW w:w="320" w:type="dxa"/>
            <w:vAlign w:val="bottom"/>
          </w:tcPr>
          <w:p>
            <w:pPr>
              <w:spacing w:after="0"/>
              <w:rPr>
                <w:sz w:val="18"/>
                <w:szCs w:val="18"/>
                <w:color w:val="auto"/>
              </w:rPr>
            </w:pPr>
          </w:p>
        </w:tc>
      </w:tr>
      <w:tr>
        <w:trPr>
          <w:trHeight w:val="756"/>
        </w:trPr>
        <w:tc>
          <w:tcPr>
            <w:tcW w:w="2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231F20"/>
        </w:rPr>
        <w:t>Exhibit 23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2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231F20"/>
        </w:rPr>
        <w:t>We consent to the incorporation by reference in Registration Statement No. 333-253902 on Form S-8 of our report dated September 22, 2021, relating to the financial statements of InnovAge Holding Corp. appearing in this Annual Report on Form 10-K for the year ended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231F20"/>
        </w:rPr>
        <w:t>Denver, 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31F20"/>
        </w:rPr>
        <w:t>September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7" w:name="page148"/>
    <w:bookmarkEnd w:id="147"/>
    <w:p>
      <w:pPr>
        <w:ind w:left="880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Maureen Hewitt, certify that:</w:t>
      </w:r>
    </w:p>
    <w:p>
      <w:pPr>
        <w:spacing w:after="0" w:line="225"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InnovAge Holding Corp.;</w:t>
      </w:r>
    </w:p>
    <w:p>
      <w:pPr>
        <w:spacing w:after="0" w:line="225" w:lineRule="exact"/>
        <w:rPr>
          <w:rFonts w:ascii="Arial" w:cs="Arial" w:eastAsia="Arial" w:hAnsi="Arial"/>
          <w:sz w:val="18"/>
          <w:szCs w:val="18"/>
          <w:color w:val="auto"/>
        </w:rPr>
      </w:pPr>
    </w:p>
    <w:p>
      <w:pPr>
        <w:jc w:val="both"/>
        <w:ind w:left="320" w:right="320" w:hanging="312"/>
        <w:spacing w:after="0" w:line="263" w:lineRule="auto"/>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320" w:hanging="312"/>
        <w:spacing w:after="0" w:line="297" w:lineRule="auto"/>
        <w:tabs>
          <w:tab w:leader="none" w:pos="320" w:val="left"/>
        </w:tabs>
        <w:numPr>
          <w:ilvl w:val="0"/>
          <w:numId w:val="76"/>
        </w:numPr>
        <w:rPr>
          <w:rFonts w:ascii="Arial" w:cs="Arial" w:eastAsia="Arial" w:hAnsi="Arial"/>
          <w:sz w:val="19"/>
          <w:szCs w:val="19"/>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9"/>
          <w:szCs w:val="19"/>
          <w:color w:val="auto"/>
        </w:rPr>
      </w:pPr>
    </w:p>
    <w:p>
      <w:pPr>
        <w:ind w:left="320" w:right="340" w:hanging="312"/>
        <w:spacing w:after="0" w:line="232" w:lineRule="auto"/>
        <w:tabs>
          <w:tab w:leader="none" w:pos="32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1"/>
          <w:numId w:val="76"/>
        </w:numPr>
        <w:rPr>
          <w:rFonts w:ascii="Arial" w:cs="Arial" w:eastAsia="Arial" w:hAnsi="Arial"/>
          <w:sz w:val="22"/>
          <w:szCs w:val="22"/>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22"/>
          <w:szCs w:val="22"/>
          <w:color w:val="auto"/>
        </w:rPr>
      </w:pPr>
    </w:p>
    <w:p>
      <w:pPr>
        <w:ind w:left="660" w:hanging="328"/>
        <w:spacing w:after="0" w:line="297" w:lineRule="auto"/>
        <w:tabs>
          <w:tab w:leader="none" w:pos="660" w:val="left"/>
        </w:tabs>
        <w:numPr>
          <w:ilvl w:val="1"/>
          <w:numId w:val="76"/>
        </w:numPr>
        <w:rPr>
          <w:rFonts w:ascii="Arial" w:cs="Arial" w:eastAsia="Arial" w:hAnsi="Arial"/>
          <w:sz w:val="19"/>
          <w:szCs w:val="19"/>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9"/>
          <w:szCs w:val="19"/>
          <w:color w:val="auto"/>
        </w:rPr>
      </w:pPr>
    </w:p>
    <w:p>
      <w:pPr>
        <w:jc w:val="both"/>
        <w:ind w:left="660" w:hanging="328"/>
        <w:spacing w:after="0" w:line="238" w:lineRule="auto"/>
        <w:tabs>
          <w:tab w:leader="none" w:pos="660" w:val="left"/>
        </w:tabs>
        <w:numPr>
          <w:ilvl w:val="1"/>
          <w:numId w:val="76"/>
        </w:numPr>
        <w:rPr>
          <w:rFonts w:ascii="Arial" w:cs="Arial" w:eastAsia="Arial" w:hAnsi="Arial"/>
          <w:sz w:val="22"/>
          <w:szCs w:val="22"/>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22"/>
          <w:szCs w:val="22"/>
          <w:color w:val="auto"/>
        </w:rPr>
      </w:pPr>
    </w:p>
    <w:p>
      <w:pPr>
        <w:jc w:val="both"/>
        <w:ind w:left="320" w:right="320" w:hanging="312"/>
        <w:spacing w:after="0" w:line="238" w:lineRule="auto"/>
        <w:tabs>
          <w:tab w:leader="none" w:pos="32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22"/>
          <w:szCs w:val="22"/>
          <w:color w:val="auto"/>
        </w:rPr>
      </w:pPr>
    </w:p>
    <w:p>
      <w:pPr>
        <w:ind w:left="660" w:hanging="328"/>
        <w:spacing w:after="0" w:line="251" w:lineRule="auto"/>
        <w:tabs>
          <w:tab w:leader="none" w:pos="660" w:val="left"/>
        </w:tabs>
        <w:numPr>
          <w:ilvl w:val="1"/>
          <w:numId w:val="76"/>
        </w:numPr>
        <w:rPr>
          <w:rFonts w:ascii="Arial" w:cs="Arial" w:eastAsia="Arial" w:hAnsi="Arial"/>
          <w:sz w:val="21"/>
          <w:szCs w:val="21"/>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21"/>
          <w:szCs w:val="21"/>
          <w:color w:val="auto"/>
        </w:rPr>
      </w:pPr>
    </w:p>
    <w:p>
      <w:pPr>
        <w:ind w:left="660" w:hanging="328"/>
        <w:spacing w:after="0" w:line="232" w:lineRule="auto"/>
        <w:tabs>
          <w:tab w:leader="none" w:pos="660" w:val="left"/>
        </w:tabs>
        <w:numPr>
          <w:ilvl w:val="1"/>
          <w:numId w:val="76"/>
        </w:numPr>
        <w:rPr>
          <w:rFonts w:ascii="Arial" w:cs="Arial" w:eastAsia="Arial" w:hAnsi="Arial"/>
          <w:sz w:val="22"/>
          <w:szCs w:val="22"/>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2021</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Maureen Hewitt</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Director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460"/>
          </w:cols>
          <w:pgMar w:left="980" w:top="121" w:right="459" w:bottom="1440" w:gutter="0" w:footer="0" w:header="0"/>
        </w:sectPr>
      </w:pPr>
    </w:p>
    <w:bookmarkStart w:id="148" w:name="page149"/>
    <w:bookmarkEnd w:id="148"/>
    <w:p>
      <w:pPr>
        <w:ind w:left="880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Gutierrez, certify that:</w:t>
      </w:r>
    </w:p>
    <w:p>
      <w:pPr>
        <w:spacing w:after="0" w:line="225"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InnovAge Holding Corp.;</w:t>
      </w:r>
    </w:p>
    <w:p>
      <w:pPr>
        <w:spacing w:after="0" w:line="225" w:lineRule="exact"/>
        <w:rPr>
          <w:rFonts w:ascii="Arial" w:cs="Arial" w:eastAsia="Arial" w:hAnsi="Arial"/>
          <w:sz w:val="18"/>
          <w:szCs w:val="18"/>
          <w:color w:val="auto"/>
        </w:rPr>
      </w:pPr>
    </w:p>
    <w:p>
      <w:pPr>
        <w:jc w:val="both"/>
        <w:ind w:left="320" w:right="320" w:hanging="312"/>
        <w:spacing w:after="0" w:line="263"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20" w:right="320" w:hanging="312"/>
        <w:spacing w:after="0" w:line="342" w:lineRule="auto"/>
        <w:tabs>
          <w:tab w:leader="none" w:pos="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20" w:right="340" w:hanging="312"/>
        <w:spacing w:after="0" w:line="277"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20" w:right="320" w:hanging="312"/>
        <w:spacing w:after="0" w:line="263"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2021</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Barbara Gutierrez</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460"/>
          </w:cols>
          <w:pgMar w:left="980" w:top="121" w:right="459" w:bottom="1440" w:gutter="0" w:footer="0" w:header="0"/>
        </w:sectPr>
      </w:pPr>
    </w:p>
    <w:bookmarkStart w:id="149" w:name="page150"/>
    <w:bookmarkEnd w:id="149"/>
    <w:p>
      <w:pPr>
        <w:ind w:left="880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29"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 connection with the Annual Report on Form 10-K of InnovAge Holding Corp. (the “Company”) for the year ended June 30, 2021, as filed with the U.S. Securities and Exchange Commission (the “Report”), I, Maureen Hewitt, Chief Executive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2021</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Maureen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Maureen Hewitt</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Director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460"/>
          </w:cols>
          <w:pgMar w:left="980" w:top="121" w:right="459" w:bottom="1440" w:gutter="0" w:footer="0" w:header="0"/>
        </w:sectPr>
      </w:pPr>
    </w:p>
    <w:bookmarkStart w:id="150" w:name="page151"/>
    <w:bookmarkEnd w:id="150"/>
    <w:p>
      <w:pPr>
        <w:ind w:left="880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29"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 connection with the Annual Report on Form 10-K of InnovAge Holding Corp. (the “Company”) for the year ended June 30, 2021,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22, 2021</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Barbara Gutierrez</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10460"/>
      </w:cols>
      <w:pgMar w:left="98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4"/>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lvl w:ilvl="1">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lvl w:ilvl="1">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
      <w:numFmt w:val="bullet"/>
      <w:start w:val="1"/>
    </w:lvl>
    <w:lvl w:ilvl="1">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lvl w:ilvl="1">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lowerRoman"/>
      <w:start w:val="3"/>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Roman"/>
      <w:start w:val="3"/>
    </w:lvl>
  </w:abstractNum>
  <w:abstractNum w:abstractNumId="43">
    <w:nsid w:val="3F6AB60F"/>
    <w:multiLevelType w:val="hybridMultilevel"/>
    <w:lvl w:ilvl="0">
      <w:lvlJc w:val="left"/>
      <w:lvlText w:val="●"/>
      <w:numFmt w:val="bullet"/>
      <w:start w:val="1"/>
    </w:lvl>
    <w:lvl w:ilvl="1">
      <w:lvlJc w:val="left"/>
      <w:lvlText w:val="●"/>
      <w:numFmt w:val="bullet"/>
      <w:start w:val="1"/>
    </w:lvl>
  </w:abstractNum>
  <w:abstractNum w:abstractNumId="44">
    <w:nsid w:val="61574095"/>
    <w:multiLevelType w:val="hybridMultilevel"/>
    <w:lvl w:ilvl="0">
      <w:lvlJc w:val="left"/>
      <w:lvlText w:val="(%1)"/>
      <w:numFmt w:val="lowerRoman"/>
      <w:start w:val="2"/>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lowerRoman"/>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Roman"/>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5">
    <w:nsid w:val="168E121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66">
    <w:nsid w:val="1EBA5D23"/>
    <w:multiLevelType w:val="hybridMultilevel"/>
    <w:lvl w:ilvl="0">
      <w:lvlJc w:val="left"/>
      <w:lvlText w:val="%1"/>
      <w:numFmt w:val="decimal"/>
      <w:start w:val="1"/>
    </w:lvl>
    <w:lvl w:ilvl="1">
      <w:lvlJc w:val="left"/>
      <w:lvlText w:val="(%2)"/>
      <w:numFmt w:val="lowerLetter"/>
      <w:start w:val="2"/>
    </w:lvl>
  </w:abstractNum>
  <w:abstractNum w:abstractNumId="67">
    <w:nsid w:val="661E3F1E"/>
    <w:multiLevelType w:val="hybridMultilevel"/>
    <w:lvl w:ilvl="0">
      <w:lvlJc w:val="left"/>
      <w:lvlText w:val="(%1)"/>
      <w:numFmt w:val="decimal"/>
      <w:start w:val="3"/>
    </w:lvl>
    <w:lvl w:ilvl="1">
      <w:lvlJc w:val="left"/>
      <w:lvlText w:val="(%2)"/>
      <w:numFmt w:val="lowerLetter"/>
      <w:start w:val="5"/>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Letter"/>
      <w:start w:val="1"/>
    </w:lvl>
  </w:abstractNum>
  <w:abstractNum w:abstractNumId="70">
    <w:nsid w:val="7BD3EE7B"/>
    <w:multiLevelType w:val="hybridMultilevel"/>
    <w:lvl w:ilvl="0">
      <w:lvlJc w:val="left"/>
      <w:lvlText w:val="(%1)"/>
      <w:numFmt w:val="lowerLetter"/>
      <w:start w:val="9"/>
    </w:lvl>
    <w:lvl w:ilvl="1">
      <w:lvlJc w:val="left"/>
      <w:lvlText w:val="(%2)"/>
      <w:numFmt w:val="lowerLetter"/>
      <w:start w:val="2"/>
    </w:lvl>
  </w:abstractNum>
  <w:abstractNum w:abstractNumId="71">
    <w:nsid w:val="51D9C564"/>
    <w:multiLevelType w:val="hybridMultilevel"/>
    <w:lvl w:ilvl="0">
      <w:lvlJc w:val="left"/>
      <w:lvlText w:val="(%1)"/>
      <w:numFmt w:val="lowerRoman"/>
      <w:start w:val="2"/>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3"/>
    </w:lvl>
  </w:abstractNum>
  <w:abstractNum w:abstractNumId="74">
    <w:nsid w:val="11447B73"/>
    <w:multiLevelType w:val="hybridMultilevel"/>
    <w:lvl w:ilvl="0">
      <w:lvlJc w:val="left"/>
      <w:lvlText w:val="%1."/>
      <w:numFmt w:val="decimal"/>
      <w:start w:val="4"/>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3"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37" Type="http://schemas.openxmlformats.org/officeDocument/2006/relationships/hyperlink" Target="https://www.sec.gov/Archives/edgar/data/1834376/000110465921033328/tm2037889d18_ex3-1.htm" TargetMode="External"/><Relationship Id="rId138" Type="http://schemas.openxmlformats.org/officeDocument/2006/relationships/hyperlink" Target="https://www.sec.gov/Archives/edgar/data/1834376/000110465921033328/tm2037889d18_ex3-2.htm" TargetMode="External"/><Relationship Id="rId139" Type="http://schemas.openxmlformats.org/officeDocument/2006/relationships/hyperlink" Target="https://www.sec.gov/Archives/edgar/data/1834376/000110465921033328/tm2037889d18_ex4-1.htm" TargetMode="External"/><Relationship Id="rId140" Type="http://schemas.openxmlformats.org/officeDocument/2006/relationships/hyperlink" Target="https://www.sec.gov/Archives/edgar/data/1834376/000155837021006838/tmb-20210331xex10d4.htm" TargetMode="External"/><Relationship Id="rId141" Type="http://schemas.openxmlformats.org/officeDocument/2006/relationships/hyperlink" Target="https://www.sec.gov/Archives/edgar/data/1834376/000110465921033328/tm2037889d18_ex10-1.htm" TargetMode="External"/><Relationship Id="rId142" Type="http://schemas.openxmlformats.org/officeDocument/2006/relationships/hyperlink" Target="https://www.sec.gov/Archives/edgar/data/1834376/000110465921035601/tm2037889d20_ex10-1.htm" TargetMode="External"/><Relationship Id="rId144" Type="http://schemas.openxmlformats.org/officeDocument/2006/relationships/hyperlink" Target="https://www.sec.gov/Archives/edgar/data/1834376/000110465921014071/tm2037889d5_ex10-2.htm" TargetMode="External"/><Relationship Id="rId145" Type="http://schemas.openxmlformats.org/officeDocument/2006/relationships/hyperlink" Target="https://www.sec.gov/Archives/edgar/data/1834376/000110465921014071/tm2037889d5_ex10-6.htm" TargetMode="External"/><Relationship Id="rId146" Type="http://schemas.openxmlformats.org/officeDocument/2006/relationships/hyperlink" Target="https://www.sec.gov/Archives/edgar/data/1834376/000110465921014071/tm2037889d5_ex10-7.htm" TargetMode="External"/><Relationship Id="rId147" Type="http://schemas.openxmlformats.org/officeDocument/2006/relationships/hyperlink" Target="https://www.sec.gov/Archives/edgar/data/1834376/000110465921014071/tm2037889d5_ex10-8.htm" TargetMode="External"/><Relationship Id="rId148" Type="http://schemas.openxmlformats.org/officeDocument/2006/relationships/hyperlink" Target="https://www.sec.gov/Archives/edgar/data/1834376/000110465921032425/tm2037889d11_s8.htm" TargetMode="External"/><Relationship Id="rId149" Type="http://schemas.openxmlformats.org/officeDocument/2006/relationships/hyperlink" Target="https://www.sec.gov/Archives/edgar/data/1834376/000110465921014071/tm2037889d5_ex10-4.htm" TargetMode="External"/><Relationship Id="rId150" Type="http://schemas.openxmlformats.org/officeDocument/2006/relationships/hyperlink" Target="https://www.sec.gov/Archives/edgar/data/1834376/000110465921027152/tm2037889d8_ex10-9.htm" TargetMode="External"/><Relationship Id="rId151" Type="http://schemas.openxmlformats.org/officeDocument/2006/relationships/hyperlink" Target="https://www.sec.gov/Archives/edgar/data/1834376/000110465921027152/tm2037889d8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2021-09-23T05:12:05Z</dcterms:created>
  <dcterms:modified xsi:type="dcterms:W3CDTF">2021-09-23T05:12:05Z</dcterms:modified>
</cp:coreProperties>
</file>