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950-2_424b4.htm"/>
        <w:bookmarkStart w:id="1" w:name="kstm26259502_424b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424(b)(4)</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333-297888</w:t>
      </w:r>
      <w:r>
        <w:rPr>
          <w:rFonts w:ascii="Times New Roman;Times;serif" w:hAnsi="Times New Roman;Times;serif"/>
          <w:b/>
          <w:i w:val="false"/>
          <w:caps w:val="false"/>
          <w:smallCaps w:val="false"/>
          <w:color w:val="000000"/>
          <w:sz w:val="20"/>
        </w:rPr>
        <w:t>​</w:t>
      </w:r>
    </w:p>
    <w:p>
      <w:pPr>
        <w:pStyle w:val="TextBody"/>
        <w:bidi w:val="0"/>
        <w:spacing w:lineRule="atLeast" w:line="220" w:before="16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August 4,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4003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0300" cy="6953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55"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InnovAge Holding Corp.</w:t>
      </w:r>
      <w:r>
        <w:rPr>
          <w:rFonts w:ascii="Times New Roman;Times;serif" w:hAnsi="Times New Roman;Times;serif"/>
          <w:b/>
          <w:i w:val="false"/>
          <w:caps w:val="false"/>
          <w:smallCaps w:val="false"/>
          <w:color w:val="000000"/>
          <w:sz w:val="32"/>
        </w:rPr>
        <w:t xml:space="preserve"> </w:t>
      </w:r>
    </w:p>
    <w:p>
      <w:pPr>
        <w:pStyle w:val="TextBody"/>
        <w:bidi w:val="0"/>
        <w:spacing w:lineRule="atLeast" w:line="320" w:before="3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 Offered by the Selling Security Holders</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identified in this prospectus supplement (the “selling security holders”) are offering 10,000,000 shares of common stock, par value $0.001 per share (“common stock”), of InnovAge Holding Corp. (the “Company”, “InnovAge”, “we” or “us”). We will not receive any proceeds from the sale of common stock to be offered by the selling security holders. </w:t>
      </w:r>
    </w:p>
    <w:p>
      <w:pPr>
        <w:pStyle w:val="TextBody"/>
        <w:bidi w:val="0"/>
        <w:spacing w:lineRule="atLeast" w:line="230" w:before="14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have granted the underwriters the option to purchase up to an additional 1,500,000 shares from the selling security holders on the same terms and conditions noted below within 30 days of the date of this prospectus supplement. We will not receive any proceeds from the sale of our common stock by the selling security holders pursuant to any exercise of the underwriters’ option to purchase additional shares. </w:t>
      </w:r>
    </w:p>
    <w:p>
      <w:pPr>
        <w:pStyle w:val="TextBody"/>
        <w:bidi w:val="0"/>
        <w:spacing w:lineRule="atLeast" w:line="230" w:before="14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listed on The Nasdaq Global Select Market (“Nasdaq”) under the symbol “INNV.” The last reported sale price of the Company’s common stock on Nasdaq on September 21, 2026 was $10.60 per share.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28" w:type="dxa"/>
          <w:right w:w="0" w:type="dxa"/>
        </w:tblCellMar>
      </w:tblPr>
      <w:tblGrid>
        <w:gridCol w:w="4982"/>
        <w:gridCol w:w="109"/>
        <w:gridCol w:w="109"/>
        <w:gridCol w:w="109"/>
        <w:gridCol w:w="226"/>
        <w:gridCol w:w="815"/>
        <w:gridCol w:w="109"/>
        <w:gridCol w:w="109"/>
        <w:gridCol w:w="109"/>
        <w:gridCol w:w="109"/>
        <w:gridCol w:w="226"/>
        <w:gridCol w:w="1535"/>
        <w:gridCol w:w="109"/>
        <w:gridCol w:w="156"/>
      </w:tblGrid>
      <w:tr>
        <w:trPr/>
        <w:tc>
          <w:tcPr>
            <w:tcW w:w="49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7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4982"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 xml:space="preserve">9.2500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35" w:type="dxa"/>
            <w:tcBorders/>
            <w:shd w:fill="CCEEFF" w:val="clear"/>
            <w:tcMar>
              <w:bottom w:w="0" w:type="dxa"/>
            </w:tcMar>
            <w:vAlign w:val="center"/>
          </w:tcPr>
          <w:p>
            <w:pPr>
              <w:pStyle w:val="TableContents"/>
              <w:bidi w:val="0"/>
              <w:spacing w:before="0" w:after="283"/>
              <w:jc w:val="right"/>
              <w:rPr/>
            </w:pPr>
            <w:r>
              <w:rPr/>
              <w:t xml:space="preserve">92,500,000.00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82"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 xml:space="preserve">0.4625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535" w:type="dxa"/>
            <w:tcBorders/>
            <w:tcMar>
              <w:bottom w:w="0" w:type="dxa"/>
            </w:tcMar>
            <w:vAlign w:val="center"/>
          </w:tcPr>
          <w:p>
            <w:pPr>
              <w:pStyle w:val="TableContents"/>
              <w:bidi w:val="0"/>
              <w:spacing w:before="0" w:after="283"/>
              <w:jc w:val="right"/>
              <w:rPr/>
            </w:pPr>
            <w:r>
              <w:rPr/>
              <w:t xml:space="preserve">4,625,000.00 </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8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the selling security 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 xml:space="preserve">8.7875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535" w:type="dxa"/>
            <w:tcBorders/>
            <w:shd w:fill="CCEEFF" w:val="clear"/>
            <w:tcMar>
              <w:bottom w:w="0" w:type="dxa"/>
            </w:tcMar>
            <w:vAlign w:val="center"/>
          </w:tcPr>
          <w:p>
            <w:pPr>
              <w:pStyle w:val="TableContents"/>
              <w:bidi w:val="0"/>
              <w:spacing w:before="0" w:after="283"/>
              <w:jc w:val="right"/>
              <w:rPr/>
            </w:pPr>
            <w:r>
              <w:rPr/>
              <w:t>87,875,000.00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“Underwriting” for a description of compensation payable to the underwriters. </w:t>
      </w:r>
      <w:r>
        <mc:AlternateContent>
          <mc:Choice Requires="wps">
            <w:drawing>
              <wp:anchor behindDoc="0" distT="8382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both"/>
        <w:rPr/>
      </w:pPr>
      <w:r>
        <w:rPr>
          <w:rFonts w:ascii="Times New Roman;Times;serif" w:hAnsi="Times New Roman;Times;serif"/>
          <w:b/>
          <w:i w:val="false"/>
          <w:caps w:val="false"/>
          <w:smallCaps w:val="false"/>
          <w:color w:val="000000"/>
          <w:spacing w:val="-4"/>
          <w:sz w:val="20"/>
        </w:rPr>
        <w:t xml:space="preserve">Investing in our common stock involves certain risks. See “Risk Factors”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in our other filings with the U.S. Securities and Exchange Commission (the “SEC”) incorporated by reference in this prospectus supplement for a discussion of the factors you should carefully consider before investing in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6"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shares of common stock to purchasers on or about September 24,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6597" w:type="dxa"/>
        <w:jc w:val="left"/>
        <w:tblInd w:w="1393" w:type="dxa"/>
        <w:tblLayout w:type="fixed"/>
        <w:tblCellMar>
          <w:top w:w="0" w:type="dxa"/>
          <w:left w:w="0" w:type="dxa"/>
          <w:bottom w:w="0" w:type="dxa"/>
          <w:right w:w="0" w:type="dxa"/>
        </w:tblCellMar>
      </w:tblPr>
      <w:tblGrid>
        <w:gridCol w:w="124"/>
        <w:gridCol w:w="949"/>
        <w:gridCol w:w="109"/>
        <w:gridCol w:w="109"/>
        <w:gridCol w:w="2740"/>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949" w:type="dxa"/>
            <w:tcBorders/>
            <w:vAlign w:val="center"/>
          </w:tcPr>
          <w:p>
            <w:pPr>
              <w:pStyle w:val="TableContents"/>
              <w:bidi w:val="0"/>
              <w:spacing w:before="0" w:after="283"/>
              <w:jc w:val="left"/>
              <w:rPr>
                <w:spacing w:val="-6"/>
              </w:rPr>
            </w:pPr>
            <w:r>
              <w:rPr>
                <w:spacing w:val="-6"/>
              </w:rPr>
              <w:t xml:space="preserve">Barclays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left"/>
              <w:rPr>
                <w:spacing w:val="-6"/>
              </w:rPr>
            </w:pPr>
            <w:r>
              <w:rPr>
                <w:spacing w:val="-6"/>
              </w:rPr>
              <w:t xml:space="preserve">Goldman Sachs &amp; Co.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left"/>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0" w:after="283"/>
        <w:ind w:left="1858" w:right="0" w:hanging="0"/>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UBS Investment BankWilliam Blair</w:t>
      </w:r>
      <w:r>
        <w:rPr>
          <w:rFonts w:ascii="Times New Roman;Times;serif" w:hAnsi="Times New Roman;Times;serif"/>
          <w:b/>
          <w:i w:val="false"/>
          <w:caps w:val="false"/>
          <w:smallCaps w:val="false"/>
          <w:color w:val="000000"/>
          <w:sz w:val="32"/>
        </w:rPr>
        <w:t xml:space="preserve"> </w:t>
      </w:r>
      <w:r>
        <w:rPr>
          <w:rFonts w:ascii="Times New Roman;Times;serif" w:hAnsi="Times New Roman;Times;serif"/>
          <w:b/>
          <w:i w:val="false"/>
          <w:caps w:val="false"/>
          <w:smallCaps w:val="false"/>
          <w:color w:val="000000"/>
          <w:spacing w:val="-6"/>
          <w:sz w:val="32"/>
        </w:rPr>
        <w:t>Keybanc Capital Markets</w:t>
      </w:r>
      <w:r>
        <w:rPr>
          <w:rFonts w:ascii="Times New Roman;Times;serif" w:hAnsi="Times New Roman;Times;serif"/>
          <w:b/>
          <w:i w:val="false"/>
          <w:caps w:val="false"/>
          <w:smallCaps w:val="false"/>
          <w:color w:val="000000"/>
          <w:sz w:val="32"/>
        </w:rPr>
        <w:t xml:space="preserve"> </w:t>
      </w:r>
    </w:p>
    <w:p>
      <w:pPr>
        <w:pStyle w:val="TextBody"/>
        <w:bidi w:val="0"/>
        <w:spacing w:lineRule="atLeast" w:line="360" w:before="30" w:after="283"/>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Academy SecuritiesRamirez &amp; Co.,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235"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September 22,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6"/>
        <w:gridCol w:w="109"/>
        <w:gridCol w:w="109"/>
        <w:gridCol w:w="109"/>
        <w:gridCol w:w="109"/>
        <w:gridCol w:w="586"/>
        <w:gridCol w:w="109"/>
        <w:gridCol w:w="155"/>
      </w:tblGrid>
      <w:tr>
        <w:trPr/>
        <w:tc>
          <w:tcPr>
            <w:tcW w:w="7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WYCF">
              <w:r>
                <w:rPr>
                  <w:rStyle w:val="InternetLink"/>
                  <w:spacing w:val="4"/>
                </w:rPr>
                <w:t>S-ii</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IBR">
              <w:r>
                <w:rPr>
                  <w:rStyle w:val="InternetLink"/>
                  <w:spacing w:val="4"/>
                </w:rPr>
                <w:t>S-ii</w:t>
              </w:r>
            </w:hyperlink>
            <w:hyperlink w:anchor="sIB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FOST">
              <w:r>
                <w:rPr>
                  <w:rStyle w:val="InternetLink"/>
                  <w:spacing w:val="4"/>
                </w:rPr>
                <w:t>S-iv</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THOF">
              <w:r>
                <w:rPr>
                  <w:rStyle w:val="InternetLink"/>
                  <w:spacing w:val="4"/>
                </w:rPr>
                <w:t>S-3</w:t>
              </w:r>
            </w:hyperlink>
            <w:hyperlink w:anchor="s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UOP">
              <w:r>
                <w:rPr>
                  <w:rStyle w:val="InternetLink"/>
                  <w:spacing w:val="4"/>
                </w:rPr>
                <w:t>S-8</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SSH">
              <w:r>
                <w:rPr>
                  <w:rStyle w:val="InternetLink"/>
                  <w:spacing w:val="4"/>
                </w:rPr>
                <w:t>S-9</w:t>
              </w:r>
            </w:hyperlink>
            <w:hyperlink w:anchor="s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DIPO">
              <w:r>
                <w:rPr>
                  <w:rStyle w:val="InternetLink"/>
                  <w:spacing w:val="4"/>
                </w:rPr>
                <w:t xml:space="preserve">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DIPO">
              <w:r>
                <w:rPr>
                  <w:rStyle w:val="InternetLink"/>
                  <w:spacing w:val="4"/>
                </w:rPr>
                <w:t>S-12</w:t>
              </w:r>
            </w:hyperlink>
            <w:hyperlink w:anchor="sDI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CONSEQUENCES TO NON-U.S.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S-13</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UND">
              <w:r>
                <w:rPr>
                  <w:rStyle w:val="InternetLink"/>
                  <w:spacing w:val="4"/>
                </w:rPr>
                <w:t>S-17</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S-25</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sEXP">
              <w:r>
                <w:rPr>
                  <w:rStyle w:val="InternetLink"/>
                  <w:spacing w:val="4"/>
                </w:rPr>
                <w:t>S-25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6606" w:type="dxa"/>
        <w:jc w:val="left"/>
        <w:tblInd w:w="1393" w:type="dxa"/>
        <w:tblLayout w:type="fixed"/>
        <w:tblCellMar>
          <w:top w:w="0" w:type="dxa"/>
          <w:left w:w="0" w:type="dxa"/>
          <w:bottom w:w="28" w:type="dxa"/>
          <w:right w:w="0" w:type="dxa"/>
        </w:tblCellMar>
      </w:tblPr>
      <w:tblGrid>
        <w:gridCol w:w="5497"/>
        <w:gridCol w:w="109"/>
        <w:gridCol w:w="109"/>
        <w:gridCol w:w="109"/>
        <w:gridCol w:w="109"/>
        <w:gridCol w:w="410"/>
        <w:gridCol w:w="109"/>
        <w:gridCol w:w="154"/>
      </w:tblGrid>
      <w:tr>
        <w:trPr/>
        <w:tc>
          <w:tcPr>
            <w:tcW w:w="54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IBR">
              <w:r>
                <w:rPr>
                  <w:rStyle w:val="InternetLink"/>
                  <w:spacing w:val="4"/>
                </w:rPr>
                <w:t>ii</w:t>
              </w:r>
            </w:hyperlink>
            <w:hyperlink w:anchor="bIB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ABIN">
              <w:r>
                <w:rPr>
                  <w:rStyle w:val="InternetLink"/>
                  <w:spacing w:val="4"/>
                </w:rPr>
                <w:t xml:space="preserve">ABOUT INNOVAGE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ABIN">
              <w:r>
                <w:rPr>
                  <w:rStyle w:val="InternetLink"/>
                  <w:spacing w:val="4"/>
                </w:rPr>
                <w:t>1</w:t>
              </w:r>
            </w:hyperlink>
            <w:hyperlink w:anchor="bAB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CS">
              <w:r>
                <w:rPr>
                  <w:rStyle w:val="InternetLink"/>
                  <w:spacing w:val="4"/>
                </w:rPr>
                <w:t>5</w:t>
              </w:r>
            </w:hyperlink>
            <w:hyperlink w:anchor="b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SSH">
              <w:r>
                <w:rPr>
                  <w:rStyle w:val="InternetLink"/>
                  <w:spacing w:val="4"/>
                </w:rPr>
                <w:t>11</w:t>
              </w:r>
            </w:hyperlink>
            <w:hyperlink w:anchor="b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POD">
              <w:r>
                <w:rPr>
                  <w:rStyle w:val="InternetLink"/>
                  <w:spacing w:val="4"/>
                </w:rPr>
                <w:t>14</w:t>
              </w:r>
            </w:hyperlink>
            <w:hyperlink w:anchor="b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97" w:type="dxa"/>
            <w:tcBorders/>
            <w:shd w:fill="CCEEFF" w:val="clear"/>
            <w:tcMar>
              <w:bottom w:w="0" w:type="dxa"/>
            </w:tcM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bLEMA">
              <w:r>
                <w:rPr>
                  <w:rStyle w:val="InternetLink"/>
                  <w:spacing w:val="4"/>
                </w:rPr>
                <w:t>17</w:t>
              </w:r>
            </w:hyperlink>
            <w:hyperlink w:anchor="b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97" w:type="dxa"/>
            <w:tcBorders/>
            <w:tcMar>
              <w:bottom w:w="0" w:type="dxa"/>
            </w:tcM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EXP">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w:t>
      </w:r>
      <w:bookmarkStart w:id="5" w:name="sWYCF"/>
      <w:bookmarkEnd w:id="5"/>
      <w:r>
        <w:rPr>
          <w:rFonts w:ascii="calibri;arial;sans-serif" w:hAnsi="calibri;arial;sans-serif"/>
          <w:b w:val="false"/>
          <w:i w:val="false"/>
          <w:caps w:val="false"/>
          <w:smallCaps w:val="false"/>
          <w:color w:val="000000"/>
          <w:sz w:val="16"/>
        </w:rPr>
        <w:t>​</w:t>
      </w:r>
      <w:bookmarkStart w:id="6" w:name="sIB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form part of a registration statement on Form S-3 that we filed with the SEC, utilizing a “shelf” registration process. Under this shelf registration process, the selling security holders named in a prospectus may, from time to time, offer and sell our common stock in one or more offerings.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specific terms of this common stock offering and adds to and updates information contained in the accompanying prospectus and the documents incorporated by reference therein. The second part, the accompanying prospectus, provides more general information. Generally, when we refer to this prospectus, we are referring to both parts of this document combined. We urge you to carefully read this prospectus supplement and the accompanying prospectus, and the documents incorporated herein and therein, before buying any of the securities being offered under this prospectus supplement.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us, the selling security holders or the underwriters have authorized anyone to provide any information or make any representations that are different from those contained in or incorporated by reference in this prospectus supplement, any accompanying prospectus or in any related free writing prospectus filed by us with the SEC. None of us, the selling security holders or the underwriters take any responsibility for and can provide no assurance as to the reliability of any other information that others may give you. This prospectus supplement and any accompanying prospectus or any related free writing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at the SEC’s website at http://www.sec.gov.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offered hereby. Statements in this prospectus supplement concerning any document we filed as an exhibit to the registration statement or that we otherwise filed with the SEC are not intended to be comprehensive and are qualified by reference to those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or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listed below and any future filings we make with the SEC under Sections 13(a), 13(c), 14 or 15(d) of the Securities Exchange Act of 1934, as amended, (the “Exchange Act”) (in each case, other than those documents or the portions of those documents furnished pursuant to Items 2.02 or 7.01 of any Current Report on Form 8-K), until this offering is terminated or completed: </w:t>
      </w:r>
    </w:p>
    <w:p>
      <w:pPr>
        <w:pStyle w:val="TextBody"/>
        <w:bidi w:val="0"/>
        <w:spacing w:lineRule="atLeast" w:line="240" w:before="120" w:after="0"/>
        <w:ind w:left="1993" w:right="0" w:hanging="0"/>
        <w:jc w:val="both"/>
        <w:rPr/>
      </w:pPr>
      <w:hyperlink r:id="rId3">
        <w:r>
          <w:rPr>
            <w:rStyle w:val="InternetLink"/>
          </w:rPr>
          <w:t>Our Annual Report on Form 10-K for the fiscal year ended June 30, 2026 filed on September 9, 2026 (the “2026 10-K”)</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4">
        <w:r>
          <w:rPr>
            <w:rStyle w:val="InternetLink"/>
          </w:rPr>
          <w:t>The description of our common stock contained in Exhibit 4.1 of our 2026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InnovAge Holding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8950 E. Lowry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Denver, CO 80230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(844) 803-8745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FOS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this prospectus supplement, the accompanying prospectus, any free writing prospectus and the documents we incorporate by reference in this prospectus supplement, we make “forward-looking statements” within the meaning of the U.S. Private Securities Litigation Reform Act of 1995, Section 27A of the Securities Act of 1933, as amended (the “Securities Act”) and Section 21E of the Exchange Act. These forward-looking statements are subject to risks and uncertainties. All statements other than statements of historical fact included in this prospectus supplement, the accompanying prospectus, any free writing prospectus and the documents we incorporate by reference in this prospectus supplement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viability of our growth strategy, including our ability to find suitable geographies for new centers and obtain licenses to open such centers, our ability to ramp up our de novo centers, and the outcome of our organizational and enterprise efficiency initiatives; </w:t>
      </w:r>
      <w:r>
        <mc:AlternateContent>
          <mc:Choice Requires="wps">
            <w:drawing>
              <wp:anchor behindDoc="0" distT="7874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successfully complete and integrate acquisitions, joint ventures and other strategic partnerships; </w:t>
      </w:r>
      <w:r>
        <mc:AlternateContent>
          <mc:Choice Requires="wps">
            <w:drawing>
              <wp:anchor behindDoc="0" distT="7874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new participants and retain existing participants to implement our growth strategy;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from ongoing macroeconomic, geopolitical and industry-related challenges, including labor shortages, labor competition, high inflation, and supply chain disruptions, as a result of tariffs and trade disputes; </w:t>
      </w:r>
      <w:r>
        <mc:AlternateContent>
          <mc:Choice Requires="wps">
            <w:drawing>
              <wp:anchor behindDoc="0" distT="787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of providing services will exceed our compensation under the Program of All-Inclusive Care for the Elderly (“PACE”);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increased costs and expenditures and our inability to execute or realize the benefits of our clinical and operational value initiatives;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dependence of our revenues and operations upon a limited number of government payors, which exposes us to the risk of government funding reductions, legislative changes and federal and state budgetary pressures;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reductions in PACE reimbursement rates;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periodic inspections, reviews, audits and investigations under the federal and state government programs, and our ability to sufficiently cure any deficiencies identified by the respective federal and state government programs;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 of legal proceedings, enforcement actions and litigation and disputes, including the current civil investigative demands initiated by federal and state agencies;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our submissions to government payors may contain inaccurate or unsupportable information, including regarding risk adjustment scores of participants;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senior management team and other key employees;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healthcare industry;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a significant percentage of our operations in the States of California and Colorado;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difficulty to predict our future operating results, which could cause such results to fall below any guidance, targets or goals we provide; </w:t>
      </w:r>
      <w:r>
        <mc:AlternateContent>
          <mc:Choice Requires="wps">
            <w:drawing>
              <wp:anchor behindDoc="0" distT="0" distB="0" distL="254000" distR="0" simplePos="0" locked="0" layoutInCell="1" allowOverlap="1" relativeHeight="22">
                <wp:simplePos x="0" y="0"/>
                <wp:positionH relativeFrom="column">
                  <wp:align>left</wp:align>
                </wp:positionH>
                <wp:positionV relativeFrom="line">
                  <wp:posOffset>635</wp:posOffset>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failures by our suppliers to meet our needs, or limitations on our ability to effectively access new technology or medical products;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our operations effectively, execute our business plan, maintain effective levels of service and participant satisfaction and adequately address competitive challenges;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security breaches, loss of data or other disruptions, including disruptions in our disaster recovery systems, causing the compromise of sensitive information or preventing us from accessing critical information;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accurately estimate incurred but not reported medical expense or the risk scores of our participants;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adhere to complex and changing government laws and regulations in the healthcare industry, including U.S. healthcare reform, the regulation of the corporate practice of medicine and the Health Insurance Portability and Accountability Act, as amended by the Health Information Technology for Economic and Clinical Health Act of 2009 (the “HITECH Act”), and their implementing regulations (collectively, “HIPAA”), and other privacy laws and regulations in the healthcare industry;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status as a “controlled company”;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our stock price; and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the section entitled “Risk Factors” in our 2026 10-K, and our subsequent filings with the SEC.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supplement, the accompanying prospectus, any free writing prospectus or other documents incorporated herein or therein by reference are made only as of the date thereof. We undertake no obligation to update or revise any forward-looking statement as a result of new information, future events or otherwise, except as otherwise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and the documents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PS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or incorporated by reference in this prospectus supplement and the accompanying prospectus. This summary does not contain all of the information that you should consider before investing in our common stock. For a more complete understanding of us and this offering, you should read and carefully consider the entire prospectus supplement and the accompanying prospectus, including the more detailed information set forth under “Risk Factors,” the financial statements and related notes and other information that we incorporate by reference herein, including our 2026 10-K and our other filings with the SEC. Some of the statements in this prospectus supplement and accompanying prospectus are forward-looking statements. See “Forward-Looking Statements.”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Unless the context otherwise requires, the terms the “Company,” “we,” “us” and “our” in this prospectus supplement and accompanying prospectus refer to InnovAge Holding Corp. The term “Principal Shareholders” refers to Ignite Aggregator LP (an investment vehicle owned by certain funds advised by Apax Partners LLP) and funds affiliated with Welsh, Carson, Anderson &amp; Stowe, and the term “selling security holders” refers to TCO Group Holdings, L.P.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We Are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seeking to reduce unnecessary spend, (ii) reducing excessive administrative costs by contracting directly with the government, (iii) focusing on the patient experience, and (iv) addressing social determinants of health.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the Company served approximately 8,230 PACE participants, making it the largest PACE provider in the United States (the “U.S.”) based on participants served. The Company operates 20 PACE centers across California, Colorado, Florida, New Mexico, Pennsylvania and Virginia.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and private pay sources. Additionally, under the Medicare Prescription Drug Plan, the Centers for Medicare and Medicaid Services share part of the risk for providing prescription medication to the Company’s participants. We deliver our participant-centered care through the InnovAge Platform, which is designed to bring high-touch, comprehensive, value-based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Importantly, we believe our vertically integrated model can deliver better health outcomes and reduce unnecessary or avoidable medical spend.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which occurred in March 2021, we changed the name of our company from TCO Group Holdings, Inc. to InnovAge Holding Corp.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headquartered in Denver, Colorado and manages its business as one reportable segment, PACE.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internet website is www.innovage.com. We include our website address on this prospectus supplement for reference only. The information contained on our website is not incorporated by reference into this prospectus supplement, the accompanying prospectus or any other report or document we file with, or furnish to, the SEC.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THO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common stock offered by the selling security holders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 shares, or 11,500,000 shares if the underwriters exercise in full their option to purchase additional shares of common stock from the selling security holders.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 to purchase additional shares of common stock from the selling security holders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underwriters have the option to purchase up to an additional 1,500,000 shares from the selling security holders, at the public offering price, less the underwriting discount, within 30 days of the date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immediately after this offering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136,451,425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of the proceeds from the sale of the shares of common stock by the selling security holders. The selling security holders will receive all of the net proceeds, after underwriter discounts and commissions, from the sale of the shares of common stock in this offering.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 policy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of directors (the “Board”), subject to compliance with covenants in current and future agreements governing our and our subsidiaries’ indebtedness, and will depend on our results of operations, financial condition, capital requirements and other factors that our Board may deem relevant.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Trading symbol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is listed on the Nasdaq under the symbol “INNV.”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093" w:right="0" w:hanging="0"/>
        <w:jc w:val="both"/>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the “Risk Factors” section of this prospectus supplement and accompanying prospectus and in </w:t>
      </w:r>
      <w:hyperlink r:id="rId5">
        <w:r>
          <w:rPr>
            <w:rStyle w:val="InternetLink"/>
          </w:rPr>
          <w:t>our 2026 10-K</w:t>
        </w:r>
      </w:hyperlink>
      <w:r>
        <w:rPr>
          <w:rFonts w:ascii="Times New Roman;Times;serif" w:hAnsi="Times New Roman;Times;serif"/>
          <w:b w:val="false"/>
          <w:i w:val="false"/>
          <w:caps w:val="false"/>
          <w:smallCaps w:val="false"/>
          <w:color w:val="000000"/>
          <w:spacing w:val="4"/>
          <w:sz w:val="20"/>
          <w:bdr w:val="single" w:sz="8" w:space="1" w:color="000000"/>
        </w:rPr>
        <w:t xml:space="preserve">, which is incorporated by reference herein, for a discussion of factors you should carefully consider before deciding to invest in shares of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Transfer agent </w:t>
      </w:r>
    </w:p>
    <w:p>
      <w:pPr>
        <w:pStyle w:val="TextBody"/>
        <w:bidi w:val="0"/>
        <w:spacing w:lineRule="atLeast" w:line="240" w:before="0" w:after="283"/>
        <w:ind w:left="50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Equiniti Trust Company,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common stock to be outstanding following this offering is based on 136,451,425 shares of common stock outstanding as of September 21, 2026, and excludes: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7,519,802 shares of common stock available for future issuance under the InnovAge Holding Corp. 2021 Omnibus Incentive Plan as of September 21, 2026;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2,279,931 shares of common stock issuable upon vesting and settlement of restricted stock units (“RSUs”) as of September 21, 2026; and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1,330,798 shares of common stock issuable upon the exercise of options outstanding as of September 21, 2026, with a weighted average exercise price of $7.89 per share.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indicated, all information in this prospectus supplement assumes: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outstanding options or issuance of shares of common stock upon vesting and settlement of RSUs after September 21, 2026; and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exercise by the underwriters of their option to purchase up to 1,500,000 additional shares of common stock from the selling security holders.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RIF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consider the specific risks described in our most recent Annual Report on Form 10-K filed with the SEC and any risk factors set forth in our other filings with the SEC, pursuant to Sections 13(a), 13(c), 14 or 15(d) of the Exchange Act, before making an investment decision. See “Where You Can Find More Information” and “Incorporation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In addition, past financial performance may not be a reliable indicator of future performance and historical trends should not be used to anticipate results or trends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common stock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Principal Shareholders control us, and their interests may conflict with ours or yours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this offering, our Principal Shareholders will control approximately 75.2% of the voting power of our outstanding common stock, or 74.1% if the underwriters exercise in full their option to purchase additional shares, which means that, based on its percentage voting power controlled after the offering, they will control the vote of all matters submitted to a vote of our shareholders, which enables them to control the election of the members of our Board and all other corporate decisions. This concentration of ownership may delay, deter or prevent acts that would be favored by our other shareholders. The interests of the Principal Shareholders may not always coincide with our interests or the interests of our other shareholders. Even when the Principal Shareholders cease to own shares of our common stock representing a majority of the total voting power, for so long as the Principal Shareholders continue to own a significant percentage of our common stock, the Principal Shareholders will still be able to significantly influence the composition of our Board and the approval of actions requiring shareholder approval. Accordingly, for such period of time, the Principal Shareholders will have significant influence with respect to our management, business plans and policies, including the appointment and removal of our officers, decisions on whether to raise future capital and amend our charter and bylaws, which govern the rights attached to our common stock. In particular, for so long as the Principal Shareholders continue to own a significant percentage of our common stock, the Principal Shareholders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 In addition, this concentration of ownership may adversely affect the trading price of our common stock because investors may perceive disadvantages in owning shares in a company with significant shareholders.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are party to a Director Nomination Agreement (the “Director Nomination Agreement”) with the Principal Shareholders that provides the Principal Shareholders the right to designate: (i) all of the nominees for election to our Board for so long as the Principal Shareholders collectively beneficially own at least 40% of the total number of shares of our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The Principal Shareholders may also assign such right to their affiliates. The Director Nomination Agreement also provides for certain consent rights for each of the Principal Shareholders so long as such shareholder owns at least 5% of the Original Amount, including for any changes to the size of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Shareholders and their affiliates engage in a broad spectrum of activities, including investments in the healthcare industry generally. In the ordinary course of their business activities, the Principal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provides that neither the Principal Shareholders, any of their affiliates or any of their respective directors (including any who also serve as our officers or directors) or their affiliates have any duty to refrain from engaging, directly or indirectly, in the same business activities or similar business activities or lines of business in which we operate. The Principal Shareholders also may pursue business and investment opportunities that may be complementary to our business, and, as a result, those opportunities may not be available to us. In addition, the Principal Shareholders may have an interest in pursuing acquisitions, divestitures and other transactions that, in their judgment, could enhance their investment, even though such transactions might involve risks to you.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stock may be volatile and could decline after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our common stock has significantly fluctuated since our initial public offering. In addition, securities markets worldwide have experienced, and are likely to continue to experience, significant price and volume fluctuations. This market volatility, as well as general economic, geopolitical or market conditions, could continue to subject the market price of our shares to wide price fluctuations regardless of our operating performance. Because we do not anticipate paying any regular cash dividends on our common stock for the foreseeable future, any return on investment in our common stock is solely dependent upon the appreciation of the price of our common stock on the open market, which due to historic fluctuation may not occur. Volatility in the market price of our common stock may prevent you from being able to sell your shares at or above the price you paid for your shares. The trading price of our shares fluctuates in response to various factors, including: </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macroeconomic and geopolitical conditions, including high inflation, elevated interest rates, trade wars, weather and public health events; </w:t>
      </w:r>
      <w:r>
        <mc:AlternateContent>
          <mc:Choice Requires="wps">
            <w:drawing>
              <wp:anchor behindDoc="0" distT="6985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legislative and regulatory changes and federal and state budgetary pressures; </w:t>
      </w:r>
      <w:r>
        <mc:AlternateContent>
          <mc:Choice Requires="wps">
            <w:drawing>
              <wp:anchor behindDoc="0" distT="622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our industry or the broader stock market; </w:t>
      </w:r>
      <w:r>
        <mc:AlternateContent>
          <mc:Choice Requires="wps">
            <w:drawing>
              <wp:anchor behindDoc="0" distT="609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fluctuations in our quarterly financial and operating results; </w:t>
      </w:r>
      <w:r>
        <mc:AlternateContent>
          <mc:Choice Requires="wps">
            <w:drawing>
              <wp:anchor behindDoc="0" distT="609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introduction of new services by us or our competitors; </w:t>
      </w:r>
      <w:r>
        <mc:AlternateContent>
          <mc:Choice Requires="wps">
            <w:drawing>
              <wp:anchor behindDoc="0" distT="609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new or changed securities analysts’ reports, research or recommendations; </w:t>
      </w:r>
      <w:r>
        <mc:AlternateContent>
          <mc:Choice Requires="wps">
            <w:drawing>
              <wp:anchor behindDoc="0" distT="609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or anticipated sales, of large blocks of our stock; </w:t>
      </w:r>
      <w:r>
        <mc:AlternateContent>
          <mc:Choice Requires="wps">
            <w:drawing>
              <wp:anchor behindDoc="0" distT="609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departures of key personnel; </w:t>
      </w:r>
      <w:r>
        <mc:AlternateContent>
          <mc:Choice Requires="wps">
            <w:drawing>
              <wp:anchor behindDoc="0" distT="609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or political developments; </w:t>
      </w:r>
      <w:r>
        <mc:AlternateContent>
          <mc:Choice Requires="wps">
            <w:drawing>
              <wp:anchor behindDoc="0" distT="609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results of audits, sanctions, investigations and litigation; </w:t>
      </w:r>
      <w:r>
        <mc:AlternateContent>
          <mc:Choice Requires="wps">
            <w:drawing>
              <wp:anchor behindDoc="0" distT="609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perception of us and our prospects; and </w:t>
      </w:r>
      <w:r>
        <mc:AlternateContent>
          <mc:Choice Requires="wps">
            <w:drawing>
              <wp:anchor behindDoc="0" distT="609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on our indebtedness. </w:t>
      </w:r>
      <w:r>
        <mc:AlternateContent>
          <mc:Choice Requires="wps">
            <w:drawing>
              <wp:anchor behindDoc="0" distT="609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cannot assure you that you will be able to resell your shares at or above the public offering price. Stock markets have experienced extreme volatility in recent years that has been unrelated to the operating performance of particular companies. These broad market fluctuations may adversely affect the trading price of our common stock. In the past, following periods of volatility in the market price of a company’s securities, class action litigation has often been instituted against the affected company. Any litigation of this type brought against us could result in substantial costs and a diversion of our management’s attention and resources, which could materially and adversely affect our business, financial position, results of operations and cash flows.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issue shares of preferred stock in the future, which could make it difficult for another company to acquire us or could otherwise adversely affect holders of our common stock, which could depress the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authorizes us to issue one or more series of preferred stock. Our Board will have the authority to determine the preferences, limitations and relative rights of the shares of preferred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adversely affect the market price and the voting and other rights of the holders of our common stock.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sales of shares by us or our existing security holders could cause our stock price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substantial amounts of our common stock in the public market following this offering, or the perception that these sales could occur, could cause the market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time of this offering, we will have a total of 136,451,425 shares of common stock outstanding. All of the common stock shares are immediately tradable without restriction under the Securities Act, except for any shares held by “affiliates,” as that term is defined in Rule 144 under the Securities Act (“Rule 144”).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by the selling security holders (other than those contemplated to be sold in this offering), our executives and our directors are subject to customary lock-up agreements to be entered into by us, the selling security holders, our executive officers and directors. Under such lock-up agreements, they have agreed not to, among other things and subject to certain exceptions, offer, sell, contract to sell, pledge, sell any option or contract to purchase, purchase any option or contract to sell, grant any option, right or warrant to purchase, engage in any hedging or similar transaction or arrangement, lend, or otherwise transfer or dispose of, directly or indirectly, any of our securities that are substantially similar to the securities offered hereby, without the prior written consent of any two of Barclays Capital Inc., Goldman Sachs &amp; Co. LLC or Wells Fargo Securities, LLC, on behalf of the underwriters, for a period of 90 days after the date of this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expiration of this 90-day lock-up period and this offering (assuming no exercise by the underwriters of their option to purchase additional shares of common stock), all shares of our common stock held by the selling security holders and our directors and officers will be eligible for future sale, subject to the applicable volume, manner of sale, holding period, and other limitations of Rule 144 or pursuant to an exemption from registration under Rule 701. As resale restrictions end, the market price of our common stock could decline if the holders of those shares sell them or are perceived by the market as intending to sell them.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we have no current plans to pay regular cash dividends on our common stock following this offering, you may not receive any return on investment unless you sell your common stock for a price greater than that which you paid for 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do not anticipate paying any regular cash dividends on our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for more detail.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of the proceeds from the sale of shares of common stock by the selling security holders. The selling security holders will receive all of the net proceeds from the sale of the shares of common stock in this offering. See “</w:t>
      </w:r>
      <w:r>
        <w:rPr>
          <w:rFonts w:ascii="Times New Roman;Times;serif" w:hAnsi="Times New Roman;Times;serif"/>
          <w:b w:val="false"/>
          <w:i/>
          <w:caps w:val="false"/>
          <w:smallCaps w:val="false"/>
          <w:color w:val="000000"/>
          <w:spacing w:val="4"/>
          <w:sz w:val="20"/>
        </w:rPr>
        <w:t>Selling Security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SSH"/>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details the name of each selling security holder, the number of shares of our common stock beneficially owned by the selling security holder and the number of shares of our common stock being offered by the selling security holder for sale under this prospectus supplement. The percentage of shares of our common stock beneficially owned by the selling security holders following the offering of common stock pursuant to this prospectus supplement is based on 136,451,425 shares of our common stock outstanding as of September 21,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t>
      </w:r>
    </w:p>
    <w:tbl>
      <w:tblPr>
        <w:tblW w:w="13262" w:type="dxa"/>
        <w:jc w:val="left"/>
        <w:tblInd w:w="1393" w:type="dxa"/>
        <w:tblLayout w:type="fixed"/>
        <w:tblCellMar>
          <w:top w:w="0" w:type="dxa"/>
          <w:left w:w="0" w:type="dxa"/>
          <w:bottom w:w="43" w:type="dxa"/>
          <w:right w:w="0" w:type="dxa"/>
        </w:tblCellMar>
      </w:tblPr>
      <w:tblGrid>
        <w:gridCol w:w="880"/>
        <w:gridCol w:w="109"/>
        <w:gridCol w:w="109"/>
        <w:gridCol w:w="109"/>
        <w:gridCol w:w="109"/>
        <w:gridCol w:w="1306"/>
        <w:gridCol w:w="109"/>
        <w:gridCol w:w="109"/>
        <w:gridCol w:w="109"/>
        <w:gridCol w:w="109"/>
        <w:gridCol w:w="109"/>
        <w:gridCol w:w="526"/>
        <w:gridCol w:w="109"/>
        <w:gridCol w:w="109"/>
        <w:gridCol w:w="109"/>
        <w:gridCol w:w="109"/>
        <w:gridCol w:w="109"/>
        <w:gridCol w:w="1186"/>
        <w:gridCol w:w="109"/>
        <w:gridCol w:w="109"/>
        <w:gridCol w:w="109"/>
        <w:gridCol w:w="109"/>
        <w:gridCol w:w="109"/>
        <w:gridCol w:w="1306"/>
        <w:gridCol w:w="109"/>
        <w:gridCol w:w="109"/>
        <w:gridCol w:w="109"/>
        <w:gridCol w:w="109"/>
        <w:gridCol w:w="109"/>
        <w:gridCol w:w="526"/>
        <w:gridCol w:w="109"/>
        <w:gridCol w:w="109"/>
        <w:gridCol w:w="109"/>
        <w:gridCol w:w="109"/>
        <w:gridCol w:w="109"/>
        <w:gridCol w:w="1186"/>
        <w:gridCol w:w="109"/>
        <w:gridCol w:w="109"/>
        <w:gridCol w:w="109"/>
        <w:gridCol w:w="109"/>
        <w:gridCol w:w="109"/>
        <w:gridCol w:w="1306"/>
        <w:gridCol w:w="109"/>
        <w:gridCol w:w="109"/>
        <w:gridCol w:w="109"/>
        <w:gridCol w:w="109"/>
        <w:gridCol w:w="109"/>
        <w:gridCol w:w="526"/>
        <w:gridCol w:w="109"/>
        <w:gridCol w:w="154"/>
      </w:tblGrid>
      <w:tr>
        <w:trPr/>
        <w:tc>
          <w:tcPr>
            <w:tcW w:w="880" w:type="dxa"/>
            <w:tcBorders>
              <w:bottom w:val="single" w:sz="2" w:space="0" w:color="000000"/>
            </w:tcBorders>
            <w:vAlign w:val="center"/>
          </w:tcPr>
          <w:p>
            <w:pPr>
              <w:pStyle w:val="TableContents"/>
              <w:bidi w:val="0"/>
              <w:spacing w:before="0" w:after="283"/>
              <w:jc w:val="left"/>
              <w:rPr/>
            </w:pPr>
            <w:r>
              <w:rPr>
                <w:spacing w:val="-3"/>
              </w:rPr>
              <w:t xml:space="preserve">Name of Selling </w:t>
            </w:r>
            <w:r>
              <w:rPr/>
              <w:br/>
            </w:r>
            <w:r>
              <w:rPr>
                <w:spacing w:val="-3"/>
              </w:rPr>
              <w:t>Security holder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4" w:type="dxa"/>
            <w:gridSpan w:val="10"/>
            <w:tcBorders>
              <w:bottom w:val="single" w:sz="2" w:space="0" w:color="000000"/>
            </w:tcBorders>
            <w:vAlign w:val="center"/>
          </w:tcPr>
          <w:p>
            <w:pPr>
              <w:pStyle w:val="TableContents"/>
              <w:bidi w:val="0"/>
              <w:spacing w:before="0" w:after="0"/>
              <w:jc w:val="center"/>
              <w:rPr/>
            </w:pPr>
            <w:r>
              <w:rPr>
                <w:spacing w:val="-3"/>
              </w:rPr>
              <w:t>Shares</w:t>
            </w:r>
            <w:r>
              <w:rPr/>
              <w:t xml:space="preserve"> </w:t>
              <w:br/>
            </w:r>
            <w:r>
              <w:rPr>
                <w:spacing w:val="-3"/>
              </w:rPr>
              <w:t>Beneficially</w:t>
            </w:r>
            <w:r>
              <w:rPr/>
              <w:t xml:space="preserve"> </w:t>
              <w:br/>
            </w:r>
            <w:r>
              <w:rPr>
                <w:spacing w:val="-3"/>
              </w:rPr>
              <w:t xml:space="preserve">Owned Before </w:t>
            </w:r>
            <w:r>
              <w:rPr/>
              <w:br/>
            </w:r>
            <w:r>
              <w:rPr>
                <w:spacing w:val="-3"/>
              </w:rPr>
              <w:t xml:space="preserve">the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Shares</w:t>
            </w:r>
            <w:r>
              <w:rPr/>
              <w:t xml:space="preserve"> </w:t>
              <w:br/>
            </w:r>
            <w:r>
              <w:rPr>
                <w:spacing w:val="-3"/>
              </w:rPr>
              <w:t>Offered</w:t>
            </w:r>
            <w:r>
              <w:rPr/>
              <w:t xml:space="preserve"> </w:t>
              <w:br/>
            </w:r>
            <w:r>
              <w:rPr>
                <w:spacing w:val="-3"/>
              </w:rPr>
              <w:t>Hereby (No</w:t>
            </w:r>
            <w:r>
              <w:rPr/>
              <w:t xml:space="preserve"> </w:t>
              <w:br/>
            </w:r>
            <w:r>
              <w:rPr>
                <w:spacing w:val="-3"/>
              </w:rPr>
              <w:t>Option</w:t>
            </w:r>
            <w:r>
              <w:rPr/>
              <w:t xml:space="preserve"> </w:t>
              <w:br/>
            </w:r>
            <w:r>
              <w:rPr>
                <w:spacing w:val="-3"/>
              </w:rPr>
              <w:t xml:space="preserve">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4" w:type="dxa"/>
            <w:gridSpan w:val="10"/>
            <w:tcBorders>
              <w:bottom w:val="single" w:sz="2" w:space="0" w:color="000000"/>
            </w:tcBorders>
            <w:vAlign w:val="center"/>
          </w:tcPr>
          <w:p>
            <w:pPr>
              <w:pStyle w:val="TableContents"/>
              <w:bidi w:val="0"/>
              <w:spacing w:before="0" w:after="0"/>
              <w:jc w:val="center"/>
              <w:rPr/>
            </w:pPr>
            <w:r>
              <w:rPr>
                <w:spacing w:val="-3"/>
              </w:rPr>
              <w:t xml:space="preserve">Shares </w:t>
            </w:r>
            <w:r>
              <w:rPr/>
              <w:br/>
            </w:r>
            <w:r>
              <w:rPr>
                <w:spacing w:val="-3"/>
              </w:rPr>
              <w:t>Beneficially</w:t>
            </w:r>
            <w:r>
              <w:rPr/>
              <w:t xml:space="preserve"> </w:t>
              <w:br/>
            </w:r>
            <w:r>
              <w:rPr>
                <w:spacing w:val="-3"/>
              </w:rPr>
              <w:t>Owned After the</w:t>
            </w:r>
            <w:r>
              <w:rPr/>
              <w:t xml:space="preserve"> </w:t>
              <w:br/>
            </w:r>
            <w:r>
              <w:rPr>
                <w:spacing w:val="-3"/>
              </w:rPr>
              <w:t>Offering (No</w:t>
            </w:r>
            <w:r>
              <w:rPr/>
              <w:t xml:space="preserve"> </w:t>
              <w:br/>
            </w:r>
            <w:r>
              <w:rPr>
                <w:spacing w:val="-3"/>
              </w:rPr>
              <w:t xml:space="preserve">Option 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Shares Offered </w:t>
            </w:r>
            <w:r>
              <w:rPr/>
              <w:br/>
            </w:r>
            <w:r>
              <w:rPr>
                <w:spacing w:val="-3"/>
              </w:rPr>
              <w:t xml:space="preserve">Hereby </w:t>
            </w:r>
            <w:r>
              <w:rPr/>
              <w:br/>
            </w:r>
            <w:r>
              <w:rPr>
                <w:spacing w:val="-3"/>
              </w:rPr>
              <w:t xml:space="preserve">(Full Option </w:t>
            </w:r>
            <w:r>
              <w:rPr/>
              <w:br/>
            </w:r>
            <w:r>
              <w:rPr>
                <w:spacing w:val="-3"/>
              </w:rPr>
              <w:t xml:space="preserve">Exercise)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04" w:type="dxa"/>
            <w:gridSpan w:val="10"/>
            <w:tcBorders>
              <w:bottom w:val="single" w:sz="2" w:space="0" w:color="000000"/>
            </w:tcBorders>
            <w:vAlign w:val="center"/>
          </w:tcPr>
          <w:p>
            <w:pPr>
              <w:pStyle w:val="TableContents"/>
              <w:bidi w:val="0"/>
              <w:spacing w:before="0" w:after="0"/>
              <w:jc w:val="center"/>
              <w:rPr/>
            </w:pPr>
            <w:r>
              <w:rPr>
                <w:spacing w:val="-3"/>
              </w:rPr>
              <w:t xml:space="preserve">Shares </w:t>
            </w:r>
            <w:r>
              <w:rPr/>
              <w:br/>
            </w:r>
            <w:r>
              <w:rPr>
                <w:spacing w:val="-3"/>
              </w:rPr>
              <w:t>Beneficially</w:t>
            </w:r>
            <w:r>
              <w:rPr/>
              <w:t xml:space="preserve"> </w:t>
              <w:br/>
            </w:r>
            <w:r>
              <w:rPr>
                <w:spacing w:val="-3"/>
              </w:rPr>
              <w:t>Owned After the</w:t>
            </w:r>
            <w:r>
              <w:rPr/>
              <w:t xml:space="preserve"> </w:t>
              <w:br/>
            </w:r>
            <w:r>
              <w:rPr>
                <w:spacing w:val="-3"/>
              </w:rPr>
              <w:t xml:space="preserve">Offering </w:t>
            </w:r>
            <w:r>
              <w:rPr/>
              <w:br/>
            </w:r>
            <w:r>
              <w:rPr>
                <w:spacing w:val="-3"/>
              </w:rPr>
              <w:t>(Full Option</w:t>
            </w:r>
            <w:r>
              <w:rPr/>
              <w:t xml:space="preserve"> </w:t>
              <w:br/>
            </w:r>
            <w:r>
              <w:rPr>
                <w:spacing w:val="-3"/>
              </w:rPr>
              <w:t xml:space="preserve">Exercise)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880" w:type="dxa"/>
            <w:tcBorders/>
            <w:shd w:fill="CCEEFF" w:val="clear"/>
            <w:tcMar>
              <w:bottom w:w="0" w:type="dxa"/>
            </w:tcMar>
            <w:vAlign w:val="center"/>
          </w:tcPr>
          <w:p>
            <w:pPr>
              <w:pStyle w:val="TableContents"/>
              <w:bidi w:val="0"/>
              <w:spacing w:before="0" w:after="0"/>
              <w:ind w:left="200" w:right="0" w:hanging="200"/>
              <w:jc w:val="left"/>
              <w:rPr/>
            </w:pPr>
            <w:r>
              <w:rPr>
                <w:spacing w:val="4"/>
              </w:rPr>
              <w:t>TCO Group Holdings, L.P.</w:t>
            </w:r>
            <w:r>
              <w:rPr>
                <w:spacing w:val="3"/>
                <w:szCs w:val="13"/>
              </w:rPr>
              <w: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112,576,555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102,576,555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101,076,555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74.1%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112,576,555 shares of common stock held by TCO Group Holdings, L.P., which is the legal name of the investment vehicle through which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r>
        <mc:AlternateContent>
          <mc:Choice Requires="wps">
            <w:drawing>
              <wp:anchor behindDoc="0" distT="10414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(“WCAS Co-H” and, collectively, the “WCAS Investor”) consent to 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 — 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 </w:t>
      </w:r>
    </w:p>
    <w:p>
      <w:pPr>
        <w:pStyle w:val="TextBody"/>
        <w:bidi w:val="0"/>
        <w:spacing w:lineRule="atLeast" w:line="230" w:before="46"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L.P., 601 Lexington Avenue, 53rd Floor, New York, New York, and c/o Welsh, Carson, Anderson and Stowe, 599 Lexington Avenue, Suite 1800, New York, New York 10022.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Relationships with 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the Director Nomination Agreement by and among the Company and the Principal Shareholders. The Director Nomination Agreement provides the Principal Shareholders the right to designate (i) all of the nominees for election to the Board for so long as the Principal Shareholders collectively beneficially own 40% or more of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TCO Group Holdings, L.P.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Nomination Agreement also provides for certain consent rights for each of the Principal Shareholders so long as such shareholder owns at least 5% of the Original Amount, including for any change to the size of our Board. The Director Nomination Agreement terminates at such time as the Principal Shareholders own less than 5% of the Original Amount.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which registrations may in certain circumstances be “shelf registrations,” such as the registration statement of which this prospectus supplement is a part.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6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DIP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paid cash dividends since our initial public offering and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 See “Risks related to our common stock and this offering — Because we have no current plans to pay regular cash dividends on our common stock following this offering, you may not receive any return on investment unless you sell your common stock for a price greater than that which you paid for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MUF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any alternative minimum tax including the base erosion and anti-abuse tax under the Code;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common stock as part of a hedge, straddle or other risk reduction strategy or as part of a conversion transaction or other integrated investment;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entities or arrangements treated as partnerships for U.S. federal income tax purposes (and investors therein);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common stock under the constructive sale provisions of the Code;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or receive our common stock pursuant to the exercise of any employee stock option or otherwise as compensation;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tax-qualified retirement plans;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that have elected mark-to-market treatment; and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foreign pension funds” as defined in Section 897(l)(2) of the Code and entities all of the interests of which are held by qualified foreign pension funds.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treated as a partnership or other entities or arrangements treated as partnerships for U.S. federal income tax purposes is a beneficial owner of our common stock, the tax treatment of a partner in the partnership or an owner of the other pass-through entity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DISPOSITION OF OUR COMMON STOCK ARISING UNDER THE U.S. FEDERAL ESTATE OR GIFT TAX LAWS OR UNDER THE LAWS OF ANY STATE, LOCAL OR NON-U.S. TAXING JURISDICTION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0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 of a Non-U.S. 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482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482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482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482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make distributions of cash or property on our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and first be applied against and reduce a Non-U.S. Holder’s adjusted tax basis in its common stock, but not below zero. Any remaining excess will be treated as capital gain and will be treated as described below under “— Sale or other taxable disposition.”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on effectively connected income, dividends paid to a Non-U.S. Holder of our common stock will generally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a fixed base in the United States to which such dividends are attributable), the Non-U.S. Holder will generally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dividends will generally be subject to U.S. federal income tax on a net income basis at the regular graduated rates in the same manner as if the Non-U.S. Holder were a U.S. person, unless an applicable income tax treaty provides otherwise. A Non-U.S. Holder that is a corporation for U.S. federal income tax purposes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lineRule="atLeast" w:line="240" w:before="20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or other taxable disposition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backup withholding and Foreign Account Tax Compliance Act, or FATCA, a Non-U.S. Holder will not be subject to U.S. federal income tax on any gain realized upon the sale or other taxable disposition of our common stock unless: </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or a fixed base in the United States to which such gain is attributable); </w:t>
      </w:r>
      <w:r>
        <mc:AlternateContent>
          <mc:Choice Requires="wps">
            <w:drawing>
              <wp:anchor behindDoc="0" distT="482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or </w:t>
      </w:r>
      <w:r>
        <mc:AlternateContent>
          <mc:Choice Requires="wps">
            <w:drawing>
              <wp:anchor behindDoc="0" distT="0" distB="0" distL="254000" distR="0" simplePos="0" locked="0" layoutInCell="1" allowOverlap="1" relativeHeight="67">
                <wp:simplePos x="0" y="0"/>
                <wp:positionH relativeFrom="column">
                  <wp:align>left</wp:align>
                </wp:positionH>
                <wp:positionV relativeFrom="line">
                  <wp:posOffset>635</wp:posOffset>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constitutes a U.S. real property interest, or USRPI, by reason of our status as a U.S. real property holding corporation, or USRPHC, for U.S. federal income tax purposes. </w:t>
      </w:r>
      <w:r>
        <mc:AlternateContent>
          <mc:Choice Requires="wps">
            <w:drawing>
              <wp:anchor behindDoc="0" distT="863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will generally be subject to U.S. federal income tax on a net income basis at the regular graduated rates in the same manner as if the Non-U.S. Holder were a U.S. person, unless an applicable income tax treaty provides otherwise. A Non-U.S. Holder that is treated as a corporation for U.S. federal income tax purposes also may be subject to a branch profits tax at a rate of 30% (or such lower rate specified by an applicable income tax treaty) on such effectively connected gain, as adjusted for certain items.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Non-U.S. Holders should consult their tax advisors regarding any applicable tax treaties that may provide for different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any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dividends on our common stock. While, beginning on January 1, 2019, withholding under FATCA would have also applied to payments of gross proceeds from the sale or other disposition of our common stock, recently proposed Treasury Regulations eliminate FATCA withholding on payments of gross proceeds entirely. Taxpayers (including withholding agents) are permitted to rely on these proposed Treasury Regulations until final Treasury Regulations are issued.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Prospective Non-U.S. Holders should consult their tax advisors regarding the potential application of withholding under FATCA to their investment in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UND"/>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Goldman Sachs &amp; Co. LLC and Wells Fargo Securities, LLC are acting as the representatives of the underwriters and the joint book-running managers of this offering. Under the terms of an underwriting agreement with respect to the shares being offered, each of the underwriters named below has severally agreed to purchase from the selling security holders the respective number of shares of common stock shown opposite its name below: </w:t>
      </w:r>
    </w:p>
    <w:tbl>
      <w:tblPr>
        <w:tblW w:w="5732" w:type="dxa"/>
        <w:jc w:val="left"/>
        <w:tblInd w:w="1393" w:type="dxa"/>
        <w:tblLayout w:type="fixed"/>
        <w:tblCellMar>
          <w:top w:w="0" w:type="dxa"/>
          <w:left w:w="0" w:type="dxa"/>
          <w:bottom w:w="43" w:type="dxa"/>
          <w:right w:w="0" w:type="dxa"/>
        </w:tblCellMar>
      </w:tblPr>
      <w:tblGrid>
        <w:gridCol w:w="3847"/>
        <w:gridCol w:w="109"/>
        <w:gridCol w:w="109"/>
        <w:gridCol w:w="109"/>
        <w:gridCol w:w="109"/>
        <w:gridCol w:w="1186"/>
        <w:gridCol w:w="109"/>
        <w:gridCol w:w="154"/>
      </w:tblGrid>
      <w:tr>
        <w:trPr/>
        <w:tc>
          <w:tcPr>
            <w:tcW w:w="3847"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7"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2,447,050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7" w:type="dxa"/>
            <w:tcBorders/>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2,021,475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7" w:type="dxa"/>
            <w:tcBorders/>
            <w:shd w:fill="CCEEFF" w:val="clear"/>
            <w:tcMar>
              <w:bottom w:w="0" w:type="dxa"/>
            </w:tcMar>
            <w:vAlign w:val="center"/>
          </w:tcPr>
          <w:p>
            <w:pPr>
              <w:pStyle w:val="TableContents"/>
              <w:bidi w:val="0"/>
              <w:spacing w:before="0" w:after="0"/>
              <w:jc w:val="left"/>
              <w:rPr/>
            </w:pPr>
            <w:r>
              <w:rPr>
                <w:spacing w:val="4"/>
              </w:rPr>
              <w:t>Wells Fargo Securities,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2,021,475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7" w:type="dxa"/>
            <w:tcBorders/>
            <w:tcMar>
              <w:bottom w:w="0" w:type="dxa"/>
            </w:tcMar>
            <w:vAlign w:val="center"/>
          </w:tcPr>
          <w:p>
            <w:pPr>
              <w:pStyle w:val="TableContents"/>
              <w:bidi w:val="0"/>
              <w:spacing w:before="0" w:after="0"/>
              <w:jc w:val="left"/>
              <w:rPr/>
            </w:pPr>
            <w:r>
              <w:rPr>
                <w:spacing w:val="4"/>
              </w:rPr>
              <w:t>UBS Securities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1,260,000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7" w:type="dxa"/>
            <w:tcBorders/>
            <w:shd w:fill="CCEEFF" w:val="clear"/>
            <w:tcMar>
              <w:bottom w:w="0" w:type="dxa"/>
            </w:tcMar>
            <w:vAlign w:val="center"/>
          </w:tcPr>
          <w:p>
            <w:pPr>
              <w:pStyle w:val="TableContents"/>
              <w:bidi w:val="0"/>
              <w:spacing w:before="0" w:after="0"/>
              <w:jc w:val="left"/>
              <w:rPr/>
            </w:pPr>
            <w:r>
              <w:rPr>
                <w:spacing w:val="4"/>
              </w:rPr>
              <w:t>William Blair &amp; Company,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7" w:type="dxa"/>
            <w:tcBorders/>
            <w:tcMar>
              <w:bottom w:w="0" w:type="dxa"/>
            </w:tcMar>
            <w:vAlign w:val="center"/>
          </w:tcPr>
          <w:p>
            <w:pPr>
              <w:pStyle w:val="TableContents"/>
              <w:bidi w:val="0"/>
              <w:spacing w:before="0" w:after="0"/>
              <w:jc w:val="left"/>
              <w:rPr/>
            </w:pPr>
            <w:r>
              <w:rPr>
                <w:spacing w:val="4"/>
              </w:rPr>
              <w:t>KeyBanc Capital Markets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7" w:type="dxa"/>
            <w:tcBorders/>
            <w:shd w:fill="CCEEFF" w:val="clear"/>
            <w:tcMar>
              <w:bottom w:w="0" w:type="dxa"/>
            </w:tcMar>
            <w:vAlign w:val="center"/>
          </w:tcPr>
          <w:p>
            <w:pPr>
              <w:pStyle w:val="TableContents"/>
              <w:bidi w:val="0"/>
              <w:spacing w:before="0" w:after="0"/>
              <w:jc w:val="left"/>
              <w:rPr/>
            </w:pPr>
            <w:r>
              <w:rPr>
                <w:spacing w:val="4"/>
              </w:rPr>
              <w:t>Academy Securities,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Samuel A. Ramirez &amp; Company,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underwriters’ obligation to purchase shares of common stock depends on the satisfaction of the certain conditions contained in the underwriting agreement including: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to purchase all of the shares of common stock offered hereby (other than those shares of common stock covered by their option to purchase additional shares as described below), if any of the shares are purchased;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us and the selling security holders to the underwriters are true; </w:t>
      </w:r>
      <w:r>
        <mc:AlternateContent>
          <mc:Choice Requires="wps">
            <w:drawing>
              <wp:anchor behindDoc="0" distT="876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material change in our business or the financial markets; and </w:t>
      </w:r>
      <w:r>
        <mc:AlternateContent>
          <mc:Choice Requires="wps">
            <w:drawing>
              <wp:anchor behindDoc="0" distT="876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security holders deliver customary closing documents to the underwriters. </w:t>
      </w:r>
      <w:r>
        <mc:AlternateContent>
          <mc:Choice Requires="wps">
            <w:drawing>
              <wp:anchor behindDoc="0" distT="876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underwriting discounts and commissions the selling security holders will pay to the underwriters. These amounts are shown assuming both no exercise and full exercise of the underwriters’ option to purchase additional shares. The underwriting fee is the difference between the initial price to the public and the amount the underwriters pay to the selling security holders for the shares. </w:t>
      </w:r>
    </w:p>
    <w:tbl>
      <w:tblPr>
        <w:tblW w:w="4790" w:type="dxa"/>
        <w:jc w:val="left"/>
        <w:tblInd w:w="1393" w:type="dxa"/>
        <w:tblLayout w:type="fixed"/>
        <w:tblCellMar>
          <w:top w:w="0" w:type="dxa"/>
          <w:left w:w="0" w:type="dxa"/>
          <w:bottom w:w="28" w:type="dxa"/>
          <w:right w:w="0" w:type="dxa"/>
        </w:tblCellMar>
      </w:tblPr>
      <w:tblGrid>
        <w:gridCol w:w="1120"/>
        <w:gridCol w:w="109"/>
        <w:gridCol w:w="109"/>
        <w:gridCol w:w="109"/>
        <w:gridCol w:w="226"/>
        <w:gridCol w:w="1126"/>
        <w:gridCol w:w="109"/>
        <w:gridCol w:w="109"/>
        <w:gridCol w:w="109"/>
        <w:gridCol w:w="109"/>
        <w:gridCol w:w="226"/>
        <w:gridCol w:w="1066"/>
        <w:gridCol w:w="109"/>
        <w:gridCol w:w="154"/>
      </w:tblGrid>
      <w:tr>
        <w:trPr/>
        <w:tc>
          <w:tcPr>
            <w:tcW w:w="1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Selling Security Holders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Full Exercise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20" w:type="dxa"/>
            <w:tcBorders/>
            <w:shd w:fill="CCEEFF" w:val="clear"/>
            <w:tcMar>
              <w:bottom w:w="0" w:type="dxa"/>
            </w:tcMar>
            <w:vAlign w:val="center"/>
          </w:tcPr>
          <w:p>
            <w:pPr>
              <w:pStyle w:val="TableContents"/>
              <w:bidi w:val="0"/>
              <w:spacing w:before="0" w:after="0"/>
              <w:jc w:val="left"/>
              <w:rPr>
                <w:spacing w:val="4"/>
              </w:rPr>
            </w:pP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0.4625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0.4625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20"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4,625,000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5,318,750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have advised us that the underwriters propose to offer the shares of common stock directly to the public at the offering price on the cover of this prospectus supplement and to selected dealers, which may include the underwriters, at such offering price less a selling concession not in excess of $0.2775 per share. If all the shares are not sold at the initial offering price following the initial offering, the representatives may change the offering price and other selling terms.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of the offering that are payable by us are estimated to be approximately $1.0 million (excluding underwriting discounts and commissions). We have agreed to pay expenses incurred by the selling security holders in connection with the offering, other than the underwriting discounts and commissions. The underwriters have agreed to reimburse certain of our expenses in connection with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Purchase Additional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have granted the underwriters an option exercisable for 30 days after the date of this prospectus supplement to purchase, from time to time, in whole or in part, up to an aggregate of 1,500,000 additional shares from the selling security holders at the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this offering as indicated in the above 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Lock-Up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that we will not, subject to certain exceptions,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any two of Barclays Capital Inc., Goldman Sachs &amp; Co. LLC or Wells Fargo Securities, LLC, on behalf of the underwriters, for a period of 90 days after the date of this prospectus supplement, other than the shares of our common stock to be sold in this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our actions, as described above, do not apply to certain transactions, including (i) the shares of common stock to be sold in this offering; (ii) the issuance of shares of common stock or securities convertible into or exercisable for shares of common stock pursuant to the conversion or exchange of convertible or exchangeable securities or the exercise of warrants or options (including net exercise) or the settlement of RSUs (including net settlement), in each case outstanding on the date of this prospectus supplement; (iii)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of this offering and described herein, provided that such recipients enter into a lock-up agreement with the underwriters described below; (iv) the issuance of up to 10% of the shares of common stock issued and outstanding immediately following the consummation of this offering, in acquisitions or other similar strategic transactions, provided that such recipients enter into a lock-up agreement with the underwriters described below; (v) the filing of any registration statement on Form S-8 relating to securities granted or to be granted pursuant to any plan in effect on the date of this prospectus supplement and described herein or any assumed benefit plan pursuant to an acquisition or similar strategic transaction; and (vi) the facilitating of the establishment of a trading plan on behalf of a shareholder, officer or director of the Company pursuant to Rule 10b5-1 under the Exchange Act for the transfer of shares of common stock, provided that such plan does not provide for the transfer of common stock during the restricted period and any public announcement or filing regarding the establishment of such plan includes a statement to the effect that no transfer of common stock may be made under such plan during the restricted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executive officers and the selling security holders (such persons, the “lock-up parties”) have entered into lock-up agreements with the underwriters prior to the commencement of this offering pursuant to which each lock-up party, with certain exceptions, for a period of 90 days after the date of this prospectus supplement (such period, the “restricted period”), may not (and may not cause any of their direct or indirect affiliates to), without the prior written consent of any two of Barclays Capital Inc., Goldman Sachs &amp; Co. LLC or Wells Fargo Securities, LLC, on behalf of the underwriters,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the following: </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as a bona fide gift or gifts, or for bona fide estate planning purposes; </w:t>
      </w:r>
      <w:r>
        <mc:AlternateContent>
          <mc:Choice Requires="wps">
            <w:drawing>
              <wp:anchor behindDoc="0" distT="99060" distB="0" distL="254000" distR="0" simplePos="0" locked="0" layoutInCell="1" allowOverlap="1" relativeHeight="73">
                <wp:simplePos x="0" y="0"/>
                <wp:positionH relativeFrom="column">
                  <wp:align>left</wp:align>
                </wp:positionH>
                <wp:positionV relativeFrom="line">
                  <wp:align>top</wp:align>
                </wp:positionV>
                <wp:extent cx="3048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any immediate family member of the lock-up party; </w:t>
      </w:r>
      <w:r>
        <mc:AlternateContent>
          <mc:Choice Requires="wps">
            <w:drawing>
              <wp:anchor behindDoc="0" distT="99060" distB="0" distL="254000" distR="0" simplePos="0" locked="0" layoutInCell="1" allowOverlap="1" relativeHeight="74">
                <wp:simplePos x="0" y="0"/>
                <wp:positionH relativeFrom="column">
                  <wp:align>left</wp:align>
                </wp:positionH>
                <wp:positionV relativeFrom="line">
                  <wp:align>top</wp:align>
                </wp:positionV>
                <wp:extent cx="3048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by will, other testamentary document or intestacy; </w:t>
      </w:r>
      <w:r>
        <mc:AlternateContent>
          <mc:Choice Requires="wps">
            <w:drawing>
              <wp:anchor behindDoc="0" distT="99060" distB="0" distL="254000" distR="0" simplePos="0" locked="0" layoutInCell="1" allowOverlap="1" relativeHeight="75">
                <wp:simplePos x="0" y="0"/>
                <wp:positionH relativeFrom="column">
                  <wp:align>left</wp:align>
                </wp:positionH>
                <wp:positionV relativeFrom="line">
                  <wp:align>top</wp:align>
                </wp:positionV>
                <wp:extent cx="3048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any trust for the direct or indirect benefit of the lock-up party or the immediate family of the lock-up party, or if the lock-up party is a trust, to a trustor or beneficiary of the trust or to the estate of a beneficiary of such trust; </w:t>
      </w:r>
      <w:r>
        <mc:AlternateContent>
          <mc:Choice Requires="wps">
            <w:drawing>
              <wp:anchor behindDoc="0" distT="99060" distB="0" distL="254000" distR="0" simplePos="0" locked="0" layoutInCell="1" allowOverlap="1" relativeHeight="76">
                <wp:simplePos x="0" y="0"/>
                <wp:positionH relativeFrom="column">
                  <wp:align>left</wp:align>
                </wp:positionH>
                <wp:positionV relativeFrom="line">
                  <wp:align>top</wp:align>
                </wp:positionV>
                <wp:extent cx="3048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 corporation, partnership, limited liability company, trust or other entity of which the lock-up party, or the immediate family of the lock-up party, are the legal and beneficial owner of all of the outstanding equity securities or similar interests; </w:t>
      </w:r>
      <w:r>
        <mc:AlternateContent>
          <mc:Choice Requires="wps">
            <w:drawing>
              <wp:anchor behindDoc="0" distT="100330" distB="0" distL="254000" distR="0" simplePos="0" locked="0" layoutInCell="1" allowOverlap="1" relativeHeight="77">
                <wp:simplePos x="0" y="0"/>
                <wp:positionH relativeFrom="column">
                  <wp:align>left</wp:align>
                </wp:positionH>
                <wp:positionV relativeFrom="line">
                  <wp:align>top</wp:align>
                </wp:positionV>
                <wp:extent cx="3048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a nominee or custodian of a person or entity to whom a disposition or transfer would be permissible under (i) through (v) above; </w:t>
      </w:r>
      <w:r>
        <mc:AlternateContent>
          <mc:Choice Requires="wps">
            <w:drawing>
              <wp:anchor behindDoc="0" distT="100330" distB="0" distL="254000" distR="0" simplePos="0" locked="0" layoutInCell="1" allowOverlap="1" relativeHeight="78">
                <wp:simplePos x="0" y="0"/>
                <wp:positionH relativeFrom="column">
                  <wp:align>left</wp:align>
                </wp:positionH>
                <wp:positionV relativeFrom="line">
                  <wp:align>top</wp:align>
                </wp:positionV>
                <wp:extent cx="3048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lock-up party is a corporation, partnership, limited liability company, trust or other business entity, transfers (A) to another corporation, partnership, limited liability company, trust or other business entity that is an affiliate of the lock-up party, or to any investment fund or other entity controlling, controlled by, managing or managed by or under common control with the lock-up party or affiliates of the lock-up party, or (B) as part of a distribution to members, shareholders, partners or other equityholders of the lock-up party, or (C) if a transferee referred to in clauses (A) or (B) above is not a natural person, any direct or indirect partner, member or shareholder of such transferee until the lock-up securities come to be held by a natural person; </w:t>
      </w:r>
      <w:r>
        <mc:AlternateContent>
          <mc:Choice Requires="wps">
            <w:drawing>
              <wp:anchor behindDoc="0" distT="100330" distB="0" distL="254000" distR="0" simplePos="0" locked="0" layoutInCell="1" allowOverlap="1" relativeHeight="79">
                <wp:simplePos x="0" y="0"/>
                <wp:positionH relativeFrom="column">
                  <wp:align>left</wp:align>
                </wp:positionH>
                <wp:positionV relativeFrom="line">
                  <wp:align>top</wp:align>
                </wp:positionV>
                <wp:extent cx="304800" cy="525780"/>
                <wp:effectExtent l="0" t="0" r="0" b="0"/>
                <wp:wrapSquare wrapText="right"/>
                <wp:docPr id="76" name="Frame7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by operation of law, or pursuant to an order of court; </w:t>
      </w:r>
      <w:r>
        <mc:AlternateContent>
          <mc:Choice Requires="wps">
            <w:drawing>
              <wp:anchor behindDoc="0" distT="100330" distB="0" distL="254000" distR="0" simplePos="0" locked="0" layoutInCell="1" allowOverlap="1" relativeHeight="80">
                <wp:simplePos x="0" y="0"/>
                <wp:positionH relativeFrom="column">
                  <wp:align>left</wp:align>
                </wp:positionH>
                <wp:positionV relativeFrom="line">
                  <wp:align>top</wp:align>
                </wp:positionV>
                <wp:extent cx="304800" cy="525780"/>
                <wp:effectExtent l="0" t="0" r="0" b="0"/>
                <wp:wrapSquare wrapText="right"/>
                <wp:docPr id="77" name="Frame7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the Company from an employee of the Company upon death, disability or termination of employment, in each case, of such employee; </w:t>
      </w:r>
      <w:r>
        <mc:AlternateContent>
          <mc:Choice Requires="wps">
            <w:drawing>
              <wp:anchor behindDoc="0" distT="100330" distB="0" distL="254000" distR="0" simplePos="0" locked="0" layoutInCell="1" allowOverlap="1" relativeHeight="81">
                <wp:simplePos x="0" y="0"/>
                <wp:positionH relativeFrom="column">
                  <wp:align>left</wp:align>
                </wp:positionH>
                <wp:positionV relativeFrom="line">
                  <wp:align>top</wp:align>
                </wp:positionV>
                <wp:extent cx="3048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a transfer or disposition of the lock-up party’s lock-up securities acquired in open market transactions after the closing of this offering; </w:t>
      </w:r>
      <w:r>
        <mc:AlternateContent>
          <mc:Choice Requires="wps">
            <w:drawing>
              <wp:anchor behindDoc="0" distT="100330" distB="0" distL="254000" distR="0" simplePos="0" locked="0" layoutInCell="1" allowOverlap="1" relativeHeight="82">
                <wp:simplePos x="0" y="0"/>
                <wp:positionH relativeFrom="column">
                  <wp:align>left</wp:align>
                </wp:positionH>
                <wp:positionV relativeFrom="line">
                  <wp:align>top</wp:align>
                </wp:positionV>
                <wp:extent cx="3048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is subject to the terms of the lock-up agreement, and </w:t>
      </w:r>
      <w:r>
        <mc:AlternateContent>
          <mc:Choice Requires="wps">
            <w:drawing>
              <wp:anchor behindDoc="0" distT="100330" distB="0" distL="254000" distR="0" simplePos="0" locked="0" layoutInCell="1" allowOverlap="1" relativeHeight="83">
                <wp:simplePos x="0" y="0"/>
                <wp:positionH relativeFrom="column">
                  <wp:align>left</wp:align>
                </wp:positionH>
                <wp:positionV relativeFrom="line">
                  <wp:align>top</wp:align>
                </wp:positionV>
                <wp:extent cx="3048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further that any such restricted stock units, options, warrants or rights are held by the lock-up party pursuant to an agreement or equity awards granted under a stock incentive plan or other equity award plan described in this prospectus supplement; </w:t>
      </w:r>
    </w:p>
    <w:p>
      <w:pPr>
        <w:pStyle w:val="TextBody"/>
        <w:bidi w:val="0"/>
        <w:spacing w:lineRule="atLeast" w:line="240" w:before="154"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pursuant to a plan that complies with Rule 10b5-1 under the Exchange Act that has been entered into by the lock-up party prior to the date of the lock-up agreement; and </w:t>
      </w:r>
      <w:r>
        <mc:AlternateContent>
          <mc:Choice Requires="wps">
            <w:drawing>
              <wp:anchor behindDoc="0" distT="97790" distB="0" distL="254000" distR="0" simplePos="0" locked="0" layoutInCell="1" allowOverlap="1" relativeHeight="84">
                <wp:simplePos x="0" y="0"/>
                <wp:positionH relativeFrom="column">
                  <wp:align>left</wp:align>
                </wp:positionH>
                <wp:positionV relativeFrom="line">
                  <wp:align>top</wp:align>
                </wp:positionV>
                <wp:extent cx="304800" cy="525780"/>
                <wp:effectExtent l="0" t="0" r="0" b="0"/>
                <wp:wrapSquare wrapText="right"/>
                <wp:docPr id="81" name="Frame8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pursuant to a bona fide third-party tender offer, merger, consolidation or other similar transaction that is approved by the Board and made to all holders of the Company’s capital stock involving a change of control of the Company, provided that in the event that such tender offer, merger, consolidation or other similar transaction is not completed, the lock-up party’s lock-up securities remains subject to the provisions of the lock-up agreement; provided that: (A) in the case of any transfer or distribution pursuant to (i), (ii), (iii), (iv), (v), (vi), (vii) and (viii) above, such transfer does not involve a disposition for value and each donee, devisee, transferee or distributee executes and delivers to the representatives a lock-up agreement, provided that with respect to any related series of transfers or distributions to transferees or distributees otherwise permitted under (iv), (v) and (vii) above that are deemed to occur simultaneously, only the ultimate transferee or distributee in such series is required to execute and deliver such lock-up agreement (provided that, in each case, the same number or amount of lock-up securities so transferred by the initial transferor remains subject to such lock-up agreement after giving effect to such simultaneous transfers or distributions); (B) in the case of any transfer or distribution pursuant to (i), (ii), (iii), (iv), (v), (vi), (x) and (xii) above, no filing by any party under the Exchange Act, or other public announcement is required or is made voluntarily in connection with such transfer or distribution during the restricted period in connection with such transfer; and (C) in the case of any transfer or distribution pursuant to (viii), (ix), (xi) and (xii) above, it is a condition to such transfer that no public filing, report or announcement is voluntarily made, and if any filing under Section 16(a) of the Exchange Act, or other public filing, report or announcement reporting a reduction in beneficial ownership of shares of common stock in connection with such transfer or distribution is legally required during the restricted period, such filing, report or announcement clearly indicates in the footnotes thereto the nature and conditions of such transfer. </w:t>
      </w:r>
      <w:r>
        <mc:AlternateContent>
          <mc:Choice Requires="wps">
            <w:drawing>
              <wp:anchor behindDoc="0" distT="97790" distB="0" distL="254000" distR="0" simplePos="0" locked="0" layoutInCell="1" allowOverlap="1" relativeHeight="85">
                <wp:simplePos x="0" y="0"/>
                <wp:positionH relativeFrom="column">
                  <wp:align>left</wp:align>
                </wp:positionH>
                <wp:positionV relativeFrom="line">
                  <wp:align>top</wp:align>
                </wp:positionV>
                <wp:extent cx="304800" cy="525780"/>
                <wp:effectExtent l="0" t="0" r="0" b="0"/>
                <wp:wrapSquare wrapText="right"/>
                <wp:docPr id="82" name="Frame81"/>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4"/>
                              </w:rPr>
                              <w:t>(xiii)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(xiii)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two of Barclays Capital Inc., Goldman Sachs &amp; Co. LLC or Wells Fargo Securities, LLC, on behalf of the underwriters, in their sole discretion, may release the securities subject to any of the lock-up agreements with the underwriters described above, in whole or in part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security holders have agreed to indemnify the underwriters against certain liabilities, including liabilities under the Securities Act, and to contribute to payments that the underwriters may be required to make for these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permit bids to purchase the underlying security so long as the stabilizing bids do not exceed a specified maximum.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 </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common stock in the open market after the distribution has been completed in order to cover syndicate short positions. </w:t>
      </w:r>
      <w:r>
        <mc:AlternateContent>
          <mc:Choice Requires="wps">
            <w:drawing>
              <wp:anchor behindDoc="0" distT="673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representatives to reclaim a selling concession from a syndicate member when the common stock originally sold by the syndicate member is purchased in a stabilizing or syndicate covering transaction to cover syndicate short positions. </w:t>
      </w:r>
      <w:r>
        <mc:AlternateContent>
          <mc:Choice Requires="wps">
            <w:drawing>
              <wp:anchor behindDoc="0" distT="673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Nasdaq Global Select Market or otherwise and, if commenced, may be discontinued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Passive Market Making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on The Nasdaq Global Select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“INNV”.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Stamp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shares of common stock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shares of common stock will be made against payment therefor on or about the closing date specified on the cover page of this prospectus supplement, which will be the first business day following the date of pricing of the shares of common stock (this settlement cycle being referred to as “T+1”). Under Rule 15c6-1 of the Exchange Act, as amended, trades in the secondary market generally are required to settle in one business day, unless the parties to any such trade expressly agree otherwise. Accordingly, purchasers who wish to trade shares of common stock on the date of pricing will be required, by virtue of the fact that the shares of common stock initially will settle T+1, to specify an alternate settlement cycle at the time of any such trade to prevent a failed settlement. Purchasers of shares of common stock who wish to trade shares of common stock prior to settlement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 Certain of the underwriters or their affiliates are party to our credit facility. Our credit facility consists of a $100.0 million revolving credit facility and a term loan facility under the Credit Agreement, dated as of March 8, 2021, as amended by Amendment No. 1, dated as of June 14, 2023, and Amendment No. 2, dated as of August 8, 2025. Barclays Bank PLC, an affiliate of Barclays Capital Inc., acted as a joint lead arranger, and is a lender and an issuing bank under such facility. Goldman Sachs Bank USA, an affiliate of Goldman Sachs &amp; Co. LLC, is a lender and an issuing bank under such facility.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shares of common stock offered hereby. Any such credit default swaps or short positions could adversely affect future trading prices of the shares of common stock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the Prospectus Regulation;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Prospectus Regulation), subject to obtaining the prior consent of the underwriters for any such offer; or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shares shall require the Company or the underwriters to publish a prospectus pursuant to Article 3 of the Prospectus Regulation or supplement a prospectus pursuant to Article 23 of the Prospectus Regulation.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Article 2 of the UK Prospectus Regulation;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Article 2 of the UK Prospectus Regulation), subject to obtaining the prior consent of the representatives for any such offer; or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Section 86 of the FSMA,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the shares shall require the Company or the underwriters to publish a prospectus pursuant to Section 85 of the FSMA or supplement a prospectus pursuant to Article 23 of the UK Prospectus Regulation.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LEMA"/>
      <w:bookmarkEnd w:id="16"/>
      <w:r>
        <w:rPr>
          <w:rFonts w:ascii="calibri;arial;sans-serif" w:hAnsi="calibri;arial;sans-serif"/>
          <w:b w:val="false"/>
          <w:i w:val="false"/>
          <w:caps w:val="false"/>
          <w:smallCaps w:val="false"/>
          <w:color w:val="000000"/>
          <w:sz w:val="16"/>
        </w:rPr>
        <w:t>​</w:t>
      </w:r>
      <w:bookmarkStart w:id="17" w:name="s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hereby will be passed upon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Certain legal matters will be passed upon for the underwriters by Davis Polk &amp; Wardwell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InnovAge Holding Corp. and subsidiaries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24050" cy="561975"/>
            <wp:effectExtent l="0" t="0" r="0" b="0"/>
            <wp:docPr id="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 descr=""/>
                    <pic:cNvPicPr>
                      <a:picLocks noChangeAspect="1" noChangeArrowheads="1"/>
                    </pic:cNvPicPr>
                  </pic:nvPicPr>
                  <pic:blipFill>
                    <a:blip r:embed="rId6"/>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4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InnovAge Holding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112,988,070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4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sale from time to time, by the selling security holders named herein, at prices and on terms that will be determined at the time of any such offering, of up to 112,988,070 shares of common stock of InnovAge Holding Corp. (the “Company” or “InnovAge”). Any selling security holder that is an affiliate of the Company may be deemed an “underwriter” within the meaning of the Securities Act of 1933, as amended. The Company will not receive any of the proceeds from the sale of shares of securities by any selling security 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To the extent required, this prospectus will not be used to consummate a sale of securities unless accompanied by a prospectus supplement. The selling security holders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directly to you, through agents, or through underwriters and dealers. If agents, underwriters or dealers are used to sell the securities, they will be named and their compensation will be described in a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listed on The Nasdaq Global Select Market (“Nasdaq”) under the symbol “INNV.” The last reported sale price of the Company’s common stock on Nasdaq on July 30, 2026 was $11.60 per share.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these securities involves certain risks. See “Risk Factors” included in or incorporated by reference into any accompanying prospectus supplement and in the documents incorporated by reference in this prospectus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8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4,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BR">
              <w:r>
                <w:rPr>
                  <w:rStyle w:val="InternetLink"/>
                  <w:spacing w:val="4"/>
                </w:rPr>
                <w:t>ii</w:t>
              </w:r>
            </w:hyperlink>
            <w:hyperlink w:anchor="b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BIN">
              <w:r>
                <w:rPr>
                  <w:rStyle w:val="InternetLink"/>
                  <w:spacing w:val="4"/>
                </w:rPr>
                <w:t xml:space="preserve">ABOUT INNOVAGE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BIN">
              <w:r>
                <w:rPr>
                  <w:rStyle w:val="InternetLink"/>
                  <w:spacing w:val="4"/>
                </w:rPr>
                <w:t>1</w:t>
              </w:r>
            </w:hyperlink>
            <w:hyperlink w:anchor="bAB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5</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SSH">
              <w:r>
                <w:rPr>
                  <w:rStyle w:val="InternetLink"/>
                  <w:spacing w:val="4"/>
                </w:rPr>
                <w:t xml:space="preserve">SELLING SECURITY 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SH">
              <w:r>
                <w:rPr>
                  <w:rStyle w:val="InternetLink"/>
                  <w:spacing w:val="4"/>
                </w:rPr>
                <w:t>11</w:t>
              </w:r>
            </w:hyperlink>
            <w:hyperlink w:anchor="bSS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POD">
              <w:r>
                <w:rPr>
                  <w:rStyle w:val="InternetLink"/>
                  <w:spacing w:val="4"/>
                </w:rPr>
                <w:t>14</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LEMA">
              <w:r>
                <w:rPr>
                  <w:rStyle w:val="InternetLink"/>
                  <w:spacing w:val="4"/>
                </w:rPr>
                <w:t>17</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EXP">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ATP"/>
      <w:bookmarkEnd w:id="19"/>
      <w:r>
        <w:rPr>
          <w:rFonts w:ascii="calibri;arial;sans-serif" w:hAnsi="calibri;arial;sans-serif"/>
          <w:b w:val="false"/>
          <w:i w:val="false"/>
          <w:caps w:val="false"/>
          <w:smallCaps w:val="false"/>
          <w:color w:val="000000"/>
          <w:sz w:val="16"/>
        </w:rPr>
        <w:t>​</w:t>
      </w:r>
      <w:bookmarkStart w:id="20" w:name="bWYCF"/>
      <w:bookmarkEnd w:id="20"/>
      <w:r>
        <w:rPr>
          <w:rFonts w:ascii="calibri;arial;sans-serif" w:hAnsi="calibri;arial;sans-serif"/>
          <w:b w:val="false"/>
          <w:i w:val="false"/>
          <w:caps w:val="false"/>
          <w:smallCaps w:val="false"/>
          <w:color w:val="000000"/>
          <w:sz w:val="16"/>
        </w:rPr>
        <w:t>​</w:t>
      </w:r>
      <w:bookmarkStart w:id="21" w:name="bIBR"/>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utilizing a “shelf” registration process. Under this shelf registration process, the selling security holders may from time to time sell the securities described in this prospectus in one or more offerings.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Each time the selling stockholders sell securities, the selling stockholders may be required to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“Where You Can Find More Information” and “Incorporation by Reference.”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that is different from that contained in or incorporated by reference in this prospectus, any accompanying prospectus supplement or in any related free writing prospectus filed by us with the SEC. We take no responsibility for, and can provide no assurance as to the reliability of, any other information that others may give you. This prospectus and any accompanying prospectus supplement or any related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at the SEC’s website at http://www.sec.gov.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offered hereby. Statements in this prospectus concerning any document we filed as an exhibit to the registration statement or that we otherwise filed with the SEC are not intended to be comprehensive and are qualified by reference to those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furnished pursuant to Items 2.02 or 7.01 of any Current Report on Form 8-K), until the offering of the securities under the registration statement is terminated or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993" w:right="0" w:hanging="0"/>
        <w:jc w:val="both"/>
        <w:rPr/>
      </w:pPr>
      <w:hyperlink r:id="rId7">
        <w:r>
          <w:rPr>
            <w:rStyle w:val="InternetLink"/>
          </w:rPr>
          <w:t>Our Annual Report on Form 10-K for the fiscal year ended June 30, 2025 filed on September 9, 2025 (the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8">
        <w:r>
          <w:rPr>
            <w:rStyle w:val="InternetLink"/>
          </w:rPr>
          <w:t>The information specifically incorporated by reference into the 2025 10-K from our definitive proxy statement on Schedule 14A, filed on October 23,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fiscal quarter ended September 30, 2025 filed on </w:t>
      </w:r>
      <w:hyperlink r:id="rId9">
        <w:r>
          <w:rPr>
            <w:rStyle w:val="InternetLink"/>
          </w:rPr>
          <w:t>November 4, 2025</w:t>
        </w:r>
      </w:hyperlink>
      <w:r>
        <w:rPr>
          <w:rFonts w:ascii="Times New Roman;Times;serif" w:hAnsi="Times New Roman;Times;serif"/>
          <w:b w:val="false"/>
          <w:i w:val="false"/>
          <w:caps w:val="false"/>
          <w:smallCaps w:val="false"/>
          <w:color w:val="000000"/>
          <w:spacing w:val="4"/>
          <w:sz w:val="20"/>
        </w:rPr>
        <w:t xml:space="preserve">, for the fiscal quarter ended December 31, 2025 filed on </w:t>
      </w:r>
      <w:hyperlink r:id="rId10">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and for the fiscal quarter ended March 31, 2026 filed on </w:t>
      </w:r>
      <w:hyperlink r:id="rId11">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12">
        <w:r>
          <w:rPr>
            <w:rStyle w:val="InternetLink"/>
          </w:rPr>
          <w:t>August 11,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October 23, 2025</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December 4, 2025</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and </w:t>
      </w:r>
      <w:hyperlink r:id="rId16">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7">
        <w:r>
          <w:rPr>
            <w:rStyle w:val="InternetLink"/>
          </w:rPr>
          <w:t>The description of our common stock contained in Exhibit 4.1 of our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InnovAge Holding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8950 E. Lowry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Denver, CO 80230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(844) 803-8745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FOS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this prospectus, any prospectus supplement, any free writing prospectus and the documents we incorporate by reference in this prospectus, we may make “forward-looking statements” within the meaning of the U.S. Private Securities Litigation Reform Act of 1995, Section 27A of the Securities Act of 1933, as amended (the “Securities Act”) and Section 21E of the Exchange Act. These forward-looking statements are subject to risks and uncertainties. All statements other than statements of historical fact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viability of our growth strategy, including our ability to find suitable geographies for new centers and obtain licenses to open such centers (including in Downey and Bakersfield, California), our ability to ramp up our de novo centers (including in Florida);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successfully complete and integrate acquisitions, joint ventures and strategic partnerships;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new participants and retain existing participants to implement our growth strategy;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state and federal efforts to reduce healthcare spending, including upcoming Medicaid cuts as a result of the One Big Beautiful Bill Act (the “OBBBA”);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from ongoing macroeconomic related challenges, including labor shortages, labor competition, and inflation;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periodic inspections, reviews, audits and investigations under the federal and state government programs, and our ability to sufficiently cure any deficiencies identified by the respective federal and state government programs;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 of legal proceedings, enforcement actions and litigation and disputes, including the current civil investigative demands initiated by federal and state agencies, as well as the litigation and other proceedings initiated by, or on behalf, of our stockholders;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of providing services will exceed our compensation under the Program of All Inclusive Care for the Elderly (“PACE”);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increased costs and expenditures and our inability to execute or realize the benefits of our clinical and operational value initiatives;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dependence of our revenues and operations upon a limited number of government payors, including the risk of sudden loss of any of our government contracts;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our submissions to government payors may contain inaccurate or unsupportable information, including regarding risk adjustment scores of participants;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a significant percentage of our operations in the State of Colorado;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healthcare industry;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difficulty to predict our future operating results, which could cause such results to fall below any guidance, targets or goals we provide;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senior management team and other key employees;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failures by our suppliers to meet our needs, or limitations on our ability to effectively access new technology or medical products; </w:t>
      </w:r>
      <w:r>
        <mc:AlternateContent>
          <mc:Choice Requires="wps">
            <w:drawing>
              <wp:anchor behindDoc="0" distT="0" distB="0" distL="254000" distR="0" simplePos="0" locked="0" layoutInCell="1" allowOverlap="1" relativeHeight="116">
                <wp:simplePos x="0" y="0"/>
                <wp:positionH relativeFrom="column">
                  <wp:align>left</wp:align>
                </wp:positionH>
                <wp:positionV relativeFrom="line">
                  <wp:posOffset>635</wp:posOffset>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our operations effectively and maintain effective levels of service and participant satisfaction;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security breaches, loss of data or other disruptions, including disruptions in our disaster recovery systems, causing the compromise of sensitive information or preventing us from accessing critical information;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accurately estimate incurred but not reported medical expense or the risk scores of our participants;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the termination of our leases, increases in rent or inability to renew or extend leases;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status as a “controlled company”;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compliance costs when we cease being an emerging growth company in fiscal year 2027;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our stock price;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the continued listing requirements of Nasdaq; and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the section entitled “Risk Factors” in our 2025 10-K, and our subsequent filings with the SEC.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any accompanying prospectus supplement or other documents incorporated herein or therein by reference are made only as of the date thereof. We undertake no obligation to update or revise any forward-looking statement as a result of new information, future events or otherwise, except as otherwise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and the documents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ABIN"/>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INNOVAGE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We Are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the Company served approximately 8,050 PACE participants, making it the largest PACE provider in the United States (the “U.S.”) based on participants served, and operated 20 PACE centers across California, Colorado, Florida, New Mexico, Pennsylvania and Virginia.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and private pay sources. Additionally, under the Medicare Prescription Drug Plan, the Centers for Medicare and Medicaid Services share part of the risk for providing prescription medication to the Company’s participants. We deliver our participant-centered care through the InnovAge Platform (as defined herein), which is designed to bring high-touch, comprehensive, value-based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Importantly, we believe our vertically integrated model can deliver better health outcomes and reduce unnecessary or avoidable medical spend.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which occurred in March 2021, we changed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 of our company from TCO Group Holdings, Inc. to InnovAge Holding Corp. In this prospectus, the terms “we”, “our”, “our company” and “us” may refer, as the context requires, to InnovAge or collectively to InnovAge and its subsidiaries.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headquartered in Denver, Colorado and manages its business as one reportable segment, PACE.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internet website is www.innovage.com. We include our website address on this prospectus for reference only. The information contained on our website is not incorporated by reference into this prospectus or any other report or document we file with, or furnish to, the SEC.</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consider the specific risks described in our most recent Annual Report on Form 10-K filed with the SEC, the risk factors described under the caption “Risk Factors” in any applicable prospectus supplement and any risk factors set forth in our other filings with the SEC, pursuant to Sections 13(a), 13(c), 14 or 15(d) of the Exchange Act, before making an investment decision. See “Where You Can Find More Information” and “Incorporation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When the selling security holders offer and sell any securities pursuant to a prospectus supplement, additional risk factors relevant to such securities may be included in the applicable prospectus supplement.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not selling any shares of common stock under this prospectus, and we will not receive any of the proceeds from the sale of shares of common stock by the selling security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C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InnovAge Holding Corp. has one class of securities, our common stock, par value $0.001 per share, registered under Section 12 of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terms of our common stock is based upon our Second Amended and Restated Certificate of Incorporation, as amended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3.1, 3.2 and 3.3 to the registration statement of which this prospectus forms a part. We encourage you to read these documents and the applicable sections of the Delaware General Corporation Law, as amended (the “DGCL”), carefully.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500,000,000 shares of common stock, par value $0.001 per share (“common stock”) and 50,000,000 shares of undesignated preferred stock, par value $0.001 per share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apply to shares of stock outstanding at the time, holders of outstanding shares of common stock are entitled to receive dividends out of assets legally available at the times and in the amounts as our board of directors (the “Board”) may determine from time to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outstanding share of common stock is entitled to one vote on all matters submitted to a vote of shareholders;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to vote thereon. Holders of shares of our common stock have no cumulative voting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not entitled to preemptive or other similar subscription rights to purchase any of our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 or redemption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neither convertible nor redeemable.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certificate of incorporation and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the Company by means of a tender offer, a proxy contest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takeover attempt that a shareholder might consider in its best interest, including those attempts that might result in a premium over the prevailing market price for the shares of common stock held by shareholders.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include: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Classified board</w:t>
      </w:r>
      <w:r>
        <w:rPr>
          <w:rFonts w:ascii="Times New Roman;Times;serif" w:hAnsi="Times New Roman;Times;serif"/>
          <w:b w:val="false"/>
          <w:i w:val="false"/>
          <w:caps w:val="false"/>
          <w:smallCaps w:val="false"/>
          <w:color w:val="000000"/>
          <w:spacing w:val="4"/>
          <w:sz w:val="20"/>
        </w:rPr>
        <w:t xml:space="preserve">.   Our certificate of incorporation provides that our Board is divided into three classes of directors, with the classes as nearly equal in number as possible, and with the directors serving three-year terms. As a result, approximately one-third of our Board will be elected each year. The classification of directors has the effect of making it more difficult for shareholders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Shareholder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precludes shareholder action by written consent at any time when Ignite Aggregator LP (an investment vehicle owned by certain funds advised by Apax Partners LLP) and funds affiliated with Welsh, Carson, Anderson &amp; Stowe (together, our “Principal Shareholders”) beneficially own, in the aggregate, less than 35% in voting power of our outstanding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meetings of shareholders</w:t>
      </w:r>
      <w:r>
        <w:rPr>
          <w:rFonts w:ascii="Times New Roman;Times;serif" w:hAnsi="Times New Roman;Times;serif"/>
          <w:b w:val="false"/>
          <w:i w:val="false"/>
          <w:caps w:val="false"/>
          <w:smallCaps w:val="false"/>
          <w:color w:val="000000"/>
          <w:spacing w:val="4"/>
          <w:sz w:val="20"/>
        </w:rPr>
        <w:t xml:space="preserve">.   Our certificate of incorporation and bylaws provide that, except as required by law, special meetings of our shareholders may be called at any time only by or at the direction of our Board or the chair of our Board; provided, however, at any time when the Principal Shareholders beneficially own, in the aggregate, at least 35% in voting power of our outstanding common stock, special meetings of our shareholders shall also be called by our Board or the chair of our Board at the request of the Principal Shareholders. Our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procedures</w:t>
      </w:r>
      <w:r>
        <w:rPr>
          <w:rFonts w:ascii="Times New Roman;Times;serif" w:hAnsi="Times New Roman;Times;serif"/>
          <w:b w:val="false"/>
          <w:i w:val="false"/>
          <w:caps w:val="false"/>
          <w:smallCaps w:val="false"/>
          <w:color w:val="000000"/>
          <w:spacing w:val="4"/>
          <w:sz w:val="20"/>
        </w:rPr>
        <w:t xml:space="preserve">.   Our bylaws establish advance-notice procedures with respect to shareholder proposals and the nomination of candidates for election as directors, other than nominations made by or at the direction of our Board or a committee of our board of directors, provided, however, that at any time when the Principal Shareholders beneficially own,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while a shareholder of record, in proper form, of the shareholder’s intention to bring that business before the meeting. Although the bylaws do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the Principal Shareholders pursuant to the Director Nomination Agreement dated March 8, 2021 (the “Director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val="false"/>
          <w:i w:val="false"/>
          <w:caps w:val="false"/>
          <w:smallCaps w:val="false"/>
          <w:color w:val="000000"/>
          <w:spacing w:val="4"/>
          <w:sz w:val="20"/>
        </w:rPr>
        <w:t>.   Our certificate of incorporation provides that, subject to the rights granted to one or more series of preferred stock then outstanding, prior to the first date on which the Principal Shareholders cease to beneficially own, in the aggregate, 40% or more of our outstanding common stock, a director may be removed with or without cause by the by the affirmative vote of at least a majority of the voting power of the then-outstanding shares of stock, voting together as a single class;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In addition, our certificate of incorporation also provides that, subject to the rights granted to one or more series of preferred stock then outstanding, any newly created directorship on our Board that results from an increase in the number of directors and any vacancy occurring on our Board may only be filled by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then in office, even if less than a quorum, or by a sole remaining director (and not by the shareholders). At any time the Principal Shareholders own, in the aggregate, over 40% of the voting power of our common stock then outstanding, or either Principal Shareholder individually owns over 20% of the voting power of our common stock then outstanding, a majority of the Board, including at least one director nominated by each of the Principal Shareholders, is required to constitute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Supermajority approval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and bylaws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our common stock then outstanding, the affirmative vote of the holders of a majority of our common stock, voting together as a single class, is required to amend, alter, rescind or repeal our bylaws. From and after the date on which the Principal Shareholders beneficially own less than 50% of our common stock then outstanding,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common stock, voting together as a single class, is required for any amendment, alteration, rescission or repeal of our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provides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 requiring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for shareholders to amend our bylaws; </w:t>
      </w:r>
      <w:r>
        <mc:AlternateContent>
          <mc:Choice Requires="wps">
            <w:drawing>
              <wp:anchor behindDoc="0" distT="7874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providing for a classified board of directors (the election and term of our directors); </w:t>
      </w:r>
      <w:r>
        <mc:AlternateContent>
          <mc:Choice Requires="wps">
            <w:drawing>
              <wp:anchor behindDoc="0" distT="7874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resignation and removal of directors; </w:t>
      </w:r>
      <w:r>
        <mc:AlternateContent>
          <mc:Choice Requires="wps">
            <w:drawing>
              <wp:anchor behindDoc="0" distT="7874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entering into business combinations with interested shareholders; </w:t>
      </w:r>
      <w:r>
        <mc:AlternateContent>
          <mc:Choice Requires="wps">
            <w:drawing>
              <wp:anchor behindDoc="0" distT="7874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shareholder action by written consent; </w:t>
      </w:r>
      <w:r>
        <mc:AlternateContent>
          <mc:Choice Requires="wps">
            <w:drawing>
              <wp:anchor behindDoc="0" distT="7874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calling special meetings of shareholders;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filling vacancies on our Board and newly created directorships;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eliminating monetary damages for breaches of fiduciary duty by a director; and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provision requiring that the above provisions be amended only with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xml:space="preserve">.   Our authorized but unissued shares of common stock and preferred stock will be available for future issuance 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protect the continuity of our management and possibly deprive our shareholders of opportunities to sell their shares of common stock at prices higher than prevailing market prices.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opted out of Section 203; however, our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our Board approved either the business combination or the transaction which resulted in the shareholder becoming an interested shareholder;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our Board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outstanding voting stock that is not owned by the interested shareholder.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Principal Shareholders, and any of their direct or indirect transferees and any group as to which such persons are a party, do not constitute “interested shareholders” for purposes of this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shareholders have appraisal rights in connection with a merger or consolidation of us. Pursuant to the DGCL, shareholders who properly request and perfect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in connection with such merger or consolidation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Forum selection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permits corporations to adopt provisions renouncing any interest or expectancy in certain opportunities that are presented to the corporation or its officers, directors or shareholders.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provides that, to the fullest extent permitted by law, neither the Principal Shareholders or any director who is not employed by us (including any non-employee director who serves as one of our officers in both her or his director and officer capacities) or his or her affiliates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and officers to corporations and their shareholders for monetary damages for breaches of directors’ or officers’ fiduciary duties, subject to certain exceptions. Our certificate of incorporation includes a provision that eliminates the personal liability of directors and officers for monetary damages for breaches of fiduciary duty as a director or officer, as applicable, except to the extent such exemption from liability or limitation thereof is not permitted under the DGCL. The effect of these provisions is to eliminate our rights and those of our shareholders, through shareholders’ derivative suits on our behalf, to recover monetary damages from a director for breach of fiduciary duty as a director, and to eliminate the rights of our shareholders to recover monetary damages directly (not through shareholders’ derivative suits) from an officer for breach of fiduciary duty as an officer, in each case, including breaches resulting from grossly negligent behavior. However, exculpation will not apply to any director or officer, if the director or officer has acted in bad faith, knowingly or intentionally violated the law, authorized illegal dividends or redemptions, in the case of a director, or derived an improper benefit from his or her actions as a director or officer, as applicable.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indemnification and advancement provisions that are included in our certificate of incorporation and bylaws may discourage shareholders from bringing a lawsuit against directors or officers for breaches of their fiduciary duties. These provisions also may have the effect of reducing the likelihood of derivative litigation against directors,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Nasdaq under the symbol “INNV.”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SSH"/>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from time to time by selling security holders of up to 112,988,070 shares of our common stock. All such shares of common stock that are being registered under the Securities Act for resale are expected to be freely tradable. The resale by selling security holders of a significant number of shares of our common stock that are registered for resale at any given time, or the perception that these sales may occur, could cause the market price of our common stock to decline and to be highly volatile. When we refer to “selling security holders” in this prospectus, we refer to TCO Group Holdings, L.P. and the transferees, pledgees or other successors in interest that hold any of TCO Group Holdings, L.P.’s interest in the shares of common stock received after the date of this prospectus from the selling security holder as a gift, pledge, partnership distribution, member distribution, stockholder distribution or other transfer.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below, the following table sets forth certain information as of July 15, 2026 regarding the beneficial ownership of the common stock being offered by the TCO Group Holdings, L.P. The applicable percentage ownership of common stock is based on 135,736,393 shares of common stock outstanding as of April 30, 2026. Information with respect to common stock owned beneficially after the offering assumes the sale of all of the common stock registered hereby and assumes no further acquisitions or dispositions of securities by TCO Group Holdings, L.P. TCO Group Holdings, L.P. may offer and sell some, all or none of their common stock pursuant to this prospectus. We cannot advise you as to whether TCO Group Holdings, L.P. or any of its transferees will in fact sell any or all of such shares of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the section titled “Plan of Distribution” in this prospectus for further information regarding the method of distributing these securities. </w:t>
      </w:r>
    </w:p>
    <w:tbl>
      <w:tblPr>
        <w:tblW w:w="8812" w:type="dxa"/>
        <w:jc w:val="left"/>
        <w:tblInd w:w="1393" w:type="dxa"/>
        <w:tblLayout w:type="fixed"/>
        <w:tblCellMar>
          <w:top w:w="0" w:type="dxa"/>
          <w:left w:w="0" w:type="dxa"/>
          <w:bottom w:w="28" w:type="dxa"/>
          <w:right w:w="0" w:type="dxa"/>
        </w:tblCellMar>
      </w:tblPr>
      <w:tblGrid>
        <w:gridCol w:w="1882"/>
        <w:gridCol w:w="109"/>
        <w:gridCol w:w="109"/>
        <w:gridCol w:w="109"/>
        <w:gridCol w:w="109"/>
        <w:gridCol w:w="1306"/>
        <w:gridCol w:w="109"/>
        <w:gridCol w:w="109"/>
        <w:gridCol w:w="109"/>
        <w:gridCol w:w="109"/>
        <w:gridCol w:w="109"/>
        <w:gridCol w:w="601"/>
        <w:gridCol w:w="109"/>
        <w:gridCol w:w="109"/>
        <w:gridCol w:w="109"/>
        <w:gridCol w:w="109"/>
        <w:gridCol w:w="109"/>
        <w:gridCol w:w="1306"/>
        <w:gridCol w:w="109"/>
        <w:gridCol w:w="109"/>
        <w:gridCol w:w="109"/>
        <w:gridCol w:w="119"/>
        <w:gridCol w:w="119"/>
        <w:gridCol w:w="378"/>
        <w:gridCol w:w="119"/>
        <w:gridCol w:w="119"/>
        <w:gridCol w:w="119"/>
        <w:gridCol w:w="119"/>
        <w:gridCol w:w="119"/>
        <w:gridCol w:w="378"/>
        <w:gridCol w:w="119"/>
        <w:gridCol w:w="156"/>
      </w:tblGrid>
      <w:tr>
        <w:trPr/>
        <w:tc>
          <w:tcPr>
            <w:tcW w:w="18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79"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Beneficially</w:t>
            </w:r>
            <w:r>
              <w:rPr/>
              <w:t xml:space="preserve"> </w:t>
              <w:br/>
            </w:r>
            <w:r>
              <w:rPr>
                <w:spacing w:val="-3"/>
              </w:rPr>
              <w:t>Owned Before</w:t>
            </w:r>
            <w:r>
              <w:rPr/>
              <w:t xml:space="preserve"> </w:t>
              <w:br/>
            </w:r>
            <w:r>
              <w:rPr>
                <w:spacing w:val="-3"/>
              </w:rPr>
              <w:t xml:space="preserve">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Being</w:t>
            </w:r>
            <w:r>
              <w:rPr/>
              <w:t xml:space="preserve"> </w:t>
              <w:br/>
            </w:r>
            <w:r>
              <w:rPr>
                <w:spacing w:val="-3"/>
              </w:rPr>
              <w:t xml:space="preserve">Offered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 Beneficially</w:t>
            </w:r>
            <w:r>
              <w:rPr/>
              <w:t xml:space="preserve"> </w:t>
              <w:br/>
            </w:r>
            <w:r>
              <w:rPr>
                <w:spacing w:val="-3"/>
              </w:rPr>
              <w:t>Owned After</w:t>
            </w:r>
            <w:r>
              <w:rPr/>
              <w:t xml:space="preserve"> </w:t>
              <w:br/>
            </w:r>
            <w:r>
              <w:rPr>
                <w:spacing w:val="-3"/>
              </w:rPr>
              <w:t xml:space="preserve">the Offering(*)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bottom w:val="single" w:sz="2" w:space="0" w:color="000000"/>
            </w:tcBorders>
            <w:tcMar>
              <w:bottom w:w="50" w:type="dxa"/>
            </w:tcMar>
            <w:vAlign w:val="center"/>
          </w:tcPr>
          <w:p>
            <w:pPr>
              <w:pStyle w:val="TableContents"/>
              <w:bidi w:val="0"/>
              <w:spacing w:before="0" w:after="0"/>
              <w:jc w:val="left"/>
              <w:rPr/>
            </w:pPr>
            <w:r>
              <w:rPr>
                <w:spacing w:val="-3"/>
              </w:rPr>
              <w:t>Name of Selling Security holder</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shd w:fill="CCEEFF" w:val="clear"/>
            <w:tcMar>
              <w:bottom w:w="0" w:type="dxa"/>
            </w:tcMar>
            <w:vAlign w:val="center"/>
          </w:tcPr>
          <w:p>
            <w:pPr>
              <w:pStyle w:val="TableContents"/>
              <w:bidi w:val="0"/>
              <w:spacing w:before="0" w:after="0"/>
              <w:jc w:val="left"/>
              <w:rPr/>
            </w:pPr>
            <w:r>
              <w:rPr>
                <w:spacing w:val="4"/>
              </w:rPr>
              <w:t>TCO Group Holdings,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that the selling security holder has sold all the shares of our common stock offered for sale under this prospectus. </w:t>
      </w:r>
      <w:r>
        <mc:AlternateContent>
          <mc:Choice Requires="wps">
            <w:drawing>
              <wp:anchor behindDoc="0" distT="9906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112,988,070 shares of common stock held by TCO Group Holdings, L.P., which is the legal name of the investment vehicle through which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r>
        <mc:AlternateContent>
          <mc:Choice Requires="wps">
            <w:drawing>
              <wp:anchor behindDoc="0" distT="4826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(“WCAS XII-C”), WCAS XII Co-Investors LLC (“WCAS XII-Co”), WCAS Management Corporation and WCAS -Co-Invest Holdco, L.P. (“WCAS Co-H” and, collectively, the “WCAS Investor”) consent to 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 — 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L.P., 601 Lexington Avenue, 53rd Floor, New York, New York, and c/o Welsh, Carson, Anderson and Stowe, 599 Lexington Avenue, Suite 1800, New York, New York 10022.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Relationships with 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Director Nomination Agreement (the “Director Nomination Agreement”), by and among the Company and the Principal Shareholders. The Director Nomination Agreement provides the Principal Shareholders the right to designate (i) all of the nominees for election to the Board for so long as the Principal Shareholders collectively beneficially own 40% or more of the total number of our shares of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TCO Holdings Group, L.P.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 Nomination Agreement also provides for certain consent rights for each of the Principal Shareholders so long as such stockholder owns at least 5% of the Original Amount, including for any change to the size of our Board. The Director Nomination Agreement terminates at such time as the Principal Shareholders own less than 5% of the Original Amount.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which registrations may in certain circumstances be “shelf registrations,” such as the registration statement of which this prospectus is a part.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POD"/>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pursuant to this prospectus and any accompanying prospectus supplement, if required, may be sold by the selling security holders in any of the following ways: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one or more purchasers;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brokers-dealers; or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if required, will be prepared for each offering that will disclose the terms of the offering, including the name or names of any underwriters, dealers or agents and the amounts of securities underwritten or purchased by them (if any), the purchase price of the securities and the proceeds to the selling security holders from the sale, any delayed delivery arrangements, any underwriting discounts and other items constituting compensation to underwriters, dealers or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security holders may use any one or more of the following methods when selling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underwritten transactions;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distributions and/or secondary distributions;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the over-the-counter market;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security holders to sell a specified number of such securities at a stipulated price per share;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(which may involve crosses) in which the broker-dealer so engaged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and delivery of shares of common stock to close out short positions;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broker-dealers of shares of common stock that are loaned or pledged to such broker-dealers;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also sell securities under Rule 144 under the Securities Act, if available, or pursuant to other available exemptions from the registration requirements under the Securities Act, rather than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distribute the securities covered by this prospectus from time to time in one or more transactions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market prices; or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change the price of the securities offered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or agents designated by them, may directly solicit, from time to time, offers to purchase the securities. Any such agent may be deemed to be an underwriter as that term is defined in the Securities Act. Any agents involved in the offer or sale of the securities will be named, and any commissions payable to these agents will be described, in the applicable prospectus supplement, if required. The agents may also be our customers or may engage in transactions with or perform services for us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any underwriters in the sale of the securities in respect of which this prospectus is delivered, the selling security holders will enter into an underwriting agreement with those underwriters at the time of sale to them. The names of these underwriters and the terms of the transaction will be set forth in the applicable prospectus supplement, if required, which will be used by the underwriters to make resales of the securities in respect of which this prospectus is delivered to the public. The underwriters may also be our or any of the selling security holders’ customers or may engage in transactions with or perform services for us or any of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 dealer in the sale of the securities in respect of which this prospectus is delivered, the selling security holders will sell those securities to the dealer, as principal. The dealer may then resell those securities to the public at varying prices to be determined by the dealer at the time of resale. The dealers may also be our or any of the selling security holders’ customers or may engage in transactions with, or perform services for us or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the selling security holders and the sale thereof may be made by the selling security holders directly to institutional investors or others, who may be deemed to be underwriters within the meaning of the Securities Act with respect to any resale thereof. The terms of any such sales will be described in the prospectus supplement, if required, relating thereto. Electronic media, including the Internet, may be used to sell offered securities directly.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 holders may agree to indemnify underwriters, dealers and agents who participate in the distribution of securities against certain liabilities to which they may become subject in connection with the sale of the securities, including liabilities arising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and accompanying prospectus supplement, if required, in electronic form may be made available on the web sites maintained by the underwriters. The underwriters may agree to allocate a number of securities for sale to their online brokerage account holders. Such allocations of securities for internet distributions will be made on the same basis as other allocations. In addition, securities may be sold by the underwriters to securities dealers who resell securities to online brokerage account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guidelines of the Financial Industry Regulatory Authority, or FINRA, the maximum commission or discount to be received by any FINRA member or independent broker dealer will not exceed 8% of the gross proceeds from the sale of the securities offered pursuant to this prospectus and any applicable prospectus supplement, if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sales of the shares of common stock under this prospectus, the selling security holders may enter into hedging transactions with broker-dealers, who may in turn engage in short sales of the shares of common stock in the course of hedging the positions they assume. The selling security holders also may sell shares of common stock short and deliver them to close out the short positions or loan or pledge the shares of common stock to broker-dealers that in turn may sell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from time to time pledge or grant a security interest in some or all of the shares of common stock owned by them and, if any selling stockholder defaults in the performance of its secured obligations, the pledgees or secured parties may offer and sell the shares of common stock from time to time under this prospectus after we have filed a supplement to this prospectus if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also may transfer the shares of common stock in other circumstances, including through distributions to limited partners, general partners, shareholders or other equityholders of the selling security holder or its affiliates. In that case, the transferees, pledgees or other successors in interest will be the selling security holders for purposes of this prospectus and may sell the shares of common stock from time to time under this prospectus after we have filed a supplement to this prospectus if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supplementing or amending the list of selling security holders to include the pledgee, transferee or other successors in interest as selling security holders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of securities under the registration statement of which this prospectus forms a part and in compliance with applicable law, underwriters or broker-dealers may engage in transactions that stabilize or maintain the market price of the securities at levels above those that might otherwise prevail in the open market. Specifically, underwriters or broker-dealers may over-allot in connection with offerings, creating a short position in the securities for their own accounts. For the purpose of covering a syndicate short position or stabilizing the price of the securities, the underwriters or broker-dealers may place bids for the securities or effect purchases of the securities in the open market. Finally, the underwriters may impose a penalty whereby selling concessions allowed to syndicate members or other broker-dealers for distribution of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LEMA"/>
      <w:bookmarkEnd w:id="29"/>
      <w:r>
        <w:rPr>
          <w:rFonts w:ascii="calibri;arial;sans-serif" w:hAnsi="calibri;arial;sans-serif"/>
          <w:b w:val="false"/>
          <w:i w:val="false"/>
          <w:caps w:val="false"/>
          <w:smallCaps w:val="false"/>
          <w:color w:val="000000"/>
          <w:sz w:val="16"/>
        </w:rPr>
        <w:t>​</w:t>
      </w:r>
      <w:bookmarkStart w:id="30" w:name="b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in this prospectus will be passed upon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Additional legal matters may be passed upon for the selling security holders or any underwriters, dealers or agents, by counsel that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InnovAge Holding Corp. and subsidiaries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33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 Shares</w:t>
      </w:r>
      <w:r>
        <w:rPr>
          <w:rFonts w:ascii="Times New Roman;Times;serif" w:hAnsi="Times New Roman;Times;serif"/>
          <w:b/>
          <w:i w:val="false"/>
          <w:caps w:val="false"/>
          <w:smallCaps w:val="false"/>
          <w:color w:val="000000"/>
          <w:spacing w:val="6"/>
          <w:sz w:val="28"/>
        </w:rPr>
        <w:t xml:space="preserve"> </w:t>
      </w:r>
    </w:p>
    <w:p>
      <w:pPr>
        <w:pStyle w:val="TextBody"/>
        <w:bidi w:val="0"/>
        <w:spacing w:before="1720" w:after="283"/>
        <w:jc w:val="center"/>
        <w:rPr>
          <w:caps w:val="false"/>
          <w:smallCaps w:val="false"/>
          <w:color w:val="000000"/>
        </w:rPr>
      </w:pPr>
      <w:r>
        <w:rPr>
          <w:caps w:val="false"/>
          <w:smallCaps w:val="false"/>
          <w:color w:val="000000"/>
        </w:rPr>
        <w:drawing>
          <wp:inline distT="0" distB="0" distL="0" distR="0">
            <wp:extent cx="2400300" cy="695325"/>
            <wp:effectExtent l="0" t="0" r="0" b="0"/>
            <wp:docPr id="1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 descr=""/>
                    <pic:cNvPicPr>
                      <a:picLocks noChangeAspect="1" noChangeArrowheads="1"/>
                    </pic:cNvPicPr>
                  </pic:nvPicPr>
                  <pic:blipFill>
                    <a:blip r:embed="rId18"/>
                    <a:stretch>
                      <a:fillRect/>
                    </a:stretch>
                  </pic:blipFill>
                  <pic:spPr bwMode="auto">
                    <a:xfrm>
                      <a:off x="0" y="0"/>
                      <a:ext cx="2400300" cy="6953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196"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INNOVAGE HOLDING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14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Barclays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Goldman Sachs &amp; Co. LLC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Wells Fargo Securities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UBS Investment Bank</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William Blair</w:t>
      </w:r>
      <w:r>
        <w:rPr>
          <w:rFonts w:ascii="Times New Roman;Times;serif" w:hAnsi="Times New Roman;Times;serif"/>
          <w:b/>
          <w:i w:val="false"/>
          <w:caps w:val="false"/>
          <w:smallCaps w:val="false"/>
          <w:color w:val="000000"/>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KeyBanc Capital Markets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Academy Securities</w:t>
      </w:r>
      <w:r>
        <w:rPr>
          <w:rFonts w:ascii="Times New Roman;Times;serif" w:hAnsi="Times New Roman;Times;serif"/>
          <w:b/>
          <w:i w:val="false"/>
          <w:caps w:val="false"/>
          <w:smallCaps w:val="false"/>
          <w:color w:val="000000"/>
          <w:sz w:val="36"/>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Ramirez &amp; Co., Inc.</w:t>
      </w:r>
      <w:r>
        <w:rPr>
          <w:rFonts w:ascii="Times New Roman;Times;serif" w:hAnsi="Times New Roman;Times;serif"/>
          <w:b/>
          <w:i w:val="false"/>
          <w:caps w:val="false"/>
          <w:smallCaps w:val="false"/>
          <w:color w:val="000000"/>
          <w:spacing w:val="7"/>
          <w:sz w:val="36"/>
        </w:rPr>
        <w:t xml:space="preserve"> </w:t>
      </w:r>
    </w:p>
    <w:p>
      <w:pPr>
        <w:pStyle w:val="TextBody"/>
        <w:bidi w:val="0"/>
        <w:spacing w:before="151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4376/000183437626000049/innv-20260630.htm" TargetMode="External"/><Relationship Id="rId4" Type="http://schemas.openxmlformats.org/officeDocument/2006/relationships/hyperlink" Target="https://www.sec.gov/Archives/edgar/data/1834376/000183437625000062/ex41-descriptionofsecuriti.htm" TargetMode="External"/><Relationship Id="rId5" Type="http://schemas.openxmlformats.org/officeDocument/2006/relationships/hyperlink" Target="https://www.sec.gov/ix?doc=/Archives/edgar/data/1834376/000183437626000049/innv-20260630.htm" TargetMode="External"/><Relationship Id="rId6" Type="http://schemas.openxmlformats.org/officeDocument/2006/relationships/image" Target="media/image1.jpeg"/><Relationship Id="rId7" Type="http://schemas.openxmlformats.org/officeDocument/2006/relationships/hyperlink" Target="https://www.sec.gov/ix?doc=/Archives/edgar/data/1834376/000183437625000062/innv-20250630.htm" TargetMode="External"/><Relationship Id="rId8" Type="http://schemas.openxmlformats.org/officeDocument/2006/relationships/hyperlink" Target="https://www.sec.gov/ix?doc=/Archives/edgar/data/1834376/000114036125039092/ny20055646x1_def14a-combined.htm" TargetMode="External"/><Relationship Id="rId9" Type="http://schemas.openxmlformats.org/officeDocument/2006/relationships/hyperlink" Target="https://www.sec.gov/ix?doc=/Archives/edgar/data/1834376/000183437625000074/innv-20250930.htm" TargetMode="External"/><Relationship Id="rId10" Type="http://schemas.openxmlformats.org/officeDocument/2006/relationships/hyperlink" Target="https://www.sec.gov/ix?doc=/Archives/edgar/data/1834376/000183437626000013/innv-20251231.htm" TargetMode="External"/><Relationship Id="rId11" Type="http://schemas.openxmlformats.org/officeDocument/2006/relationships/hyperlink" Target="https://www.sec.gov/ix?doc=/Archives/edgar/data/1834376/000183437626000022/innv-20260331.htm" TargetMode="External"/><Relationship Id="rId12" Type="http://schemas.openxmlformats.org/officeDocument/2006/relationships/hyperlink" Target="https://www.sec.gov/ix?doc=/Archives/edgar/data/1834376/000183437625000054/innv-20250808.htm" TargetMode="External"/><Relationship Id="rId13" Type="http://schemas.openxmlformats.org/officeDocument/2006/relationships/hyperlink" Target="https://www.sec.gov/ix?doc=/Archives/edgar/data/1834376/000183437625000065/innv-20251017.htm" TargetMode="External"/><Relationship Id="rId14" Type="http://schemas.openxmlformats.org/officeDocument/2006/relationships/hyperlink" Target="https://www.sec.gov/ix?doc=/Archives/edgar/data/1834376/000183437625000078/innv-20251204.htm" TargetMode="External"/><Relationship Id="rId15" Type="http://schemas.openxmlformats.org/officeDocument/2006/relationships/hyperlink" Target="https://www.sec.gov/ix?doc=/Archives/edgar/data/1834376/000183437626000005/innv-20260128.htm" TargetMode="External"/><Relationship Id="rId16" Type="http://schemas.openxmlformats.org/officeDocument/2006/relationships/hyperlink" Target="https://www.sec.gov/ix?doc=/Archives/edgar/data/1834376/000183437626000025/innv-20260511.htm" TargetMode="External"/><Relationship Id="rId17" Type="http://schemas.openxmlformats.org/officeDocument/2006/relationships/hyperlink" Target="https://www.sec.gov/Archives/edgar/data/1834376/000183437625000062/ex41-descriptionofsecuriti.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26717</Words>
  <Characters>143741</Characters>
  <CharactersWithSpaces>171540</CharactersWithSpaces>
  <Paragraphs>1687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