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3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4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4" w:lineRule="exact"/>
        <w:rPr>
          <w:sz w:val="24"/>
          <w:szCs w:val="24"/>
          <w:color w:val="auto"/>
        </w:rPr>
      </w:pPr>
    </w:p>
    <w:p>
      <w:pPr>
        <w:ind w:left="4640" w:right="2000" w:hanging="2650"/>
        <w:spacing w:after="0" w:line="249" w:lineRule="auto"/>
        <w:tabs>
          <w:tab w:leader="none" w:pos="3003"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49"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000" w:hanging="1000"/>
        <w:spacing w:after="0"/>
        <w:tabs>
          <w:tab w:leader="none" w:pos="300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EXCHANGE ACT OF 1934</w:t>
      </w:r>
    </w:p>
    <w:p>
      <w:pPr>
        <w:spacing w:after="0" w:line="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 to _________</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001-40159</w:t>
      </w:r>
    </w:p>
    <w:p>
      <w:pPr>
        <w:spacing w:after="0" w:line="1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4445</wp:posOffset>
            </wp:positionV>
            <wp:extent cx="169735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InnovAge Holding Corp.</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tbl>
      <w:tblPr>
        <w:tblLayout w:type="fixed"/>
        <w:tblInd w:w="1580" w:type="dxa"/>
        <w:tblCellMar>
          <w:top w:w="0" w:type="dxa"/>
          <w:left w:w="0" w:type="dxa"/>
          <w:bottom w:w="0" w:type="dxa"/>
          <w:right w:w="0" w:type="dxa"/>
        </w:tblCellMar>
      </w:tblPr>
      <w:tr>
        <w:trPr>
          <w:trHeight w:val="190"/>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81-0710819</w:t>
            </w:r>
          </w:p>
        </w:tc>
      </w:tr>
      <w:tr>
        <w:trPr>
          <w:trHeight w:val="161"/>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01"/>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8950 E. Lowry Boulevard</w:t>
            </w:r>
          </w:p>
        </w:tc>
        <w:tc>
          <w:tcPr>
            <w:tcW w:w="15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80230</w:t>
            </w:r>
          </w:p>
        </w:tc>
      </w:tr>
      <w:tr>
        <w:trPr>
          <w:trHeight w:val="148"/>
        </w:trPr>
        <w:tc>
          <w:tcPr>
            <w:tcW w:w="6000" w:type="dxa"/>
            <w:vAlign w:val="bottom"/>
          </w:tcPr>
          <w:p>
            <w:pPr>
              <w:jc w:val="center"/>
              <w:ind w:right="3446"/>
              <w:spacing w:after="0" w:line="149" w:lineRule="exact"/>
              <w:rPr>
                <w:sz w:val="20"/>
                <w:szCs w:val="20"/>
                <w:color w:val="auto"/>
              </w:rPr>
            </w:pPr>
            <w:r>
              <w:rPr>
                <w:rFonts w:ascii="Times New Roman" w:cs="Times New Roman" w:eastAsia="Times New Roman" w:hAnsi="Times New Roman"/>
                <w:sz w:val="14"/>
                <w:szCs w:val="14"/>
                <w:b w:val="1"/>
                <w:bCs w:val="1"/>
                <w:color w:val="auto"/>
              </w:rPr>
              <w:t>Denver, CO</w:t>
            </w:r>
          </w:p>
        </w:tc>
        <w:tc>
          <w:tcPr>
            <w:tcW w:w="15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60" w:type="dxa"/>
            <w:vAlign w:val="bottom"/>
          </w:tcPr>
          <w:p>
            <w:pPr>
              <w:spacing w:after="0"/>
              <w:rPr>
                <w:sz w:val="16"/>
                <w:szCs w:val="16"/>
                <w:color w:val="auto"/>
              </w:rPr>
            </w:pPr>
          </w:p>
        </w:tc>
      </w:tr>
      <w:tr>
        <w:trPr>
          <w:trHeight w:val="332"/>
        </w:trPr>
        <w:tc>
          <w:tcPr>
            <w:tcW w:w="6000" w:type="dxa"/>
            <w:vAlign w:val="bottom"/>
          </w:tcPr>
          <w:p>
            <w:pPr>
              <w:jc w:val="right"/>
              <w:ind w:right="1366"/>
              <w:spacing w:after="0"/>
              <w:rPr>
                <w:sz w:val="20"/>
                <w:szCs w:val="20"/>
                <w:color w:val="auto"/>
              </w:rPr>
            </w:pPr>
            <w:r>
              <w:rPr>
                <w:rFonts w:ascii="Times New Roman" w:cs="Times New Roman" w:eastAsia="Times New Roman" w:hAnsi="Times New Roman"/>
                <w:sz w:val="16"/>
                <w:szCs w:val="16"/>
                <w:b w:val="1"/>
                <w:bCs w:val="1"/>
                <w:color w:val="auto"/>
              </w:rPr>
              <w:t>(844) 803-8745</w:t>
            </w:r>
          </w:p>
        </w:tc>
        <w:tc>
          <w:tcPr>
            <w:tcW w:w="1560" w:type="dxa"/>
            <w:vAlign w:val="bottom"/>
          </w:tcPr>
          <w:p>
            <w:pPr>
              <w:spacing w:after="0"/>
              <w:rPr>
                <w:sz w:val="24"/>
                <w:szCs w:val="24"/>
                <w:color w:val="auto"/>
              </w:rPr>
            </w:pPr>
          </w:p>
        </w:tc>
      </w:tr>
      <w:tr>
        <w:trPr>
          <w:trHeight w:val="212"/>
        </w:trPr>
        <w:tc>
          <w:tcPr>
            <w:tcW w:w="6000" w:type="dxa"/>
            <w:vAlign w:val="bottom"/>
          </w:tcPr>
          <w:p>
            <w:pPr>
              <w:jc w:val="center"/>
              <w:ind w:left="2026"/>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560" w:type="dxa"/>
            <w:vAlign w:val="bottom"/>
          </w:tcPr>
          <w:p>
            <w:pPr>
              <w:spacing w:after="0"/>
              <w:rPr>
                <w:sz w:val="18"/>
                <w:szCs w:val="18"/>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57"/>
        </w:trPr>
        <w:tc>
          <w:tcPr>
            <w:tcW w:w="3760" w:type="dxa"/>
            <w:vAlign w:val="bottom"/>
            <w:tcBorders>
              <w:left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34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INNV</w:t>
            </w:r>
          </w:p>
        </w:tc>
        <w:tc>
          <w:tcPr>
            <w:tcW w:w="41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The Nasdaq Stock Market LLC (Nasdaq Global Select</w:t>
            </w:r>
          </w:p>
        </w:tc>
      </w:tr>
      <w:tr>
        <w:trPr>
          <w:trHeight w:val="214"/>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Market)</w:t>
            </w:r>
          </w:p>
        </w:tc>
      </w:tr>
    </w:tbl>
    <w:p>
      <w:pPr>
        <w:spacing w:after="0" w:line="189"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sectPr>
      </w:pPr>
    </w:p>
    <w:p>
      <w:pPr>
        <w:spacing w:after="0" w:line="10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76" w:lineRule="exact"/>
        <w:rPr>
          <w:sz w:val="24"/>
          <w:szCs w:val="24"/>
          <w:color w:val="auto"/>
        </w:rPr>
      </w:pPr>
    </w:p>
    <w:p>
      <w:pPr>
        <w:sectPr>
          <w:pgSz w:w="11900" w:h="16838" w:orient="portrait"/>
          <w:cols w:equalWidth="0" w:num="4">
            <w:col w:w="2580" w:space="720"/>
            <w:col w:w="140" w:space="320"/>
            <w:col w:w="2560" w:space="720"/>
            <w:col w:w="4220"/>
          </w:cols>
          <w:pgMar w:left="320" w:top="229"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6"/>
          <w:szCs w:val="16"/>
          <w:b w:val="1"/>
          <w:bCs w:val="1"/>
          <w:color w:val="auto"/>
        </w:rPr>
        <w:t>x</w:t>
      </w:r>
    </w:p>
    <w:p>
      <w:pPr>
        <w:spacing w:after="0" w:line="200" w:lineRule="exact"/>
        <w:rPr>
          <w:sz w:val="24"/>
          <w:szCs w:val="24"/>
          <w:color w:val="auto"/>
        </w:rPr>
      </w:pPr>
    </w:p>
    <w:p>
      <w:pPr>
        <w:sectPr>
          <w:pgSz w:w="11900" w:h="16838" w:orient="portrait"/>
          <w:cols w:equalWidth="0" w:num="6">
            <w:col w:w="2580" w:space="720"/>
            <w:col w:w="140" w:space="320"/>
            <w:col w:w="2560" w:space="720"/>
            <w:col w:w="180" w:space="280"/>
            <w:col w:w="2580" w:space="720"/>
            <w:col w:w="460"/>
          </w:cols>
          <w:pgMar w:left="320" w:top="229" w:right="319" w:bottom="1440" w:gutter="0" w:footer="0" w:header="0"/>
          <w:type w:val="continuous"/>
        </w:sectPr>
      </w:pPr>
    </w:p>
    <w:p>
      <w:pPr>
        <w:spacing w:after="0" w:line="11"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As of April 30, 2025, there were 135,012,952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774700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9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360" w:type="dxa"/>
            <w:vAlign w:val="bottom"/>
            <w:gridSpan w:val="7"/>
            <w:vMerge w:val="continue"/>
          </w:tcPr>
          <w:p>
            <w:pPr>
              <w:spacing w:after="0"/>
              <w:rPr>
                <w:sz w:val="24"/>
                <w:szCs w:val="24"/>
                <w:color w:val="auto"/>
              </w:rPr>
            </w:pPr>
          </w:p>
        </w:tc>
        <w:tc>
          <w:tcPr>
            <w:tcW w:w="8960" w:type="dxa"/>
            <w:vAlign w:val="bottom"/>
            <w:gridSpan w:val="18"/>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840" w:type="dxa"/>
            <w:vAlign w:val="bottom"/>
            <w:gridSpan w:val="5"/>
          </w:tcPr>
          <w:p>
            <w:pPr>
              <w:spacing w:after="0"/>
              <w:rPr>
                <w:sz w:val="24"/>
                <w:szCs w:val="24"/>
                <w:color w:val="auto"/>
              </w:rPr>
            </w:pP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54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2025 (Unaudited) and June 30, 2024</w:t>
            </w:r>
          </w:p>
        </w:tc>
        <w:tc>
          <w:tcPr>
            <w:tcW w:w="218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March 31, 2025 and 2024</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gridSpan w:val="2"/>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gridSpan w:val="2"/>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March 31, 2025 and 2024</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92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March 31, 2025 and 2024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as of March 31, 2025 (Unaudited)</w:t>
            </w:r>
          </w:p>
        </w:tc>
        <w:tc>
          <w:tcPr>
            <w:tcW w:w="5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40" w:type="dxa"/>
            <w:vAlign w:val="bottom"/>
            <w:gridSpan w:val="5"/>
          </w:tcPr>
          <w:p>
            <w:pPr>
              <w:spacing w:after="0"/>
              <w:rPr>
                <w:sz w:val="24"/>
                <w:szCs w:val="24"/>
                <w:color w:val="auto"/>
              </w:rPr>
            </w:pPr>
          </w:p>
        </w:tc>
        <w:tc>
          <w:tcPr>
            <w:tcW w:w="64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0" w:type="dxa"/>
            <w:vAlign w:val="bottom"/>
            <w:tcBorders>
              <w:top w:val="single" w:sz="8" w:color="0000FF"/>
            </w:tcBorders>
          </w:tcPr>
          <w:p>
            <w:pPr>
              <w:spacing w:after="0"/>
              <w:rPr>
                <w:sz w:val="24"/>
                <w:szCs w:val="24"/>
                <w:color w:val="auto"/>
              </w:rPr>
            </w:pPr>
          </w:p>
        </w:tc>
        <w:tc>
          <w:tcPr>
            <w:tcW w:w="248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40" w:type="dxa"/>
            <w:vAlign w:val="bottom"/>
            <w:gridSpan w:val="5"/>
          </w:tcPr>
          <w:p>
            <w:pPr>
              <w:spacing w:after="0"/>
              <w:rPr>
                <w:sz w:val="24"/>
                <w:szCs w:val="24"/>
                <w:color w:val="auto"/>
              </w:rPr>
            </w:pP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0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840" w:type="dxa"/>
            <w:vAlign w:val="bottom"/>
            <w:gridSpan w:val="5"/>
          </w:tcPr>
          <w:p>
            <w:pPr>
              <w:spacing w:after="0"/>
              <w:rPr>
                <w:sz w:val="24"/>
                <w:szCs w:val="24"/>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820" w:type="dxa"/>
            <w:vAlign w:val="bottom"/>
            <w:gridSpan w:val="4"/>
          </w:tcPr>
          <w:p>
            <w:pPr>
              <w:spacing w:after="0"/>
              <w:rPr>
                <w:sz w:val="24"/>
                <w:szCs w:val="24"/>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0" w:type="dxa"/>
            <w:vAlign w:val="bottom"/>
            <w:tcBorders>
              <w:top w:val="single" w:sz="8" w:color="0000FF"/>
            </w:tcBorders>
          </w:tcPr>
          <w:p>
            <w:pPr>
              <w:spacing w:after="0"/>
              <w:rPr>
                <w:sz w:val="24"/>
                <w:szCs w:val="24"/>
                <w:color w:val="auto"/>
              </w:rPr>
            </w:pPr>
          </w:p>
        </w:tc>
        <w:tc>
          <w:tcPr>
            <w:tcW w:w="820" w:type="dxa"/>
            <w:vAlign w:val="bottom"/>
            <w:gridSpan w:val="4"/>
          </w:tcPr>
          <w:p>
            <w:pPr>
              <w:spacing w:after="0"/>
              <w:rPr>
                <w:sz w:val="24"/>
                <w:szCs w:val="24"/>
                <w:color w:val="auto"/>
              </w:rPr>
            </w:pPr>
          </w:p>
        </w:tc>
        <w:tc>
          <w:tcPr>
            <w:tcW w:w="14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gridSpan w:val="2"/>
          </w:tcPr>
          <w:p>
            <w:pPr>
              <w:spacing w:after="0"/>
              <w:rPr>
                <w:sz w:val="24"/>
                <w:szCs w:val="24"/>
                <w:color w:val="auto"/>
              </w:rPr>
            </w:pPr>
          </w:p>
        </w:tc>
        <w:tc>
          <w:tcPr>
            <w:tcW w:w="720" w:type="dxa"/>
            <w:vAlign w:val="bottom"/>
            <w:gridSpan w:val="3"/>
          </w:tcPr>
          <w:p>
            <w:pPr>
              <w:spacing w:after="0"/>
              <w:rPr>
                <w:sz w:val="24"/>
                <w:szCs w:val="24"/>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40" w:type="dxa"/>
            <w:vAlign w:val="bottom"/>
            <w:gridSpan w:val="5"/>
          </w:tcPr>
          <w:p>
            <w:pPr>
              <w:spacing w:after="0"/>
              <w:rPr>
                <w:sz w:val="24"/>
                <w:szCs w:val="24"/>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2"/>
          </w:tcPr>
          <w:p>
            <w:pPr>
              <w:spacing w:after="0"/>
              <w:rPr>
                <w:sz w:val="24"/>
                <w:szCs w:val="24"/>
                <w:color w:val="auto"/>
              </w:rPr>
            </w:pPr>
          </w:p>
        </w:tc>
        <w:tc>
          <w:tcPr>
            <w:tcW w:w="46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840" w:type="dxa"/>
            <w:vAlign w:val="bottom"/>
            <w:gridSpan w:val="5"/>
          </w:tcPr>
          <w:p>
            <w:pPr>
              <w:spacing w:after="0"/>
              <w:rPr>
                <w:sz w:val="24"/>
                <w:szCs w:val="24"/>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840" w:type="dxa"/>
            <w:vAlign w:val="bottom"/>
            <w:gridSpan w:val="5"/>
          </w:tcPr>
          <w:p>
            <w:pPr>
              <w:spacing w:after="0"/>
              <w:rPr>
                <w:sz w:val="24"/>
                <w:szCs w:val="24"/>
                <w:color w:val="auto"/>
              </w:rPr>
            </w:pP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40" w:type="dxa"/>
            <w:vAlign w:val="bottom"/>
            <w:gridSpan w:val="5"/>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24"/>
                <w:szCs w:val="24"/>
                <w:color w:val="auto"/>
              </w:rPr>
            </w:pPr>
          </w:p>
        </w:tc>
        <w:tc>
          <w:tcPr>
            <w:tcW w:w="764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40" w:type="dxa"/>
            <w:vAlign w:val="bottom"/>
            <w:gridSpan w:val="10"/>
          </w:tcPr>
          <w:p>
            <w:pPr>
              <w:ind w:left="42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on Forward-Looking Statements</w:t>
      </w:r>
    </w:p>
    <w:p>
      <w:pPr>
        <w:spacing w:after="0" w:line="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212529"/>
        </w:rPr>
        <w:t xml:space="preserve">Throughout this Quarterly Report on Form 10-Q, we make “forward-looking statements” within the meaning of the U.S. Private Securities Litigation Reform Act of </w:t>
      </w:r>
      <w:r>
        <w:rPr>
          <w:rFonts w:ascii="Times New Roman" w:cs="Times New Roman" w:eastAsia="Times New Roman" w:hAnsi="Times New Roman"/>
          <w:sz w:val="18"/>
          <w:szCs w:val="18"/>
          <w:color w:val="000000"/>
        </w:rPr>
        <w:t>1995, Section 27A of the Securities Act of 1933, as amended (the “Securities Act”) and Section 21E of the Securities Exchange Act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1934, as amended (the “Exchange Act”). This Quarterly Report contains forward-looking statements that are subject to risks and uncertainties. All statements other than statements of historical fact included in this Quarterly Report on Form 10-Q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the expected outcome or impact of pending or threatened litigation or the expected impact of government policies and the macroeconomic environment are forward-looking statements. All forward-looking statements are subject to risks and uncertainties that may cause actual results to differ materially from those that we expected, including:</w:t>
      </w:r>
    </w:p>
    <w:p>
      <w:pPr>
        <w:spacing w:after="0" w:line="200" w:lineRule="exact"/>
        <w:rPr>
          <w:sz w:val="20"/>
          <w:szCs w:val="20"/>
          <w:color w:val="auto"/>
        </w:rPr>
      </w:pPr>
    </w:p>
    <w:p>
      <w:pPr>
        <w:spacing w:after="0" w:line="231" w:lineRule="exact"/>
        <w:rPr>
          <w:sz w:val="20"/>
          <w:szCs w:val="20"/>
          <w:color w:val="auto"/>
        </w:rPr>
      </w:pPr>
    </w:p>
    <w:p>
      <w:pPr>
        <w:ind w:left="660" w:right="2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our growth strategy, including our ability to attract new participants and retain existing participants in new and existing centers and our ability to obtain licenses to open de novo centers, including in Downey and Bakersfield, California;</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ongoing macroeconomic related challenges, including labor shortages, labor competition, inflation, uncertainty surrounding the stability of economic conditions due to new and proposed tariffs and uncertainty in the global trade environment;</w:t>
      </w: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periodic inspections, reviews, audits and investigations under the federal and state government programs, and our ability to sufficiently cure any deficiencies identified by the respective federal and state government programs;</w:t>
      </w: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legal proceedings, enforcement actions and litigation, including the current civil investigative demands initiated by federal and state agencies, as well as the litigation and other proceedings initiated by, or on behalf, of our stockholders;</w:t>
      </w: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and federal efforts to reduce healthcare spending, including recent proposals to reduce the budget that funds Medicaid and Medicare;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of providing services will exceed our compensation under the Program of All Inclusive Care for the Elderly (“PACE”);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costs and expenditures in the future and our inability to execute or realize the benefits of our clinical value initiatives and operational value initiatives;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revenues and operations upon a limited number of government payors;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submissions to government payors may contain inaccurate or unsupportable information, including regarding risk adjustment scores of participants;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renegotiation, non-renewal or termination of capitation agreements with government payors;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successfully complete and integrate acquisitions, joint ventures and strategic partnerships;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presence in Colorado;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healthcare industry, including as a result of new or growing market participants;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to predict our future results, which could cause such results to fall below any guidance we provide;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other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failures by our suppliers or limitations on our ability to access new technology or medical products;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operations effectively, execute our business plan, maintain effective levels of service and participant satisfaction and adequately address competitive challenges;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presence in new geographic markets;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security breaches, loss of data or other disruptions causing the compromise of sensitive information or preventing us from accessing critical information;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incurred but not reported medical expense or the risk scores of our participants;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termination of our leases, increases in rent or inability to renew or extend leases;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pandemic, epidemic or outbreak of an infectious disease, such as COVID-19, as well as weather and other factors beyond our control;</w:t>
      </w:r>
    </w:p>
    <w:p>
      <w:pPr>
        <w:jc w:val="both"/>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and other privacy laws and regulations in the healthcare industry;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“controlled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share repurchase program;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enhanced requirements of being a public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disruptions in our disaster recovery systems or business continuity planning;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section entitled “Risk Factors” in our Annual Report for the year ended June 30, 2024 filed with the Securities and Exchange Commission (the “SEC”) on September 10, 2024 ("2024 10-K"), and our subsequent filings with the SEC.</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Unless otherwise specified or unless the context requires otherwise, all references in this Quarterly Report on Form 10-Q to “InnovAge,” “the Company,” “we,” “us,” and “our,” or similar references, refer to InnovAge Holding Corp. and our consolidated subsidiaries.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6"/>
                <w:szCs w:val="16"/>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7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60,454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56,946</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Short-term investments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45,833</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Restricted cash</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Accounts receivable, net of allowance ($— – March 31, 2025 and $6,729 – June 30, 2024)</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48,106</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Prepaid expenses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26,714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18,919</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Income tax receivable</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3,324</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176,183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173,142</w:t>
            </w:r>
          </w:p>
        </w:tc>
        <w:tc>
          <w:tcPr>
            <w:tcW w:w="0" w:type="dxa"/>
            <w:vAlign w:val="bottom"/>
          </w:tcPr>
          <w:p>
            <w:pPr>
              <w:spacing w:after="0"/>
              <w:rPr>
                <w:sz w:val="1"/>
                <w:szCs w:val="1"/>
                <w:color w:val="auto"/>
              </w:rPr>
            </w:pPr>
          </w:p>
        </w:tc>
      </w:tr>
      <w:tr>
        <w:trPr>
          <w:trHeight w:val="176"/>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193,022</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Operating lease assets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28,416</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Investments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Deposits and other</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5,949</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139,949</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4,538</w:t>
            </w: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noncurrent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360,465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374,519</w:t>
            </w:r>
          </w:p>
        </w:tc>
        <w:tc>
          <w:tcPr>
            <w:tcW w:w="0" w:type="dxa"/>
            <w:vAlign w:val="bottom"/>
          </w:tcPr>
          <w:p>
            <w:pPr>
              <w:spacing w:after="0"/>
              <w:rPr>
                <w:sz w:val="1"/>
                <w:szCs w:val="1"/>
                <w:color w:val="auto"/>
              </w:rPr>
            </w:pPr>
          </w:p>
        </w:tc>
      </w:tr>
      <w:tr>
        <w:trPr>
          <w:trHeight w:val="189"/>
        </w:trPr>
        <w:tc>
          <w:tcPr>
            <w:tcW w:w="81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536,648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547,661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55,459</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Reported and estimated claims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55,404</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Due to Medicaid and Medicare</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15,197</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3,795</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portion of finance lease obligations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4,599</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Current portion of operating lease obligations</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4,145</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225,319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138,599</w:t>
            </w:r>
          </w:p>
        </w:tc>
        <w:tc>
          <w:tcPr>
            <w:tcW w:w="0" w:type="dxa"/>
            <w:vAlign w:val="bottom"/>
          </w:tcPr>
          <w:p>
            <w:pPr>
              <w:spacing w:after="0"/>
              <w:rPr>
                <w:sz w:val="1"/>
                <w:szCs w:val="1"/>
                <w:color w:val="auto"/>
              </w:rPr>
            </w:pPr>
          </w:p>
        </w:tc>
      </w:tr>
      <w:tr>
        <w:trPr>
          <w:trHeight w:val="175"/>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tax liability, net</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7,460</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Finance lease obligations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12,743</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Operating lease obligations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26,275</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Long-term debt, net of debt issuance costs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61,478</w:t>
            </w: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Total liabilities</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268,943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247,853</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(See Note 9)</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Redeemable Noncontrolling Interests (See Note 4)</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22,200</w:t>
            </w: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18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Common stock, $0.001 par value; 500,000,000 authorized as of March 31, 2025 and June 30, 2024; 136,416,941 issued and 135,078,305</w:t>
            </w:r>
          </w:p>
        </w:tc>
        <w:tc>
          <w:tcPr>
            <w:tcW w:w="24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81"/>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outstanding as of March 31, 2025 and 136,152,858 issued and 136,116,299 outstanding as of June 30, 2024</w:t>
            </w:r>
          </w:p>
        </w:tc>
        <w:tc>
          <w:tcPr>
            <w:tcW w:w="2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Treasury stock at cost, 1,361,159 and 36,559 shares as of March 31, 2025 and June 30, 2024, respectively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342,870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337,615</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Retained deficit</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(97,839)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(68,311)</w:t>
            </w:r>
          </w:p>
        </w:tc>
        <w:tc>
          <w:tcPr>
            <w:tcW w:w="0" w:type="dxa"/>
            <w:vAlign w:val="bottom"/>
          </w:tcPr>
          <w:p>
            <w:pPr>
              <w:spacing w:after="0"/>
              <w:rPr>
                <w:sz w:val="1"/>
                <w:szCs w:val="1"/>
                <w:color w:val="auto"/>
              </w:rPr>
            </w:pPr>
          </w:p>
        </w:tc>
      </w:tr>
      <w:tr>
        <w:trPr>
          <w:trHeight w:val="175"/>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InnovAge Holding Corp.</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269,261</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8,347</w:t>
            </w: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245,605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277,608</w:t>
            </w:r>
          </w:p>
        </w:tc>
        <w:tc>
          <w:tcPr>
            <w:tcW w:w="0" w:type="dxa"/>
            <w:vAlign w:val="bottom"/>
          </w:tcPr>
          <w:p>
            <w:pPr>
              <w:spacing w:after="0"/>
              <w:rPr>
                <w:sz w:val="1"/>
                <w:szCs w:val="1"/>
                <w:color w:val="auto"/>
              </w:rPr>
            </w:pPr>
          </w:p>
        </w:tc>
      </w:tr>
      <w:tr>
        <w:trPr>
          <w:trHeight w:val="214"/>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536,648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547,661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308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40" w:type="dxa"/>
            <w:vAlign w:val="bottom"/>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217,819</w:t>
            </w:r>
          </w:p>
        </w:tc>
        <w:tc>
          <w:tcPr>
            <w:tcW w:w="100" w:type="dxa"/>
            <w:vAlign w:val="bottom"/>
          </w:tcPr>
          <w:p>
            <w:pPr>
              <w:spacing w:after="0"/>
              <w:rPr>
                <w:sz w:val="19"/>
                <w:szCs w:val="19"/>
                <w:color w:val="auto"/>
              </w:rPr>
            </w:pP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192,756</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631,293</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563,490</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218,142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193,071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632,282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564,454</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300,319</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1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59,078</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168,649</w:t>
            </w: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81,746</w:t>
            </w: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Impairment of right-of-use asset and</w:t>
            </w:r>
          </w:p>
        </w:tc>
        <w:tc>
          <w:tcPr>
            <w:tcW w:w="1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228,300</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198,864</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659,893</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582,751</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equity method investment</w:t>
            </w:r>
          </w:p>
        </w:tc>
        <w:tc>
          <w:tcPr>
            <w:tcW w:w="1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(20,967)</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1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156"/>
        </w:trPr>
        <w:tc>
          <w:tcPr>
            <w:tcW w:w="35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 Attributable to InnovAge Holding</w:t>
            </w:r>
          </w:p>
        </w:tc>
        <w:tc>
          <w:tcPr>
            <w:tcW w:w="1120" w:type="dxa"/>
            <w:vAlign w:val="bottom"/>
            <w:vMerge w:val="restart"/>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100" w:type="dxa"/>
            <w:vAlign w:val="bottom"/>
          </w:tcPr>
          <w:p>
            <w:pPr>
              <w:spacing w:after="0"/>
              <w:rPr>
                <w:sz w:val="13"/>
                <w:szCs w:val="13"/>
                <w:color w:val="auto"/>
              </w:rPr>
            </w:pPr>
          </w:p>
        </w:tc>
        <w:tc>
          <w:tcPr>
            <w:tcW w:w="1140" w:type="dxa"/>
            <w:vAlign w:val="bottom"/>
            <w:vMerge w:val="restart"/>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8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(29,528)</w:t>
            </w:r>
          </w:p>
        </w:tc>
        <w:tc>
          <w:tcPr>
            <w:tcW w:w="100" w:type="dxa"/>
            <w:vAlign w:val="bottom"/>
          </w:tcPr>
          <w:p>
            <w:pPr>
              <w:spacing w:after="0"/>
              <w:rPr>
                <w:sz w:val="13"/>
                <w:szCs w:val="13"/>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0" w:type="dxa"/>
            <w:vAlign w:val="bottom"/>
          </w:tcPr>
          <w:p>
            <w:pPr>
              <w:spacing w:after="0"/>
              <w:rPr>
                <w:sz w:val="1"/>
                <w:szCs w:val="1"/>
                <w:color w:val="auto"/>
              </w:rPr>
            </w:pPr>
          </w:p>
        </w:tc>
      </w:tr>
      <w:tr>
        <w:trPr>
          <w:trHeight w:val="221"/>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w:t>
            </w:r>
          </w:p>
        </w:tc>
        <w:tc>
          <w:tcPr>
            <w:tcW w:w="1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line="234" w:lineRule="auto"/>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basic</w:t>
      </w:r>
    </w:p>
    <w:p>
      <w:pPr>
        <w:spacing w:after="0" w:line="6"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135,200,314</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135,908,256</w:t>
            </w:r>
          </w:p>
        </w:tc>
        <w:tc>
          <w:tcPr>
            <w:tcW w:w="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135,471,907</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135,861,922</w:t>
            </w:r>
          </w:p>
        </w:tc>
      </w:tr>
      <w:tr>
        <w:trPr>
          <w:trHeight w:val="418"/>
        </w:trPr>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135,200,314</w:t>
            </w:r>
          </w:p>
        </w:tc>
        <w:tc>
          <w:tcPr>
            <w:tcW w:w="100" w:type="dxa"/>
            <w:vAlign w:val="bottom"/>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135,908,256</w:t>
            </w:r>
          </w:p>
        </w:tc>
        <w:tc>
          <w:tcPr>
            <w:tcW w:w="80" w:type="dxa"/>
            <w:vAlign w:val="bottom"/>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135,471,907</w:t>
            </w:r>
          </w:p>
        </w:tc>
        <w:tc>
          <w:tcPr>
            <w:tcW w:w="100" w:type="dxa"/>
            <w:vAlign w:val="bottom"/>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135,861,922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-273685</wp:posOffset>
            </wp:positionV>
            <wp:extent cx="713232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60"/>
            <w:col w:w="7680"/>
          </w:cols>
          <w:pgMar w:left="320" w:top="121" w:right="3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diluted</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10"/>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9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2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80" w:type="dxa"/>
            <w:vAlign w:val="bottom"/>
            <w:gridSpan w:val="5"/>
            <w:vMerge w:val="continue"/>
          </w:tcPr>
          <w:p>
            <w:pPr>
              <w:spacing w:after="0"/>
              <w:rPr>
                <w:sz w:val="9"/>
                <w:szCs w:val="9"/>
                <w:color w:val="auto"/>
              </w:rPr>
            </w:pPr>
          </w:p>
        </w:tc>
        <w:tc>
          <w:tcPr>
            <w:tcW w:w="10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(Temporary</w:t>
            </w:r>
          </w:p>
        </w:tc>
        <w:tc>
          <w:tcPr>
            <w:tcW w:w="760" w:type="dxa"/>
            <w:vAlign w:val="bottom"/>
            <w:vMerge w:val="restart"/>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22"/>
        </w:trPr>
        <w:tc>
          <w:tcPr>
            <w:tcW w:w="172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Balances, December 31,</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135,349,150</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340,874</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(86,461)</w:t>
            </w:r>
          </w:p>
        </w:tc>
        <w:tc>
          <w:tcPr>
            <w:tcW w:w="8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1,046,233</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(6,092)</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7,885</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256,342</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21,611</w:t>
            </w: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20" w:type="dxa"/>
            <w:vAlign w:val="bottom"/>
            <w:tcBorders>
              <w:top w:val="single" w:sz="8" w:color="CCEEFF"/>
            </w:tcBorders>
            <w:vMerge w:val="continue"/>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55,837</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 related to</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share settlements of</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 at cost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(11,378)</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(11,133)</w:t>
            </w: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March 31,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135,078,305</w:t>
            </w:r>
          </w:p>
        </w:tc>
        <w:tc>
          <w:tcPr>
            <w:tcW w:w="8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342,870</w:t>
            </w:r>
          </w:p>
        </w:tc>
        <w:tc>
          <w:tcPr>
            <w:tcW w:w="8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(97,839)</w:t>
            </w:r>
          </w:p>
        </w:tc>
        <w:tc>
          <w:tcPr>
            <w:tcW w:w="8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1,361,159</w:t>
            </w:r>
          </w:p>
        </w:tc>
        <w:tc>
          <w:tcPr>
            <w:tcW w:w="8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(7,203)</w:t>
            </w:r>
          </w:p>
        </w:tc>
        <w:tc>
          <w:tcPr>
            <w:tcW w:w="8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7,641</w:t>
            </w:r>
          </w:p>
        </w:tc>
        <w:tc>
          <w:tcPr>
            <w:tcW w:w="8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245,605</w:t>
            </w:r>
          </w:p>
        </w:tc>
        <w:tc>
          <w:tcPr>
            <w:tcW w:w="1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22,100</w:t>
            </w:r>
          </w:p>
        </w:tc>
        <w:tc>
          <w:tcPr>
            <w:tcW w:w="80" w:type="dxa"/>
            <w:vAlign w:val="bottom"/>
            <w:tcBorders>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gridSpan w:val="10"/>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gridSpan w:val="10"/>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Nine Months Ended March 31, 2025</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9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2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80" w:type="dxa"/>
            <w:vAlign w:val="bottom"/>
            <w:gridSpan w:val="5"/>
            <w:vMerge w:val="continue"/>
          </w:tcPr>
          <w:p>
            <w:pPr>
              <w:spacing w:after="0"/>
              <w:rPr>
                <w:sz w:val="9"/>
                <w:szCs w:val="9"/>
                <w:color w:val="auto"/>
              </w:rPr>
            </w:pPr>
          </w:p>
        </w:tc>
        <w:tc>
          <w:tcPr>
            <w:tcW w:w="10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(Temporary</w:t>
            </w:r>
          </w:p>
        </w:tc>
        <w:tc>
          <w:tcPr>
            <w:tcW w:w="760" w:type="dxa"/>
            <w:vAlign w:val="bottom"/>
            <w:vMerge w:val="restart"/>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39"/>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136,116,299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20" w:type="dxa"/>
            <w:vAlign w:val="bottom"/>
            <w:tcBorders>
              <w:top w:val="single" w:sz="8" w:color="CCEEFF"/>
            </w:tcBorders>
            <w:vMerge w:val="continue"/>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426,800</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6,069</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 related to</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share settlements of</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 at cost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(1,324,600)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1,324,600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(29,528)</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(30,334)</w:t>
            </w: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March 31,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135,078,305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342,870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(97,839)</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1,361,159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245,605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22,100</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10"/>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88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4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2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80" w:type="dxa"/>
            <w:vAlign w:val="bottom"/>
            <w:gridSpan w:val="5"/>
            <w:vMerge w:val="continue"/>
          </w:tcPr>
          <w:p>
            <w:pPr>
              <w:spacing w:after="0"/>
              <w:rPr>
                <w:sz w:val="9"/>
                <w:szCs w:val="9"/>
                <w:color w:val="auto"/>
              </w:rPr>
            </w:pPr>
          </w:p>
        </w:tc>
        <w:tc>
          <w:tcPr>
            <w:tcW w:w="10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9"/>
                <w:szCs w:val="9"/>
                <w:color w:val="auto"/>
              </w:rPr>
            </w:pPr>
          </w:p>
        </w:tc>
        <w:tc>
          <w:tcPr>
            <w:tcW w:w="96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(Temporary</w:t>
            </w:r>
          </w:p>
        </w:tc>
        <w:tc>
          <w:tcPr>
            <w:tcW w:w="76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7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22"/>
        </w:trPr>
        <w:tc>
          <w:tcPr>
            <w:tcW w:w="174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Balances, December 31,</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135,893,070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335,062</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(49,695)</w:t>
            </w:r>
          </w:p>
        </w:tc>
        <w:tc>
          <w:tcPr>
            <w:tcW w:w="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vMerge w:val="restart"/>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291,141</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11,831</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40" w:type="dxa"/>
            <w:vAlign w:val="bottom"/>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86,234</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 related to</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share settlements of</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(5,887)</w:t>
            </w:r>
          </w:p>
        </w:tc>
        <w:tc>
          <w:tcPr>
            <w:tcW w:w="80" w:type="dxa"/>
            <w:vAlign w:val="bottom"/>
          </w:tcPr>
          <w:p>
            <w:pPr>
              <w:spacing w:after="0"/>
              <w:rPr>
                <w:sz w:val="17"/>
                <w:szCs w:val="17"/>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0" w:type="dxa"/>
            <w:vAlign w:val="bottom"/>
          </w:tcPr>
          <w:p>
            <w:pPr>
              <w:spacing w:after="0"/>
              <w:rPr>
                <w:sz w:val="1"/>
                <w:szCs w:val="1"/>
                <w:color w:val="auto"/>
              </w:rPr>
            </w:pPr>
          </w:p>
        </w:tc>
      </w:tr>
      <w:tr>
        <w:trPr>
          <w:trHeight w:val="228"/>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March 31,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135,925,305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gridSpan w:val="10"/>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Nine Months Ended March 31, 2024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18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8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8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4"/>
                <w:szCs w:val="4"/>
                <w:color w:val="auto"/>
              </w:rPr>
            </w:pPr>
          </w:p>
        </w:tc>
        <w:tc>
          <w:tcPr>
            <w:tcW w:w="820" w:type="dxa"/>
            <w:vAlign w:val="bottom"/>
            <w:gridSpan w:val="2"/>
            <w:vMerge w:val="restart"/>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3"/>
            <w:vMerge w:val="restart"/>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980" w:type="dxa"/>
            <w:vAlign w:val="bottom"/>
            <w:gridSpan w:val="3"/>
            <w:vMerge w:val="restart"/>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0" w:type="dxa"/>
            <w:vAlign w:val="bottom"/>
          </w:tcPr>
          <w:p>
            <w:pPr>
              <w:spacing w:after="0"/>
              <w:rPr>
                <w:sz w:val="4"/>
                <w:szCs w:val="4"/>
                <w:color w:val="auto"/>
              </w:rPr>
            </w:pPr>
          </w:p>
        </w:tc>
        <w:tc>
          <w:tcPr>
            <w:tcW w:w="960" w:type="dxa"/>
            <w:vAlign w:val="bottom"/>
            <w:gridSpan w:val="2"/>
            <w:vMerge w:val="restart"/>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(Temporary</w:t>
            </w:r>
          </w:p>
        </w:tc>
        <w:tc>
          <w:tcPr>
            <w:tcW w:w="76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Net Income</w:t>
            </w:r>
          </w:p>
        </w:tc>
        <w:tc>
          <w:tcPr>
            <w:tcW w:w="0" w:type="dxa"/>
            <w:vAlign w:val="bottom"/>
          </w:tcPr>
          <w:p>
            <w:pPr>
              <w:spacing w:after="0"/>
              <w:rPr>
                <w:sz w:val="1"/>
                <w:szCs w:val="1"/>
                <w:color w:val="auto"/>
              </w:rPr>
            </w:pPr>
          </w:p>
        </w:tc>
      </w:tr>
      <w:tr>
        <w:trPr>
          <w:trHeight w:val="34"/>
        </w:trPr>
        <w:tc>
          <w:tcPr>
            <w:tcW w:w="1740" w:type="dxa"/>
            <w:vAlign w:val="bottom"/>
          </w:tcPr>
          <w:p>
            <w:pPr>
              <w:spacing w:after="0"/>
              <w:rPr>
                <w:sz w:val="2"/>
                <w:szCs w:val="2"/>
                <w:color w:val="auto"/>
              </w:rPr>
            </w:pPr>
          </w:p>
        </w:tc>
        <w:tc>
          <w:tcPr>
            <w:tcW w:w="8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7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3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135,639,845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332,107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(35,944)</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302,092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12,708</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40" w:type="dxa"/>
            <w:vAlign w:val="bottom"/>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445,635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5,140</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5,140</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 related to</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share settlements of</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(160,175)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(19,638)</w:t>
            </w:r>
          </w:p>
        </w:tc>
        <w:tc>
          <w:tcPr>
            <w:tcW w:w="80" w:type="dxa"/>
            <w:vAlign w:val="bottom"/>
          </w:tcPr>
          <w:p>
            <w:pPr>
              <w:spacing w:after="0"/>
              <w:rPr>
                <w:sz w:val="17"/>
                <w:szCs w:val="17"/>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(20,967)</w:t>
            </w:r>
          </w:p>
        </w:tc>
        <w:tc>
          <w:tcPr>
            <w:tcW w:w="0" w:type="dxa"/>
            <w:vAlign w:val="bottom"/>
          </w:tcPr>
          <w:p>
            <w:pPr>
              <w:spacing w:after="0"/>
              <w:rPr>
                <w:sz w:val="1"/>
                <w:szCs w:val="1"/>
                <w:color w:val="auto"/>
              </w:rPr>
            </w:pPr>
          </w:p>
        </w:tc>
      </w:tr>
      <w:tr>
        <w:trPr>
          <w:trHeight w:val="228"/>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March 31,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135,925,305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7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For the Nine Months Ended March 31,</w:t>
            </w: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8"/>
        </w:trPr>
        <w:tc>
          <w:tcPr>
            <w:tcW w:w="8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(30,334)</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(20,967)</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(gain) on disposal of assets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Provision for uncollectible accounts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5,252</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13,621</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rentals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of right-of-use asset and construction in progress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5,140</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minority equity interest investment</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net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(16,802)</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4,382</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tax receivable</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Deposits and other</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Reported and estimated claims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6,171</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Due to Medicaid and Medicare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 taxes payable</w:t>
            </w:r>
          </w:p>
        </w:tc>
        <w:tc>
          <w:tcPr>
            <w:tcW w:w="9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w:t>
            </w:r>
          </w:p>
        </w:tc>
      </w:tr>
      <w:tr>
        <w:trPr>
          <w:trHeight w:val="19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9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(28,115)</w:t>
            </w:r>
          </w:p>
        </w:tc>
      </w:tr>
      <w:tr>
        <w:trPr>
          <w:trHeight w:val="203"/>
        </w:trPr>
        <w:tc>
          <w:tcPr>
            <w:tcW w:w="81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(38,771)</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(4,609)</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short-term investments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96"/>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Acquisition of business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(23,916)</w:t>
            </w:r>
          </w:p>
        </w:tc>
      </w:tr>
      <w:tr>
        <w:trPr>
          <w:trHeight w:val="20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(27,307)</w:t>
            </w: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finance lease obligations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equity securities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Taxes paid related to net settlements of stock-based compensation awards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w:t>
            </w:r>
          </w:p>
        </w:tc>
      </w:tr>
      <w:tr>
        <w:trPr>
          <w:trHeight w:val="196"/>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(7,078)</w:t>
            </w:r>
          </w:p>
        </w:tc>
      </w:tr>
      <w:tr>
        <w:trPr>
          <w:trHeight w:val="203"/>
        </w:trPr>
        <w:tc>
          <w:tcPr>
            <w:tcW w:w="8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CASH, CASH EQUIVALENTS &amp; RESTRICTED CASH</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(73,156)</w:t>
            </w: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BEGINNING OF PERIOD</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56,960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127,265</w:t>
            </w:r>
          </w:p>
        </w:tc>
      </w:tr>
      <w:tr>
        <w:trPr>
          <w:trHeight w:val="22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END OF PERIOD</w:t>
            </w:r>
          </w:p>
        </w:tc>
        <w:tc>
          <w:tcPr>
            <w:tcW w:w="940" w:type="dxa"/>
            <w:vAlign w:val="bottom"/>
            <w:tcBorders>
              <w:bottom w:val="single" w:sz="8" w:color="auto"/>
            </w:tcBorders>
            <w:shd w:val="clear" w:color="auto" w:fill="CCEEFF"/>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60,466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940" w:type="dxa"/>
            <w:vAlign w:val="bottom"/>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paid</w:t>
            </w:r>
          </w:p>
        </w:tc>
        <w:tc>
          <w:tcPr>
            <w:tcW w:w="94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equipment included in accounts payable</w:t>
            </w:r>
          </w:p>
        </w:tc>
        <w:tc>
          <w:tcPr>
            <w:tcW w:w="940" w:type="dxa"/>
            <w:vAlign w:val="bottom"/>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 purchased under finance leases</w:t>
            </w:r>
          </w:p>
        </w:tc>
        <w:tc>
          <w:tcPr>
            <w:tcW w:w="94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INNOVAGE HOLDING CORP. AND SUBSIDIARIES</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InnovAge Holding Corp. and its subsidiaries (“InnovAge” or the "Company") are headquartered in Denver, Colorado. The Company’s participant-centered care delivery approach is designed to improve the quality of care the Company’s participants receive, while keeping them in their homes for as long as safely possible. Through the Company’s Program of All-Inclusive Care for the Elderly (“PACE”) program, the Company fulfills a broad range of medical and ancillary services for seniors, including in-center services such as primary care, physical therapy, occupational therapy, speech therapy, dental services, mental health and psychiatric services, meals, and activities; transportation to and from the PACE center and third-party medical appointments; and care management. The Company manages its business as one reportable segment, PACE.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the Company served approximately 7,530 PACE participants, making it the largest PACE provider in the United States of America (the “U.S.”) based upon participants served, and operated 20 PACE centers across California, Colorado, Florida, New Mexico, Pennsylvania and Virginia.</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common stock is traded on the Nasdaq Stock Market LLC under the ticker symbol “INNV”.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described its significant accounting policies in Note 2, “Summary of Significant Accounting Policies” of the Notes to Consolidated Financial Statements in its Annual Report on Form 10-K for the year ended June 30, 2024 (“2024 10-K”). There were no significant changes to those accounting policies during the nine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 and Principles of Consolidation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2024. In the opinion of management, all adjustments (consisting of all normal and recurring adjustments) considered necessary for a fair presentation have been included. The condensed consolidated financial statements include the accounts of the Company, its wholly owned subsidiaries and variable interest entities (“VIEs”) for which it is the primary beneficiary and entities for which it is the controlling interest. All intercompany accounts and transactions have been eliminated in consolidation.</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have any components of comprehensive income and comprehensive income is equal to net loss reported in the statements of operations for all periods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as of March 31, 2025 and June 30,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- 40 years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30,678</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vehicles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69,495</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280,441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(87,419)</w:t>
            </w:r>
          </w:p>
        </w:tc>
        <w:tc>
          <w:tcPr>
            <w:tcW w:w="0" w:type="dxa"/>
            <w:vAlign w:val="bottom"/>
          </w:tcPr>
          <w:p>
            <w:pPr>
              <w:spacing w:after="0"/>
              <w:rPr>
                <w:sz w:val="1"/>
                <w:szCs w:val="1"/>
                <w:color w:val="auto"/>
              </w:rPr>
            </w:pPr>
          </w:p>
        </w:tc>
      </w:tr>
      <w:tr>
        <w:trPr>
          <w:trHeight w:val="22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193,022</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of $5.2 million and $4.9 million was recorded during the three months ended March 31, 2025 and 2024, respectively. Depreciation of $15.6 million and $13.1 million was recorded during the nine months ended March 31, 2025 and 2024, respectively.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a $1.4 million impairment of operating lease right-of-use ("ROU") assets and a $7.1 million impairment of construction in progress during the nine months ended March 31, 2025, related to halting developments to a previously planned de novo center in Louisville, Kentucky that the Company is no longer pursuing. There were no impairments recorded during the three months ended March 31, 2025 and the three and nine months ended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ASU 2023-07 improves reportable segment disclosure requirements, primarily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disclosures about significant segment expenses that are regularly provided to the chief operating decision maker. Additionally, ASU 2023-07 requires that all existing annual segment disclosures be provided on an interim basis and clarifies that single reportable segment entities are subject to the disclosure requirement under Topic 280 in its entirety. ASU 2023-07 will be applied retrospectively and is effective for fiscal years beginning after December 15, 2023 and for interim periods in fiscal years beginning after December 15, 2024. The Company does not expect ASU 2023-07 to have a material impact on its consolidated financial statements, but the Company will require increased disclosure within the notes to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additional disclosures related to rate reconciliation, income taxes paid, and other disclosures. ASU 2023-09 requires public companies to annually (i) disclose specific categories in the rate reconciliation and (ii) provide additional information for reconciling items that meet a quantitative threshold. Additionally, ASU 2023-09 requires public companies to annually disclose the amount of income taxes paid, disaggregated by federal, state, and foreign taxes, as well as the amount of income taxes paid by individual jurisdiction. For smaller reporting companies, such as the Company, ASU 2023-09 is effective for annual periods beginning after December 15, 2025. The Company continues to evaluate the impact of ASU 2023-09 on its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Income Statement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issues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ASU 2024-03 requires that each interim and annual reporting period, an entity disclose more information about the components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certain expense captions that is currently disclosed in the financial statements. As revised by ASU 2025-01, </w:t>
      </w:r>
      <w:r>
        <w:rPr>
          <w:rFonts w:ascii="Times New Roman" w:cs="Times New Roman" w:eastAsia="Times New Roman" w:hAnsi="Times New Roman"/>
          <w:sz w:val="18"/>
          <w:szCs w:val="18"/>
          <w:i w:val="1"/>
          <w:iCs w:val="1"/>
          <w:color w:val="auto"/>
        </w:rPr>
        <w:t>Income Statement-Reporting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Income-Expense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Disaggregation Disclosures</w:t>
      </w:r>
      <w:r>
        <w:rPr>
          <w:rFonts w:ascii="Times New Roman" w:cs="Times New Roman" w:eastAsia="Times New Roman" w:hAnsi="Times New Roman"/>
          <w:sz w:val="18"/>
          <w:szCs w:val="18"/>
          <w:color w:val="auto"/>
        </w:rPr>
        <w:t>, the provisions of ASU 2024-03 are effective for annual reporting periods beginning after December 15, 2026, and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within annual reporting periods beginning after December 15, 2027. Early adoption is permitted. The Company is currently evaluating the effects this guidance will have on its consolidated financial statements.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expect that any other recently issued accounting guidance will have a significant effect on its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ASC 606, revenue is recognized when a customer obtains control of promised goods or services, in an amount that reflects the consideration which the entity expects to receive in exchange for those goods or services. To determine revenue recognition,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Capitation Revenue and Accounts Receivable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CMS and each state Medicaid agency on a per member, per month (“PMPM”) basis. We receive 100% of the pooled capitated payment to directly provide or manage the healthcare needs of our participants.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over time as the Company provides comprehensive care to its participants.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 Costs to obtain contracts consist of sales commissions for new enrollees and are included in Deposits and other on our condensed consolidated balance sheets. These costs are amortized over a three-year period which corresponds to the average time a participant is enrolled in the PACE program. As of March 31, 2025 and June 30, 2024, contract assets included within prepaid expenses and deposits and other were $3.9 million and $2.8 million, respectively.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disaggregates capitation revenue from the following sources for the nine months ended:</w:t>
      </w:r>
    </w:p>
    <w:p>
      <w:pPr>
        <w:spacing w:after="0" w:line="25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7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the transaction price for these contracts is the amount we expect to be entitled to, which is the most likely amount. For certain capitation payments, the Company is subject to retroactive premium risk adjustment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according to the CMS risk adjustment payment timeline. Specifically, there is a midyear true up payment based on updated risk score calculations and a final true up payment to allow for complete diagnosis submission. The Company estimates the amount of the adjustment and records it monthly on a straight-line basis. These adjustments are not expected to be material.</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capitation revenues are recognized based on the estimated PMPM transaction price to transfer the service for a distinct increment of the series (i.e. month). We recognize revenue over time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14% of capitation revenues for each of the three months ended March 31, 2025 and 2024. Medicare Part D comprised 14% and 13% of capitation revenues for the nine months ended March 31, 2025 and 2024, respectively.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provides comprehensive healthcare services to participants on the basis of capitated or fixed fees per participant that are paid monthly by Medicare, Medicaid, the VA and private pay sources. Our accounts receivable as of March 31, 2025 and June 30, 2024 were primarily from capitation revenue arrangements. The concentration of net receivables from participants and third-party payers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10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90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1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3"/>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9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accounts receivable at net realizable value based upon the estimated amounts the Company expects to be entitled to receive from Medicare, Medicaid, the VA and private pay sources. Estimated reimbursement amounts are adjusted in future periods as final settlements are determined. Accounts are written off as bad debts when they are deemed uncollectible based upon individual credit evaluations and specific circumstances underlying the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Service Revenue and Accounts Receivable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service revenue primarily consists of revenues derived from state food grants and rent revenues. Accounts receivable related to other service revenue were not significant as of both March 31, 2025 and June 30, 2024.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Cost and Equity Method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held cost method investments of $2.6 million as of both March 31, 2025 and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Method 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one investment that is accounted for using the cost method. The Company's ownership interest is less than 20% of the voting stock of the investment and the Company does not have the ability to exercise significant influence over the operating and financial policies of the investments. The investment does not have a readily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determinable fair value and the Company has elected to record the investments at cost, less impairment, if any, plus or minus any changes resulting from observable price changes in orderly transactions for the identical or similar investment of the same issuer. During the three and nine months ended March 31, 2025 and 2024, there were no observable price changes or impairment recorded.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Jetdoc</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2021, the Company acquired a minority interest equal to 806,481 shares of the outstanding common stock of Jetdoc, Inc. (“Jetdoc”), a telehealth and virtual urgent care app dedicated to effectively connecting users with medical professionals, for cash consideration of $2.0 million. During the three and nine months ended March 31, 2024, we determined that our investment in Jetdoc was impaired and recognized an impairment loss of $0.1 million and $2.0 million, respectively. As of March 31, 2025, the Company did not have any ownership interest in Jetdoc.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DispatchHealth</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14, 2019, the Company invested $1.5 million in DispatchHealth Holdings, Inc. ("DispatchHealth"), through the purchase of a portion of its outstanding Series B Preferred Stock. On April 2, 2020, the Company invested an additional $1.1 million through the purchase of a portion of its outstanding Series C Preferred Stock. As of March 31, 2025, the balance of the Company’s investment was $2.6 million, which represents the maximum exposure to loss. The investment does not have a readily determinable fair value and the Company has elected to record the investment at cost, less impairment, if any, plus or minus any changes resulting from observable price changes in orderly transactions for the identical or similar investment of the same issuer. During the three and nine months ended March 31, 2025 and 2024, there were no observable price changes or impairments.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Pinewood Lodge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May 2, 2024, the Company’s operations included a Senior Housing unit that primarily included the accounts of Continental Community Housing (“CCH”), a wholly-owned subsidiary of the Company and the general partner of Pinewood Lodge, LLLP (“PWD”), which was organized to develop, construct, own, maintain, and operate certain apartment complexes intended for rental to low-income elderly individuals aged 62 or older.</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PWD was accounted for using the equity method of accounting. As of March 31, 2024, the balance of the Company’s investment in PWD was $0.8 million, which represented the maximum exposure to loss.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13, 2024, PWD entered into a Purchase and Sale Agreement for the sale of all of PWD's property, including the Senior Housing unit. On May 2, 2024, PWD closed on the sale of its Senior Housing property for $9.5 million. Upon completion of the sale, PWD ceased providing senior housing services and in June 2024 was dissolved. Following the dissolution, the remaining proceeds from the sale were distributed in accordance with the partnership agreement and as otherwise agreed by the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InnovAge Florida PACE – Orlando</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28, 2024, the Company entered into a joint venture with Orlando Health (“OHI”) to develop and manage PACE centers to serve communities in Orlando, Florida. In connection with the joint venture, OHI, InnovAge Orlando PACE II, LLC ("InnovAge Orlando"), the joint venture, and the Company entered into a Contribution Agreement pursuant to which OHI made a cash contribution of $2.9 million to InnovAge Orlando for a proportionate 10% interest ownership. The Company's total contribution was $26.1 million for its controlling membership interest of 90%. As a result, the joint venture’s results are consolidated in the Company’s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Housing</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operations include a 0.01% partnership interest in InnovAge Senior Housing Thornton, LLC (“SH1”), which was organized to develop, construct, own, maintain, and operate certain apartment complexes intended for rental to low-income elderly individuals aged 62 or older.</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SH1 is a Variable Interest Entity ("VIE"). The Company is the primary beneficiary of SH1 and consolidates SH1 as it has the power to direct the activities that are most significant to SH1 and has an obligation to absorb losses or the right to receive benefits from SH1. The most significant activity of SH1 is the operation of the senior housing facility. The Company has provided a subordinated loan to SH1 and has provided a guarantee for a convertible term loan held by SH1.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InnovAge Sacramento</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Adventist contributed $5.8 million in cash and Eskaton contributed $3.0 million in cash for membership interests of 26.4% and 13.7%, respectively. In fiscal year 2021, the Company made an additional contribution of $0.1 million and obtained an additional 0.1% membership interest in the joint venture, which resulted in the Company obtaining control and consolidating InnovAge Sacramento as of January 1, 2021.</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of March 31, 2025, none of the conditions specified in the JV Agreement had been met. Accordingly, these put rights held by the noncontrolling interests of the joint venture are required to be presented as temporary equity and are recorded as redeemable noncontrolling interests on our condensed consolidated balance sheets. As of March 31, 2025 and June 30, 2024, the Company's redeemable noncontrolling interest was recorded at fair value of $22.1 million and $22.2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w:t>
      </w:r>
    </w:p>
    <w:p>
      <w:pPr>
        <w:spacing w:after="0" w:line="221" w:lineRule="exact"/>
        <w:rPr>
          <w:sz w:val="20"/>
          <w:szCs w:val="20"/>
          <w:color w:val="auto"/>
        </w:rPr>
      </w:pPr>
    </w:p>
    <w:p>
      <w:pPr>
        <w:ind w:left="1620" w:right="20" w:hanging="809"/>
        <w:spacing w:after="0" w:line="282" w:lineRule="auto"/>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 that the entity has the ability to access at the measurement date</w:t>
      </w:r>
    </w:p>
    <w:p>
      <w:pPr>
        <w:spacing w:after="0" w:line="162" w:lineRule="exact"/>
        <w:rPr>
          <w:sz w:val="20"/>
          <w:szCs w:val="20"/>
          <w:color w:val="auto"/>
        </w:rPr>
      </w:pPr>
    </w:p>
    <w:p>
      <w:pPr>
        <w:ind w:left="1620" w:right="20" w:hanging="809"/>
        <w:spacing w:after="0" w:line="282" w:lineRule="auto"/>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assets or liabilities</w:t>
      </w:r>
    </w:p>
    <w:p>
      <w:pPr>
        <w:spacing w:after="0" w:line="162" w:lineRule="exact"/>
        <w:rPr>
          <w:sz w:val="20"/>
          <w:szCs w:val="20"/>
          <w:color w:val="auto"/>
        </w:rPr>
      </w:pPr>
    </w:p>
    <w:p>
      <w:pPr>
        <w:ind w:left="8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7"/>
          <w:szCs w:val="17"/>
          <w:color w:val="auto"/>
        </w:rPr>
        <w:t>Unobservable inputs to the valuation techniques that are significant to the fair value measurements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cash, cash equivalents and marketable securities by significant investment category as of March 31, 2025 and June 30,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80" w:type="dxa"/>
            <w:vAlign w:val="bottom"/>
          </w:tcPr>
          <w:p>
            <w:pPr>
              <w:spacing w:after="0"/>
              <w:rPr>
                <w:sz w:val="11"/>
                <w:szCs w:val="11"/>
                <w:color w:val="auto"/>
              </w:rPr>
            </w:pPr>
          </w:p>
        </w:tc>
        <w:tc>
          <w:tcPr>
            <w:tcW w:w="106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Short-</w:t>
            </w:r>
          </w:p>
        </w:tc>
        <w:tc>
          <w:tcPr>
            <w:tcW w:w="0" w:type="dxa"/>
            <w:vAlign w:val="bottom"/>
          </w:tcPr>
          <w:p>
            <w:pPr>
              <w:spacing w:after="0"/>
              <w:rPr>
                <w:sz w:val="1"/>
                <w:szCs w:val="1"/>
                <w:color w:val="auto"/>
              </w:rPr>
            </w:pPr>
          </w:p>
        </w:tc>
      </w:tr>
      <w:tr>
        <w:trPr>
          <w:trHeight w:val="146"/>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2"/>
                <w:szCs w:val="12"/>
                <w:color w:val="auto"/>
              </w:rPr>
            </w:pPr>
          </w:p>
        </w:tc>
        <w:tc>
          <w:tcPr>
            <w:tcW w:w="106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80" w:type="dxa"/>
            <w:vAlign w:val="bottom"/>
          </w:tcPr>
          <w:p>
            <w:pPr>
              <w:spacing w:after="0"/>
              <w:rPr>
                <w:sz w:val="17"/>
                <w:szCs w:val="17"/>
                <w:color w:val="auto"/>
              </w:rPr>
            </w:pPr>
          </w:p>
        </w:tc>
        <w:tc>
          <w:tcPr>
            <w:tcW w:w="10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80" w:type="dxa"/>
            <w:vAlign w:val="bottom"/>
          </w:tcPr>
          <w:p>
            <w:pPr>
              <w:spacing w:after="0"/>
              <w:rPr>
                <w:sz w:val="11"/>
                <w:szCs w:val="11"/>
                <w:color w:val="auto"/>
              </w:rPr>
            </w:pPr>
          </w:p>
        </w:tc>
        <w:tc>
          <w:tcPr>
            <w:tcW w:w="106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Short-</w:t>
            </w:r>
          </w:p>
        </w:tc>
        <w:tc>
          <w:tcPr>
            <w:tcW w:w="0" w:type="dxa"/>
            <w:vAlign w:val="bottom"/>
          </w:tcPr>
          <w:p>
            <w:pPr>
              <w:spacing w:after="0"/>
              <w:rPr>
                <w:sz w:val="1"/>
                <w:szCs w:val="1"/>
                <w:color w:val="auto"/>
              </w:rPr>
            </w:pPr>
          </w:p>
        </w:tc>
      </w:tr>
      <w:tr>
        <w:trPr>
          <w:trHeight w:val="146"/>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2"/>
                <w:szCs w:val="12"/>
                <w:color w:val="auto"/>
              </w:rPr>
            </w:pPr>
          </w:p>
        </w:tc>
        <w:tc>
          <w:tcPr>
            <w:tcW w:w="106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80" w:type="dxa"/>
            <w:vAlign w:val="bottom"/>
          </w:tcPr>
          <w:p>
            <w:pPr>
              <w:spacing w:after="0"/>
              <w:rPr>
                <w:sz w:val="17"/>
                <w:szCs w:val="17"/>
                <w:color w:val="auto"/>
              </w:rPr>
            </w:pPr>
          </w:p>
        </w:tc>
        <w:tc>
          <w:tcPr>
            <w:tcW w:w="10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45,833</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Measurements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March 31, 2025 and June 30, 2024, the Company’s redeemable noncontrolling interest was recorded at fair value of $22.1 million and $22.2 million, respectively.</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in and out of Level 3 during the nine months ended March 31, 2025 and 2024. The Company’s policy is to recognize transfers as of the actual date of the event or change in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net assets acquired. The Company had goodwill of $142.0 million and $139.9 million as of March 31, 2025 and June 30, 2024, respectively. Goodwill is not amortized.</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we review the recoverability of goodwill annually as of April 1 or whenever significant events or changes occur which might impair the recovery of recorded amounts. For purposes of the annual goodwill impairment assessment, the Company identified two reporting units, East and West. There were no indicators of impairment identified and no goodwill impairment recorded during the nine months ended March 31, 2025 and 2024.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consisted of the following as of:</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118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8"/>
              </w:rPr>
              <w:t>6,600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8"/>
              </w:rPr>
              <w:t>6,600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75"/>
              <w:spacing w:after="0"/>
              <w:rPr>
                <w:sz w:val="20"/>
                <w:szCs w:val="20"/>
                <w:color w:val="auto"/>
              </w:rPr>
            </w:pPr>
            <w:r>
              <w:rPr>
                <w:rFonts w:ascii="Times New Roman" w:cs="Times New Roman" w:eastAsia="Times New Roman" w:hAnsi="Times New Roman"/>
                <w:sz w:val="18"/>
                <w:szCs w:val="18"/>
                <w:color w:val="auto"/>
                <w:w w:val="98"/>
              </w:rPr>
              <w:t>2,000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w w:val="98"/>
              </w:rPr>
              <w:t>2,000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8"/>
              </w:rPr>
              <w:t>8,600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8"/>
              </w:rPr>
              <w:t>8,600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55"/>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8"/>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8"/>
              </w:rPr>
              <w:t>4,538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Intangible assets consist primarily of customer relationships acquired through business acquisitions. The Company recorded amortization expense of $0.2 million for each of the three month periods ended March 31, 2025 and 2024. The Company recorded amortization expense of $0.5 million for each of the nine month periods ended March 31, 2025 and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nine months ended March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Arrangements as Lessee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2025 through 2037. We determine if an arrangement is a lease upon commencement of the contract. If an arrangement is determined to be a long-term lease (greater than 12 months), we recognize an ROU asset and lease liability based on the present value of the future minimum lease payments over the lease term at the commencement date. As most of our leases do not provide an implicit rate, we use our incremental borrowing rate based on the information available at commencement date in determining the present value of future payments. Our lease terms may also include options to extend or terminate the lease when it is reasonably certain that we will exercise those options. Lease expense for minimum lease payments is recognized on a straight-line basis over the lease term.</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elected to apply the short-term lease exception for contracts that have a lease term of twelve months or less and do not include an option to purchase the underlying asset. Therefore, we do not recognize a ROU asset or lease liability for such contracts. We recognize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our ROU assets and their classification in our Balance Sheet as of: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Balances</w:t>
            </w:r>
          </w:p>
        </w:tc>
        <w:tc>
          <w:tcPr>
            <w:tcW w:w="49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 Line Items</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80" w:type="dxa"/>
            <w:vAlign w:val="bottom"/>
          </w:tcPr>
          <w:p>
            <w:pPr>
              <w:spacing w:after="0"/>
              <w:rPr>
                <w:sz w:val="18"/>
                <w:szCs w:val="18"/>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0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9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Operating lease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9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49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44,324</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494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2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 $1.4 million impairment of operating lease ROU assets and during the nine months ended March 31, 2025. See Note 2, "Summary of Significant Accounting Policies".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our lease cost and the classification of such costs in our condensed consolidated statements of operations for the nine months ended March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Cost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expense:</w:t>
      </w:r>
    </w:p>
    <w:p>
      <w:pPr>
        <w:spacing w:after="0" w:line="23" w:lineRule="exact"/>
        <w:rPr>
          <w:sz w:val="20"/>
          <w:szCs w:val="20"/>
          <w:color w:val="auto"/>
        </w:rPr>
      </w:pPr>
    </w:p>
    <w:p>
      <w:pPr>
        <w:ind w:left="140" w:right="1040"/>
        <w:spacing w:after="0" w:line="323" w:lineRule="auto"/>
        <w:rPr>
          <w:sz w:val="20"/>
          <w:szCs w:val="20"/>
          <w:color w:val="auto"/>
        </w:rPr>
      </w:pPr>
      <w:r>
        <w:rPr>
          <w:rFonts w:ascii="Times New Roman" w:cs="Times New Roman" w:eastAsia="Times New Roman" w:hAnsi="Times New Roman"/>
          <w:sz w:val="17"/>
          <w:szCs w:val="17"/>
          <w:color w:val="auto"/>
        </w:rPr>
        <w:t>Amortization of leased assets Interest on lease liabilities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12"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71"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b w:val="1"/>
          <w:bCs w:val="1"/>
          <w:color w:val="auto"/>
        </w:rPr>
        <w:t>Total lease expense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Line Items</w:t>
            </w:r>
          </w:p>
        </w:tc>
        <w:tc>
          <w:tcPr>
            <w:tcW w:w="3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0" w:type="dxa"/>
            <w:vAlign w:val="bottom"/>
          </w:tcPr>
          <w:p>
            <w:pPr>
              <w:spacing w:after="0"/>
              <w:rPr>
                <w:sz w:val="1"/>
                <w:szCs w:val="1"/>
                <w:color w:val="auto"/>
              </w:rPr>
            </w:pPr>
          </w:p>
        </w:tc>
      </w:tr>
      <w:tr>
        <w:trPr>
          <w:trHeight w:val="213"/>
        </w:trPr>
        <w:tc>
          <w:tcPr>
            <w:tcW w:w="406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7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and Corporate, general and administrative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0" w:type="dxa"/>
            <w:vAlign w:val="bottom"/>
          </w:tcPr>
          <w:p>
            <w:pPr>
              <w:spacing w:after="0"/>
              <w:rPr>
                <w:sz w:val="1"/>
                <w:szCs w:val="1"/>
                <w:color w:val="auto"/>
              </w:rPr>
            </w:pPr>
          </w:p>
        </w:tc>
      </w:tr>
      <w:tr>
        <w:trPr>
          <w:trHeight w:val="45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40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and Corporate, general and administrative</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80"/>
        </w:trPr>
        <w:tc>
          <w:tcPr>
            <w:tcW w:w="40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and Corporate, general and administrative</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-1422400</wp:posOffset>
            </wp:positionV>
            <wp:extent cx="706374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3740" cy="26543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-1010920</wp:posOffset>
            </wp:positionV>
            <wp:extent cx="706374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63740"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-719455</wp:posOffset>
            </wp:positionV>
            <wp:extent cx="706374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3740" cy="26543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-187960</wp:posOffset>
            </wp:positionV>
            <wp:extent cx="706374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121" w:right="339" w:bottom="1440" w:gutter="0" w:footer="0" w:header="0"/>
          <w:type w:val="continuous"/>
        </w:sectPr>
      </w:pP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and finance leases as of March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58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03"/>
        </w:trPr>
        <w:tc>
          <w:tcPr>
            <w:tcW w:w="79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3"/>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48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7.0 years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years</w:t>
            </w:r>
          </w:p>
        </w:tc>
      </w:tr>
      <w:tr>
        <w:trPr>
          <w:trHeight w:val="234"/>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58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3.2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years</w:t>
            </w:r>
          </w:p>
        </w:tc>
      </w:tr>
      <w:tr>
        <w:trPr>
          <w:trHeight w:val="49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58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03"/>
        </w:trPr>
        <w:tc>
          <w:tcPr>
            <w:tcW w:w="79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3"/>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6.90 %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r>
      <w:tr>
        <w:trPr>
          <w:trHeight w:val="234"/>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7.69 %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7.94 %</w:t>
            </w:r>
          </w:p>
        </w:tc>
      </w:tr>
    </w:tbl>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includes the future maturities of lease payments for operating leases and finance leases for periods subsequent to March 31,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40" w:type="dxa"/>
            <w:vAlign w:val="bottom"/>
          </w:tcPr>
          <w:p>
            <w:pPr>
              <w:spacing w:after="0"/>
              <w:rPr>
                <w:sz w:val="13"/>
                <w:szCs w:val="13"/>
                <w:color w:val="auto"/>
              </w:rPr>
            </w:pPr>
          </w:p>
        </w:tc>
        <w:tc>
          <w:tcPr>
            <w:tcW w:w="114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6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remaining in 2025</w:t>
            </w:r>
          </w:p>
        </w:tc>
        <w:tc>
          <w:tcPr>
            <w:tcW w:w="2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11,849</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2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61,151</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liability accretion / imputed interest</w:t>
            </w:r>
          </w:p>
        </w:tc>
        <w:tc>
          <w:tcPr>
            <w:tcW w:w="2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42,640</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2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2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32,482</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2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at March 31, 2025 and June 30,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8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6"/>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80" w:type="dxa"/>
            <w:vAlign w:val="bottom"/>
          </w:tcPr>
          <w:p>
            <w:pPr>
              <w:spacing w:after="0"/>
              <w:rPr>
                <w:sz w:val="17"/>
                <w:szCs w:val="17"/>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borrowings: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63,750</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term loan</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maturities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61,478</w:t>
            </w: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Credit Agreement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(as amended, the “2021 Credit Agreement”) that replaced its prior credit agreement. The 2021 Credit Agreement consists of a senior secured term loan (the “Term Loan Facility”) of $75.0 million principal amount and a revolving credit facility (the “Revolving Credit Facility”) of $100.0 million maximum borrowing capacity, each with a maturity date of March 8, 2026. Borrowing capacity under the Revolving Credit Facility is subject to (i) any issued amounts under our letters of credit, which as of March 31, 2025 was $5.2 million, and (ii) applicable covenant compliance restrictions and any other conditions precedent to borrowing. Loans under the 2021 Credit Agreement are secured by substantially all of the Company’s assets. Principal on the Term Loan Facility is paid each calendar quarter in an amount equal to 1.25% of the initial term loan on closing date.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Outstanding principal amounts under the 2021 Credit Agreement accrue interest at a variable interest rate. As of March 31, 2025, the interest rate on the Term Loan Facility was 6.14%. Under the terms of the 2021 Credit Agreement, the Revolving Credit Facility fee accrues at 0.25% of the average daily unused amount and is paid quarterly. As of March 31, 2025, we had no borrowings outstanding, $5.2 million of letters of credit issued, and $94.8 million of remaining capacity under the Revolving Credit Facility.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As of March 31, 2025, the Company was in compliance with the covenants of the 2021 Credit Agreement.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deferred financing costs of $2.0 million are amortized over the term of the underlying debt and unamortized amounts have been offset against long-term debt in the condensed consolidated balance sheets. Total amortization of deferred financing costs was $0.1 million for each of the three months ended March 31, 2025 and 2024. Total amortization of deferred financing costs was $0.3 million for each of the nine months ended March 31, 2025 and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Term Loan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29, 2015, SH1 entered into a convertible term loan. Principal and interest payments of $0.02 million are due monthly. The loan bears interest at an annual rate of 6.68%, with the remaining principal balance due upon maturity at August 20, 2030. The loan is secured by a deed of trust to Public Trustee, assignment of leases and rents, security agreements, and SH1’s fixture filing.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and be subject to claims. The Company regularly evaluates the status of claims and legal proceedings in which it is involved in order to assess whether a loss is probable or there is a reasonable possibility that a loss may have been incurred, and to determine whether accruals are appropriate. The Company expenses legal costs as such costs are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Civil Investigative Demands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2021, the Company received a civil investigative demand from the Attorney General for the State of Colorado under the Colorado Medicaid False Claims Act. The demand requested information and documents regarding Medicaid billing, patient services and referrals in connection with the Company’s PACE program in Colorado. The Company continues to fully cooperate with the Attorney General. The Company is currently unable to predict the outcome of this investigation.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2022, the Company received a civil investigative demand from the Department of Justice (“DOJ”) under the Federal False Claims Act on similar subject matter. The demand requested information and documents regarding audits, billing, orders tracking, and quality and timeliness of patient services in connection with the Company’s PACE programs in the states where the Company operated as of 2022 (California, Colorado, New Mexico, Pennsylvania, and Virginia). In December 2022, the Company received a supplemental civil investigative demand requesting supplemental information on the same matters. The Company and the DOJ have begun discussions to understand their respective positions on this matter. At this time, the Company is unable to predict the outcome of these discussions.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2024, the Company received a civil investigative demand from the DOJ under the Federal False Claims Act on a similar subject matter. The demand requests information and documents regarding the Company's relationship as a PACE provider with residential care facilities in California, Colorado, Virginia and New Mexico, related housing costs, and enrollment practices. The Company is fully cooperating with the DOJ and producing the requested information and documentation. The Company is currently unable to predict the outcome of this investigation.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Lawsuits</w:t>
      </w:r>
    </w:p>
    <w:p>
      <w:pPr>
        <w:spacing w:after="0" w:line="24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On October 14, 2021, the Company was named as a defendant in a putative class action complaint filed in the District Court for the District of Colorado on behalf of individuals who purchased or acquired shares of the Company’s common stock during a specified period (the “Securities Action”). Through the complaint, plaintiffs asserted claims against the Company, certain of the Company’s officers and directors, Apax Partners, L.P., Welsh, Carson, Anderson &amp; Stowe and the underwriters in the Company’s IPO, alleging violations of Sections 11, 12(a)(2) 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w:t>
      </w:r>
    </w:p>
    <w:p>
      <w:pPr>
        <w:spacing w:after="0" w:line="211"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The Company and the other defendants have entered into a binding term sheet with the plaintiffs agreeing to settle all claims in exchange for a payment by the Company of $27.0 million, subject to entering into final settlement documents and approval by the District Court. After adjusting for the settlement amounts to be paid directly by the Company's insurers, the Company has recorded $10.7 million within accounts payable and accrued expenses representing its anticipated share of the settlement amount in the third quarter of fiscal 2025. Until final settlement documents are signed by all the parties and the District Court grants final approval of the settlement, which is expected no earlier than the first quarter of fiscal 2026, there can be no assurances that the settlement will be completed on the terms disclosed herein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On April 20, 2022, the Board of Directors of the Company received a books and records demand pursuant to Section 220 of the Delaware General Corporation Law, from a purported stockholder of the Company, Brian Hall, in connection with the stockholder’s investigation of, among other matters, potential breaches of fiduciary duty, mismanagement, self-dealing, corporate waste or other violations of law by the Company’s Board with respect to these matters.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June 28, 2023, upon stipulation of the parties, the court entered an order staying the litigation pending the resolution of the motion to dismiss in the Securities Action or upon fifteen days’ notice by any party to the litigation. On January 22, 2024, upon stipulation of the parties, the court entered an order further staying the litigation pending the close of fact discovery in the Securities Action or upon order of the Court granting a motion to lift the stay. We are currently unable to predict the outcome of this matter.</w:t>
      </w:r>
    </w:p>
    <w:p>
      <w:pPr>
        <w:spacing w:after="0" w:line="2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results of legal proceedings and claims are inherently unpredictable and uncertain.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summary of our aggregate stock-based compensation expense is set forth below. Stock-based compensation expense is included in corporate, general and administrative expenses on our condensed consolidated statements of operations.</w:t>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21590</wp:posOffset>
            </wp:positionV>
            <wp:extent cx="22371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6" w:lineRule="exact"/>
        <w:rPr>
          <w:sz w:val="20"/>
          <w:szCs w:val="20"/>
          <w:color w:val="auto"/>
        </w:rPr>
      </w:pPr>
    </w:p>
    <w:p>
      <w:pPr>
        <w:ind w:left="480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21590</wp:posOffset>
            </wp:positionV>
            <wp:extent cx="22371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21590</wp:posOffset>
            </wp:positionV>
            <wp:extent cx="22371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6"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21590</wp:posOffset>
            </wp:positionV>
            <wp:extent cx="22371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ectPr>
          <w:pgSz w:w="11900" w:h="16838" w:orient="portrait"/>
          <w:cols w:equalWidth="0" w:num="2">
            <w:col w:w="7700" w:space="720"/>
            <w:col w:w="2820"/>
          </w:cols>
          <w:pgMar w:left="320" w:top="121" w:right="339" w:bottom="1440" w:gutter="0" w:footer="0" w:header="0"/>
          <w:type w:val="continuous"/>
        </w:sectPr>
      </w:pP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Profits interests units</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223"/>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r>
      <w:tr>
        <w:trPr>
          <w:trHeight w:val="20"/>
        </w:trPr>
        <w:tc>
          <w:tcPr>
            <w:tcW w:w="4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Profits Interests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TCO Group Holdings, L.P. (the “LP”), the Company’s largest shareholder and prior to the IPO, the Company’s parent, maintains the TCO Group Holdings, L.P. Equity Incentive Plan (the "2020 Equity Incentive Plan") pursuant to which interests in the LP in the form of Class B Units (profits interests) may be granted to employees, directors, consultants, advisers, and other services providers (including partners) of the LP or any of its affiliates, including the Company. A maximum number of 16,162,177 Class B Units are authorized for grant under the 2020 Equity Incentive Plan. Both performance-based and time-based units have been issued under the plan. As of March 31, 2025, a total of 15,872,837 profits interests units had been granted under the 2020 Equity Incentive Plan.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used the Monte Carlo option model to determine the fair value of the granted profits interests units at the time of the grant. Expected stock price volatility is based on consideration of indications observed from several publicly traded peer companies. The risk-free interest 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 outstanding. A total of 2,213,700 Class B Units were awarded during the nine months ended March 31, 2024 to the Company's Chief Executive Officer, Chief Financial Officer, and Chief Legal Officer. A total of 650,000 Class B Units were awarded during the nine months ended March 31, 2025 to the Company's President and Chief Operating Officer. The assumptions under the Monte Carlo model related to profit interests units, presented on a weighted-average basis, are provided below:</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2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2500" w:type="dxa"/>
            <w:vAlign w:val="bottom"/>
            <w:tcBorders>
              <w:top w:val="single" w:sz="8" w:color="auto"/>
              <w:bottom w:val="single" w:sz="8" w:color="auto"/>
            </w:tcBorders>
          </w:tcPr>
          <w:p>
            <w:pPr>
              <w:jc w:val="right"/>
              <w:ind w:right="9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7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 - time vesting units</w:t>
            </w:r>
          </w:p>
        </w:tc>
        <w:tc>
          <w:tcPr>
            <w:tcW w:w="27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27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7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60" w:type="dxa"/>
            <w:vAlign w:val="bottom"/>
            <w:shd w:val="clear" w:color="auto" w:fill="CCEEFF"/>
          </w:tcPr>
          <w:p>
            <w:pPr>
              <w:spacing w:after="0"/>
              <w:rPr>
                <w:sz w:val="19"/>
                <w:szCs w:val="19"/>
                <w:color w:val="auto"/>
              </w:rPr>
            </w:pP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underlying stock</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60" w:type="dxa"/>
            <w:vAlign w:val="bottom"/>
          </w:tcPr>
          <w:p>
            <w:pPr>
              <w:spacing w:after="0"/>
              <w:rPr>
                <w:sz w:val="20"/>
                <w:szCs w:val="20"/>
                <w:color w:val="auto"/>
              </w:rPr>
            </w:pPr>
          </w:p>
        </w:tc>
      </w:tr>
    </w:tbl>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profits interests activity for the nine months ended March 31, 2025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Time-based unit awards</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1,287,113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(433,917)</w:t>
            </w:r>
          </w:p>
        </w:tc>
        <w:tc>
          <w:tcPr>
            <w:tcW w:w="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1,178,196</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Performance-based unit awards</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1,371,671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1,696,671</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cost related to profits interests units outstanding as of March 31, 2025 was $4.2 million, comprised (i) $1.7 million related to time-based unit awards expected to be recognized over a weighted-average period of 2.9 years and (ii) $2.5 million related to performance-based unit awards, which will be recorded when it is probable that the performance-based criteria will be met.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Omnibus Incentive Plan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2021, the Compensation Committee of the Board of Directors approved the InnovAge Holding Corp. 2021 Omnibus Incentive Plan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over a three-year period with one-third vesting on each anniversary of the date of grant. Certain other vesting periods have also been used. The grant date fair value of restricted stock units with time-based vesting is based on the closing market price of our common stock on the date of grant. Certain other awards under this plan, including units and stock options, vest upon achieving specific share price performance criteria and are determined to have performance-based vesting conditions. The Company has also issued time-based vesting stock options under this plan to its employees which generally vest in equal parts over a three-year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time-based vesting restricted stock units activity for the nine months ended March 31, 2025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 time based</w:t>
            </w: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2,864,319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(423,329)</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2,388,431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time based restricted stock units outstanding as of March 31, 2025 was $6.0 million and is expected to be recognized over a weighted-average period of 1.4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performance based vesting restricted stock units activity for the nine months ended March 31, 2025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 performance based</w:t>
            </w: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 based vesting restricted stock units outstanding as of March 31, 2025 was $0.2 million and is expected to be recognized over a weighted-average period of 1.3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time-based vesting stock option activity for the nine months ended March 31, 2025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 - time based</w:t>
            </w: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4140" w:type="dxa"/>
            <w:vAlign w:val="bottom"/>
            <w:tcBorders>
              <w:bottom w:val="single" w:sz="8" w:color="auto"/>
            </w:tcBorders>
            <w:vMerge w:val="continue"/>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41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5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3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balance, March 31, 2025</w:t>
            </w:r>
          </w:p>
        </w:tc>
        <w:tc>
          <w:tcPr>
            <w:tcW w:w="5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balance, March 31, 2025</w:t>
            </w:r>
          </w:p>
        </w:tc>
        <w:tc>
          <w:tcPr>
            <w:tcW w:w="5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450,528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900"/>
        </w:trPr>
        <w:tc>
          <w:tcPr>
            <w:tcW w:w="4140" w:type="dxa"/>
            <w:vAlign w:val="bottom"/>
          </w:tcPr>
          <w:p>
            <w:pPr>
              <w:spacing w:after="0"/>
              <w:rPr>
                <w:sz w:val="24"/>
                <w:szCs w:val="24"/>
                <w:color w:val="auto"/>
              </w:rPr>
            </w:pPr>
          </w:p>
        </w:tc>
        <w:tc>
          <w:tcPr>
            <w:tcW w:w="394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costs related to time-based vesting stock options outstanding as of March 31, 2025 was $0.02 million and is expected to be recognized over a weighted-average period of 0.2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performance-based vesting stock option activity for the nine months ended March 31, 2025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 - performance based</w:t>
            </w: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performance-based vesting stock options outstanding as of March 31, 2025 was $0.3 million and is expected to be recognized over a weighted-average period of 1.3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Concerto</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 2023, the Company acquired all of the issued and outstanding membership interests of two California-based PACE programs, ConcertoCare PACE of Bakersfield, LLC and ConcertoHealth PACE of Los Angeles, LLC (collectively "Concerto"), from Perfect Health, Inc. d/b/a ConcertoCare, a tech-enabled, value-based provider of at-home, comprehensive care for seniors and other adults with unmet health and social needs, for $23.9 million. We believe the Concerto acquisition complements our California PACE centers. The acquisition was funded through cash on hand. Results of operations from the acquired centers are included in our condensed consolidated statements of operations for the three and nine months ended March 31, 2025 and were not significant to our results. Costs related to the acquisition during the nine months ended March 31, 2025 were insignificant. Acquisition related costs were expensed as incurred and have been recorded in corporate, general and administrative expenses in our condensed consolidated statements of operations.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Concerto acquisition was accounted for using the purchase method of accounting. The purchase price has been allocated to the assets acquired and liabilities assumed based on their estimated fair values at the date of acquisition. Goodwill represents the excess of the purchase price over the fair value of net assets acquired. Goodwill recognized represents the estimated future economic benefits arising from expected growth opportunities for the Company and is not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finalized allocation of the purchase price to the assets acquired and liabilities assumed as of the acquisition date, measurement period adjustments and the allocation as of March 31, 2025:</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200" w:type="dxa"/>
            <w:vAlign w:val="bottom"/>
          </w:tcPr>
          <w:p>
            <w:pPr>
              <w:spacing w:after="0"/>
              <w:rPr>
                <w:sz w:val="17"/>
                <w:szCs w:val="17"/>
                <w:color w:val="auto"/>
              </w:rPr>
            </w:pPr>
          </w:p>
        </w:tc>
        <w:tc>
          <w:tcPr>
            <w:tcW w:w="14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280" w:type="dxa"/>
            <w:vAlign w:val="bottom"/>
          </w:tcPr>
          <w:p>
            <w:pPr>
              <w:spacing w:after="0"/>
              <w:rPr>
                <w:sz w:val="17"/>
                <w:szCs w:val="17"/>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w:t>
            </w:r>
          </w:p>
        </w:tc>
      </w:tr>
      <w:tr>
        <w:trPr>
          <w:trHeight w:val="241"/>
        </w:trPr>
        <w:tc>
          <w:tcPr>
            <w:tcW w:w="6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period adjustments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08"/>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91"/>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74"/>
        </w:trPr>
        <w:tc>
          <w:tcPr>
            <w:tcW w:w="6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gridSpan w:val="2"/>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23"/>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and estimated claims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assets and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1"/>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the preliminary allocation in December 2023, we recognized a measurement period adjustment for lease incentives related to tenant improvements. The adjustment resulted in an increase of $0.7 million to prepaid expenses and $0.9 million to operating lease assets, a decrease of $0.1 million to accounts receivable and $0.1 million to accounts payable and accrued expenses, and a corresponding decrease of $1.6 million to goodwill. The Company does not expect any additional adjustments as the allocation has been finalized.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TRHC</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2, 2025, the Company completed the acquisition of certain pharmacy assets from Tabula Rasa Healthcare Group, Inc. ("TRHC"), a leading pharmacy care management company, for a total purchase price of $4.8 million. The acquisition was funded through cash on hand.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TRHC acquisition was accounted for using the purchase method of accounting. The purchase price has been allocated to the assets acquired and liabilities assumed based on their estimated fair values at the date of acquisition. Goodwill represents the excess of the purchase price over the fair value of net assets acquired and the estimated future economic benefits arising from expected growth opportunities for the Company and is not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preliminary allocation of the purchase price to the assets acquired and liabilities assumed as of the acquisition date, measurement period adjustments and the allocation as of March 31, 2025:</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200" w:type="dxa"/>
            <w:vAlign w:val="bottom"/>
          </w:tcPr>
          <w:p>
            <w:pPr>
              <w:spacing w:after="0"/>
              <w:rPr>
                <w:sz w:val="17"/>
                <w:szCs w:val="17"/>
                <w:color w:val="auto"/>
              </w:rPr>
            </w:pPr>
          </w:p>
        </w:tc>
        <w:tc>
          <w:tcPr>
            <w:tcW w:w="1680" w:type="dxa"/>
            <w:vAlign w:val="bottom"/>
          </w:tcPr>
          <w:p>
            <w:pPr>
              <w:jc w:val="center"/>
              <w:ind w:right="371"/>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w:t>
            </w:r>
          </w:p>
        </w:tc>
      </w:tr>
      <w:tr>
        <w:trPr>
          <w:trHeight w:val="241"/>
        </w:trPr>
        <w:tc>
          <w:tcPr>
            <w:tcW w:w="60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1880" w:type="dxa"/>
            <w:vAlign w:val="bottom"/>
            <w:tcBorders>
              <w:bottom w:val="single" w:sz="8" w:color="auto"/>
            </w:tcBorders>
            <w:gridSpan w:val="2"/>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period adjustments</w:t>
            </w:r>
          </w:p>
        </w:tc>
        <w:tc>
          <w:tcPr>
            <w:tcW w:w="1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12"/>
        </w:trPr>
        <w:tc>
          <w:tcPr>
            <w:tcW w:w="6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371"/>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20" w:type="dxa"/>
            <w:vAlign w:val="bottom"/>
            <w:shd w:val="clear" w:color="auto" w:fill="CCEEFF"/>
          </w:tcPr>
          <w:p>
            <w:pPr>
              <w:spacing w:after="0"/>
              <w:rPr>
                <w:sz w:val="18"/>
                <w:szCs w:val="18"/>
                <w:color w:val="auto"/>
              </w:rPr>
            </w:pP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48"/>
        </w:trPr>
        <w:tc>
          <w:tcPr>
            <w:tcW w:w="6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tcPr>
          <w:p>
            <w:pPr>
              <w:spacing w:after="0"/>
              <w:rPr>
                <w:sz w:val="19"/>
                <w:szCs w:val="19"/>
                <w:color w:val="auto"/>
              </w:rPr>
            </w:pPr>
          </w:p>
        </w:tc>
        <w:tc>
          <w:tcPr>
            <w:tcW w:w="16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00" w:type="dxa"/>
            <w:vAlign w:val="bottom"/>
          </w:tcPr>
          <w:p>
            <w:pPr>
              <w:spacing w:after="0"/>
              <w:rPr>
                <w:sz w:val="19"/>
                <w:szCs w:val="19"/>
                <w:color w:val="auto"/>
              </w:rPr>
            </w:pPr>
          </w:p>
        </w:tc>
        <w:tc>
          <w:tcPr>
            <w:tcW w:w="16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9"/>
                <w:szCs w:val="19"/>
                <w:color w:val="auto"/>
              </w:rPr>
            </w:pPr>
          </w:p>
        </w:tc>
        <w:tc>
          <w:tcPr>
            <w:tcW w:w="16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obligation</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3"/>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assets and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1"/>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not recognized any measurement period adjustments as of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expense (benefit) of $0.1 million and $(0.2) million for the three months ended March 31, 2025 and 2024, respectively. The Company recorded an income tax expense of $0.5 million and $0.1 million for the nine months ended March 31, 2025 and March 31, 2024, respectively. This represents an effective tax rate of (0.7)% and 3.5% for the three months ended March 31, 2025 and 2024, respectively, and an effective tax rate of (1.7)% and (0.5)% for the nine months ended March 31, 2025 and March 31, 2024, respectively.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rate for the nine months ended March 31, 2025 was different from the federal statutory rate primarily due to the Company’s book loss offset partially by disallowed officers’ compensation under Internal Revenue Code (“IRC”) Section 162(m), disallowed stock options related to the profit interest units, exclusion of losses from entities not subject to tax, lobbying expenses, a change to the Pennsylvania tax rate, and the increase in the Company's valuation allowance against net operating losses which occurred during the nine-month period ended March 31, 2025.</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the nine-month period ended March 31, 2025, the Company determined that it is not “more likely than not” that the deferred tax assets associated with certain state net operating losses will be realized and as such continues to maintain a valuation allowance against these state deferred tax assets. The Company also determined it is not "more likely than not" that the deferred tax assets associated with certain federal net operating losses will be realized and as such has included a valuation allowance against these federal deferred tax assets. The Company has provided $24.8 million at March 31, 2025 and $15.9 million at June 30, 2024, as a valuation allowance against its deferred tax assets for federal and state net operating losses and state 163(j) interest expense limitations where there is not sufficient positive evidence to substantiate that these deferred tax assets will be realized at a more-likely-than-not level of assurance.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Basic earnings (loss) per share (“EPS”) is computed using the weighted-average number of common shares outstanding during the period. Diluted EPS is computed using the weighted-average number of common shares outstanding during the period, plus the dilutive effect of outstanding options and other equity awards,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EPS. When net income from continuing operations exists, performance-based units are omitted from the calculation of diluted EPS until it is determined that the performance criteria has been met at the end of the reporting period. For the three and nine months ended March 31, 2024, 116,222 and 137,627 of potentially dilutive securities were excluded from the weighted-average shares used to calculate the diluted net loss per common share, respectively, as they would have an anti-dilutive effect. For the three and nine months ended March 31, 2025, 222,469 and 389,531 of potentially dilutive securities were excluded from the weighted average shares used to calculate the diluted net loss per common share, respectively, as they would have an anti-dilutive effect.</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68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values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InnovAge Holding Corp.</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135,200,314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135,908,256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135,471,907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135,861,922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 (basic)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shares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135,200,314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135,908,256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135,471,907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135,861,922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applies the effective provisions of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three operating segments, two of which are related to the Company’s PACE offering. The PACE-related operating segments are based on two geographic divisions, which are East and West. Due to the similar economic characteristics, nature of services, and customers, we have aggregated our East and West operating segments into one reportable segment for PACE. The Company’s remaining operating segment primarily relates to Senior Housing, which is an immaterial operating segment, and shown below as "All other" along with certain corporate unallocated expenses.</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performance and allocates capital resources to each segment based on an operating model that is designed to maximize the quality of care provided and profitability. The Company does not review assets by segment and therefore assets by segment are not disclosed below. For the periods presented, all of the Company’s long-lived assets were located in the United States and all revenue was earned in the United States.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CODM uses Center-level Contribution Margin as the measure for assessing performance of its operating segments. Center-level Contribution Margin is defined as total segment revenues less external provider costs and cost of care (excluding depreciation and amortization). The Company allocates corporate level expenses to its segments with a majority of the allocation going to the PACE segment.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operating results regularly provided to the CODM by segment for the three months ended March 31, 2025 and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220"/>
              <w:spacing w:after="0" w:line="196" w:lineRule="exact"/>
              <w:rPr>
                <w:sz w:val="20"/>
                <w:szCs w:val="20"/>
                <w:color w:val="auto"/>
              </w:rPr>
            </w:pPr>
            <w:r>
              <w:rPr>
                <w:rFonts w:ascii="Times New Roman" w:cs="Times New Roman" w:eastAsia="Times New Roman" w:hAnsi="Times New Roman"/>
                <w:sz w:val="14"/>
                <w:szCs w:val="14"/>
                <w:b w:val="1"/>
                <w:bCs w:val="1"/>
                <w:color w:val="auto"/>
                <w:w w:val="98"/>
              </w:rPr>
              <w:t>All other</w:t>
            </w:r>
            <w:r>
              <w:rPr>
                <w:rFonts w:ascii="Times New Roman" w:cs="Times New Roman" w:eastAsia="Times New Roman" w:hAnsi="Times New Roman"/>
                <w:sz w:val="18"/>
                <w:szCs w:val="18"/>
                <w:b w:val="1"/>
                <w:bCs w:val="1"/>
                <w:color w:val="auto"/>
                <w:w w:val="98"/>
                <w:vertAlign w:val="superscript"/>
              </w:rPr>
              <w:t>(a)</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220"/>
              <w:spacing w:after="0" w:line="196" w:lineRule="exact"/>
              <w:rPr>
                <w:sz w:val="20"/>
                <w:szCs w:val="20"/>
                <w:color w:val="auto"/>
              </w:rPr>
            </w:pPr>
            <w:r>
              <w:rPr>
                <w:rFonts w:ascii="Times New Roman" w:cs="Times New Roman" w:eastAsia="Times New Roman" w:hAnsi="Times New Roman"/>
                <w:sz w:val="14"/>
                <w:szCs w:val="14"/>
                <w:b w:val="1"/>
                <w:bCs w:val="1"/>
                <w:color w:val="auto"/>
                <w:w w:val="98"/>
              </w:rPr>
              <w:t>All other</w:t>
            </w:r>
            <w:r>
              <w:rPr>
                <w:rFonts w:ascii="Times New Roman" w:cs="Times New Roman" w:eastAsia="Times New Roman" w:hAnsi="Times New Roman"/>
                <w:sz w:val="18"/>
                <w:szCs w:val="18"/>
                <w:b w:val="1"/>
                <w:bCs w:val="1"/>
                <w:color w:val="auto"/>
                <w:w w:val="98"/>
                <w:vertAlign w:val="superscript"/>
              </w:rPr>
              <w:t>(a)</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192,756</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193,071</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99,996</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59,078</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33,997</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Overhead costs</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34,728</w:t>
            </w: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Impairment of right-of-use asset and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equity method investment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operating results regularly provided to the CODM by reportable segment for the nine months ended March 31, 2025 and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20"/>
              <w:spacing w:after="0" w:line="196" w:lineRule="exact"/>
              <w:rPr>
                <w:sz w:val="20"/>
                <w:szCs w:val="20"/>
                <w:color w:val="auto"/>
              </w:rPr>
            </w:pPr>
            <w:r>
              <w:rPr>
                <w:rFonts w:ascii="Times New Roman" w:cs="Times New Roman" w:eastAsia="Times New Roman" w:hAnsi="Times New Roman"/>
                <w:sz w:val="14"/>
                <w:szCs w:val="14"/>
                <w:b w:val="1"/>
                <w:bCs w:val="1"/>
                <w:color w:val="auto"/>
                <w:w w:val="98"/>
              </w:rPr>
              <w:t>All other</w:t>
            </w:r>
            <w:r>
              <w:rPr>
                <w:rFonts w:ascii="Times New Roman" w:cs="Times New Roman" w:eastAsia="Times New Roman" w:hAnsi="Times New Roman"/>
                <w:sz w:val="18"/>
                <w:szCs w:val="18"/>
                <w:b w:val="1"/>
                <w:bCs w:val="1"/>
                <w:color w:val="auto"/>
                <w:w w:val="98"/>
                <w:vertAlign w:val="superscript"/>
              </w:rPr>
              <w:t>(a)</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20"/>
              <w:spacing w:after="0" w:line="196" w:lineRule="exact"/>
              <w:rPr>
                <w:sz w:val="20"/>
                <w:szCs w:val="20"/>
                <w:color w:val="auto"/>
              </w:rPr>
            </w:pPr>
            <w:r>
              <w:rPr>
                <w:rFonts w:ascii="Times New Roman" w:cs="Times New Roman" w:eastAsia="Times New Roman" w:hAnsi="Times New Roman"/>
                <w:sz w:val="14"/>
                <w:szCs w:val="14"/>
                <w:b w:val="1"/>
                <w:bCs w:val="1"/>
                <w:color w:val="auto"/>
                <w:w w:val="98"/>
              </w:rPr>
              <w:t>All other</w:t>
            </w:r>
            <w:r>
              <w:rPr>
                <w:rFonts w:ascii="Times New Roman" w:cs="Times New Roman" w:eastAsia="Times New Roman" w:hAnsi="Times New Roman"/>
                <w:sz w:val="18"/>
                <w:szCs w:val="18"/>
                <w:b w:val="1"/>
                <w:bCs w:val="1"/>
                <w:color w:val="auto"/>
                <w:w w:val="98"/>
                <w:vertAlign w:val="superscript"/>
              </w:rPr>
              <w:t>(a)</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223"/>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631,293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631,293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563,490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563,490</w:t>
            </w:r>
          </w:p>
        </w:tc>
      </w:tr>
      <w:tr>
        <w:trPr>
          <w:trHeight w:val="22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564,454</w:t>
            </w:r>
          </w:p>
        </w:tc>
      </w:tr>
      <w:tr>
        <w:trPr>
          <w:trHeight w:val="22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300,319</w:t>
            </w:r>
          </w:p>
        </w:tc>
      </w:tr>
      <w:tr>
        <w:trPr>
          <w:trHeight w:val="176"/>
        </w:trPr>
        <w:tc>
          <w:tcPr>
            <w:tcW w:w="33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196,947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168,227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168,649</w:t>
            </w: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95,486</w:t>
            </w:r>
          </w:p>
        </w:tc>
      </w:tr>
      <w:tr>
        <w:trPr>
          <w:trHeight w:val="223"/>
        </w:trPr>
        <w:tc>
          <w:tcPr>
            <w:tcW w:w="336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Overhead costs</w:t>
            </w:r>
            <w:r>
              <w:rPr>
                <w:rFonts w:ascii="Times New Roman" w:cs="Times New Roman" w:eastAsia="Times New Roman" w:hAnsi="Times New Roman"/>
                <w:sz w:val="23"/>
                <w:szCs w:val="23"/>
                <w:color w:val="auto"/>
                <w:vertAlign w:val="superscript"/>
              </w:rPr>
              <w:t>(b)</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100,162</w:t>
            </w:r>
          </w:p>
        </w:tc>
      </w:tr>
      <w:tr>
        <w:trPr>
          <w:trHeight w:val="23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w:t>
            </w:r>
          </w:p>
        </w:tc>
      </w:tr>
      <w:tr>
        <w:trPr>
          <w:trHeight w:val="175"/>
        </w:trPr>
        <w:tc>
          <w:tcPr>
            <w:tcW w:w="33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Impairment of right-of-use asset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2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equity method investment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660" w:hanging="652"/>
        <w:spacing w:after="0" w:line="249" w:lineRule="auto"/>
        <w:tabs>
          <w:tab w:leader="none" w:pos="65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Center-level Contribution Margin from a segment below the quantitative thresholds is attributable to the Senior Housing operating segment of the Company. This segment has never met any of the quantitative thresholds for determining reportable segments.</w:t>
      </w:r>
    </w:p>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Overhead consists of the Sales and marketing and Corporate, general and administrative financial statement line items.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PWD Amended and Restated Agreement of Limited Partnership, CCH helped fund operating deficits and shortfalls of PWD in the form of a loan (the “PWD Loan”). The PWD Loan did not accrue interest. Additionally, CCH was paid an administration fee of less than $0.1 million per year. On March 13, 2024, PWD entered into a Purchase and Sale Agreement for the sale of all of PWD's property, including the Senior Housing unit.</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May 2, 2024, PWD closed on the sale of its Senior Housing property for $9.5 million. Upon completion of the sale, PWD ceased providing senior housing services and was dissolved. Following the dissolution, the remaining proceeds from the sale were distributed in accordance with the partnership agreement and as otherwise agreed by the partners. The Company received net proceeds of $4.8 million in connection with the dissolution.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 Repurchase Program</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June 10, 2024, the Company announced the Board's authorization of a share repurchase program of up to $5.0 million of the Company's common stock. On September 26, 2024, the Company announced the Board's authorization to increase the share repurchase program by an additional $2.5 million of the Company's common stock. During the three months ended March 31, 2025, the Company repurchased 314,926 shares of its common stock for approximately $1.1 million, all of which were placed in Treasury. During the nine months ended March 31, 2025, the Company repurchased 1,324,600 shares of its common stock for approximately $7.0 million, all of which were placed in Treasury.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4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May 6, 2025, the date on which the condensed consolidated financial statements were issued and noted there were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our Annual Report on Form 10-K for the fiscal year ended June 30, 2024 (“2024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InnovAge Holding Corp. (“InnovAge”) became a public company in March 2021. As of March 31, 2025, the Company served approximately 7,530 PACE participants, and operated 20 PACE centers across California, Colorado, Florida, New Mexico, Pennsylvania, and Virginia.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 Affecting the Company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Increased cost of care. </w:t>
      </w:r>
      <w:r>
        <w:rPr>
          <w:rFonts w:ascii="Times New Roman" w:cs="Times New Roman" w:eastAsia="Times New Roman" w:hAnsi="Times New Roman"/>
          <w:sz w:val="18"/>
          <w:szCs w:val="18"/>
          <w:color w:val="auto"/>
        </w:rPr>
        <w:t>In fiscal year 2025, we have experienced increased cost of care per participant and expect to continue to do so for the remainder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fiscal year, partially as a result of increased salaries, wages and benefits. We currently also anticipate increased cost of care from our third-party service providers in an effort to offset their heightened expenses resulting from tariff increases and trade disputes. We believe that our clinical value initiatives and operational value initiatives, which continue to be developed, may assist us in offsetting the increasing cost of care.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Census and capitation revenue. </w:t>
      </w:r>
      <w:r>
        <w:rPr>
          <w:rFonts w:ascii="Times New Roman" w:cs="Times New Roman" w:eastAsia="Times New Roman" w:hAnsi="Times New Roman"/>
          <w:sz w:val="18"/>
          <w:szCs w:val="18"/>
          <w:color w:val="auto"/>
        </w:rPr>
        <w:t>We experienced, and continue to experience, delays and increased gaps in eligibility both for new enrollments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Medicaid redetermination applications during fiscal years 2024 and 2025 due to processing delays and other enrollment and redetermination procedures that vary by State and county. Specifically, in the State of California, processing delays have resulted in lower estimated per member, per month ("PMPM") amounts which triggered a negative adjustment for prior PMPM estimates and is also expected to reduce the reimbursements we receive from the State. As a result, during the third quarter of fiscal 2025, we increased the proportion of new enrollments submitted prior to the first enrollment deadline each month to minimize enrollment processing efforts by the State of California. We expect to continue these mitigating measures during the remainder of fiscal year 2025, as well as broadly utilizing State approved third-party eligibility partners to expedite applications and escalate delayed cases to State administrators. During fiscal year 2024 and the first three quarters of fiscal year 2025, these delays and eligibility gaps have not had a material effect on the Company's financial statements or operations. We will continue to assess the situation as it evolves.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Labor market</w:t>
      </w:r>
      <w:r>
        <w:rPr>
          <w:rFonts w:ascii="Times New Roman" w:cs="Times New Roman" w:eastAsia="Times New Roman" w:hAnsi="Times New Roman"/>
          <w:sz w:val="18"/>
          <w:szCs w:val="18"/>
          <w:color w:val="auto"/>
        </w:rPr>
        <w:t>. The healthcare sector continues to experience a complex set of challenges in hiring additional professionals. Specifically, the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healthcare services has been steadily increasing due to an aging population and a greater focus on health and wellness in society. In addition, there are systemic challenges related to workforce training and the pipeline of qualified professionals, which have not kept pace with this growing demand. Wage pressure in the healthcare industry is a significant concern. Wage pressure arises when there is a high demand for healthcare services but a limited supply of qualified professionals, leading to increased competition for workers and upward pressure on wages. The rapidly aging population has increased the demand for healthcare services, especially for geriatrics. Simultaneously, many experienced healthcare workers are reaching retirement age, reducing the workforce supply.</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an aging population combined with a shortage of clinicians, creates pressures and increased demand on the limited number of residential facilities. There is uncertainty regarding the access of our participants to residential facilities. The high demand for such facilities may lead such facilities prioritizing patients who are private payors to avoid the frequently changing Medicare and Medicaid program reimbursement rates and rules, annual caps and regulatory requirements.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as a result of the adoption of California Senate Bill No. 525 ("SB 525"), which raised minimum wage for many California healthcare workers and impacted many of our contractors and other third-party providers, combined with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macroeconomic factors, our California centers have received provider requests to increase rates to cover their increased labor costs. As a result of competition generated by SB 525 and other California market conditions, we have received rate increases from third party vendors, including home health and care partner services, increasing our cost of care in California. We also increased our wages for impacted healthcare workers and other comparable market positions in the California market. These increases did not have a material impact on our cost of care or labor costs, financial statements or operations for fiscal year 2024 or the three and nine months ended March 31, 2025. We will continue to evaluate the impact of this and other similar future legislation on our business.</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Macroeconomic Trends. </w:t>
      </w:r>
      <w:r>
        <w:rPr>
          <w:rFonts w:ascii="Times New Roman" w:cs="Times New Roman" w:eastAsia="Times New Roman" w:hAnsi="Times New Roman"/>
          <w:sz w:val="18"/>
          <w:szCs w:val="18"/>
          <w:color w:val="auto"/>
        </w:rPr>
        <w:t>Recent U.S. tariff announcements, retaliatory measures by other countries, and significant uncertainty surrounding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tensions may result in higher prices for medical and other supplies and lead to supply chain disruptions and additional costs. The degree to which tariffs affect the global supply chain and our business will depend on their timing, duration and magnitude, which may be changed at any time and with little or no prior notice. For additional information on the various risks posed by macroeconomic events, regulation, and employee matters, please see the section entitled “Risk Factors” included in Part I, Item 1A of our 2024 10-K.</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Performance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historical financial performance has been, and we expect our financial performance in the future to be, driven by the following factors:</w:t>
      </w:r>
    </w:p>
    <w:p>
      <w:pPr>
        <w:spacing w:after="0" w:line="223" w:lineRule="exact"/>
        <w:rPr>
          <w:sz w:val="20"/>
          <w:szCs w:val="20"/>
          <w:color w:val="auto"/>
        </w:rPr>
      </w:pPr>
    </w:p>
    <w:p>
      <w:pPr>
        <w:jc w:val="both"/>
        <w:ind w:left="980" w:hanging="324"/>
        <w:spacing w:after="0" w:line="253"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participants. </w:t>
      </w:r>
      <w:r>
        <w:rPr>
          <w:rFonts w:ascii="Times New Roman" w:cs="Times New Roman" w:eastAsia="Times New Roman" w:hAnsi="Times New Roman"/>
          <w:sz w:val="18"/>
          <w:szCs w:val="18"/>
          <w:color w:val="auto"/>
        </w:rPr>
        <w:t>We focus on providing all-inclusive care to frail, high-cost, dual-eligible seniors. We directly contract with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believe we manage a higher acuity population, with an average risk adjustment factor (“RAF”) score of 2.46 based on InnovAge data as of March 31, 2025; and (ii) we have Medicaid spend in addition to Medicare. Our participants are managed on a capitated, or at-risk basis, where InnovAge is financially responsible for all participant medical costs. Our comprehensive care model and globally capitated payments are designed to cover participants from enrollment until the end of life, including coverage for participants requiring hospice and palliative care. For dual-eligible participants, we receive PMPM payments directly from Medicare and Medicaid, which provides recurring revenue streams and significant visibility into our revenue. The Medicare portion of our capitated payment is risk-based on the underlying medical conditions and frailty of each participant. We continue to strengthen our expanding payer capabilities so that our revenue more accurately reflects the acuity of the populations we serve.</w:t>
      </w:r>
    </w:p>
    <w:p>
      <w:pPr>
        <w:spacing w:after="0" w:line="189" w:lineRule="exact"/>
        <w:rPr>
          <w:rFonts w:ascii="Times New Roman" w:cs="Times New Roman" w:eastAsia="Times New Roman" w:hAnsi="Times New Roman"/>
          <w:sz w:val="18"/>
          <w:szCs w:val="18"/>
          <w:color w:val="auto"/>
        </w:rPr>
      </w:pPr>
    </w:p>
    <w:p>
      <w:pPr>
        <w:jc w:val="both"/>
        <w:ind w:left="980" w:right="20" w:hanging="324"/>
        <w:spacing w:after="0" w:line="267"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grow enrollment and capacity within existing centers. </w:t>
      </w:r>
      <w:r>
        <w:rPr>
          <w:rFonts w:ascii="Times New Roman" w:cs="Times New Roman" w:eastAsia="Times New Roman" w:hAnsi="Times New Roman"/>
          <w:sz w:val="18"/>
          <w:szCs w:val="18"/>
          <w:color w:val="auto"/>
        </w:rPr>
        <w:t>We believe all seniors should have access to the type of all-inclusive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by the PACE model. Several factors can affect our ability to grow enrollment and capacity within existing centers, including sanctions issued by regulators or suspensions of State attestations required to open new de novo centers.</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maintain high participant satisfaction and retention. </w:t>
      </w:r>
      <w:r>
        <w:rPr>
          <w:rFonts w:ascii="Times New Roman" w:cs="Times New Roman" w:eastAsia="Times New Roman" w:hAnsi="Times New Roman"/>
          <w:sz w:val="18"/>
          <w:szCs w:val="18"/>
          <w:color w:val="auto"/>
        </w:rPr>
        <w:t>Our comprehensive individualized care model and frequency of interaction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participants generates high levels of participant satisfaction. Our average participant tenure was 3.1 years as of March 31, 2025, measured as tenure from enrollment to disenrollment, among our centers that have been operated by us for at least five years. Furthermore, we experience low levels of voluntary disenrollment, averaging 6.9% annually over the last three fiscal years.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Effectively managing the cost of care for our participants</w:t>
      </w:r>
      <w:r>
        <w:rPr>
          <w:rFonts w:ascii="Times New Roman" w:cs="Times New Roman" w:eastAsia="Times New Roman" w:hAnsi="Times New Roman"/>
          <w:sz w:val="18"/>
          <w:szCs w:val="18"/>
          <w:color w:val="auto"/>
        </w:rPr>
        <w:t>. We receive capitated payments to manage the totality of a participant’s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 across all settings. The risk pool of our population is highly acute. Together with the factors disclosed above (increased salaries, wages and benefits,annual increases in assisted living and nursing facility unit cost and general medical inflation) our external provider costs and cost of care, excluding depreciation and amortization, represented approximately 82% of our revenue in the nine months ended March 31, 2025.</w:t>
      </w:r>
    </w:p>
    <w:p>
      <w:pPr>
        <w:spacing w:after="0" w:line="183" w:lineRule="exact"/>
        <w:rPr>
          <w:rFonts w:ascii="Times New Roman" w:cs="Times New Roman" w:eastAsia="Times New Roman" w:hAnsi="Times New Roman"/>
          <w:sz w:val="18"/>
          <w:szCs w:val="18"/>
          <w:color w:val="auto"/>
        </w:rPr>
      </w:pPr>
    </w:p>
    <w:p>
      <w:pPr>
        <w:ind w:left="980" w:hanging="324"/>
        <w:spacing w:after="0" w:line="284"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Center-level Contribution Margin</w:t>
      </w:r>
      <w:r>
        <w:rPr>
          <w:rFonts w:ascii="Times New Roman" w:cs="Times New Roman" w:eastAsia="Times New Roman" w:hAnsi="Times New Roman"/>
          <w:sz w:val="18"/>
          <w:szCs w:val="18"/>
          <w:color w:val="auto"/>
        </w:rPr>
        <w:t>. The Company's management uses Center-level Contribution Margin as the measure for assessing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its operating segments. As we serve more participants in existing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centers, we expect to leverage our fixed cost base at those centers and increase the value of a center to our business over time.</w:t>
      </w:r>
    </w:p>
    <w:p>
      <w:pPr>
        <w:spacing w:after="0" w:line="223" w:lineRule="exact"/>
        <w:rPr>
          <w:sz w:val="20"/>
          <w:szCs w:val="20"/>
          <w:color w:val="auto"/>
        </w:rPr>
      </w:pPr>
    </w:p>
    <w:p>
      <w:pPr>
        <w:jc w:val="both"/>
        <w:ind w:left="980" w:hanging="324"/>
        <w:spacing w:after="0" w:line="25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expand via de novo centers within existing and new markets. </w:t>
      </w:r>
      <w:r>
        <w:rPr>
          <w:rFonts w:ascii="Times New Roman" w:cs="Times New Roman" w:eastAsia="Times New Roman" w:hAnsi="Times New Roman"/>
          <w:sz w:val="18"/>
          <w:szCs w:val="18"/>
          <w:color w:val="auto"/>
        </w:rPr>
        <w:t>Several factors can affect our ability to open de novo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sanctions issued by regulators, legal, community or other obstacles in the construction of such centers, and our ability to hire and train enough workers to ramp up these centers to maturity. In response to an audit to our Sacramento center and a medical review of our San Bernardino center, which have been previously disclosed, the California Department of Health Care Services (“DHCS") notified us that it was suspending its attestations in support of the planned de novo center in Downey and the recently acquired planned de novo center in Bakersfield. CMS has closed its process and DHCS's process is ongoing. While the planned California de novo centers are precluded from opening at this time, DHCS notified us that it would consider restoring the State Attestations upon our successful remediation of the deficiencies raised in our Sacramento center and its completion of the medical review (and any potential resultant remediation that may be required) in our San Bernardino center.</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Execute tuck-in acquisitions and partnerships. </w:t>
      </w:r>
      <w:r>
        <w:rPr>
          <w:rFonts w:ascii="Times New Roman" w:cs="Times New Roman" w:eastAsia="Times New Roman" w:hAnsi="Times New Roman"/>
          <w:sz w:val="18"/>
          <w:szCs w:val="18"/>
          <w:color w:val="auto"/>
        </w:rPr>
        <w:t>Since fiscal year 2019, we have acquired and integrated four PACE organizations for a total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eight operational centers (excluding the PACE center in Bakersfield, California, which is not yet operational). These acquisitions represent expansion of our InnovAge Platform into one new state and five new markets. By bringing acquired organizations under the InnovAge Platform, we hope to further realize revenue growth and improve operational efficiency and care delivery post-integration. We also have pursued and intend to continue pursuing additional relationships with key stakeholders, existing organizations and other care providers in order to form partnerships in target geographies, such as the joint venture we entered into with respect to our Orlando PACE center with Orlando Health during the fourth quarter of fiscal year 2024. On January 2, 2025, with the goal of supporting our growth and improving pharmacy cost-management, we completed the acquisition of certain pharmacy assets from Tabula Rasa HealthCare Group, Inc. (“TRHC”), a leading pharmacy care management company, for a total purchase price of $4.8 million. Pursuant to a Management Services Agreement, TRHC provides management services to our acquired pharmacy business with an initial term of five years.</w:t>
      </w:r>
    </w:p>
    <w:p>
      <w:pPr>
        <w:spacing w:after="0" w:line="185"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high quality of regulatory compliance</w:t>
      </w:r>
      <w:r>
        <w:rPr>
          <w:rFonts w:ascii="Times New Roman" w:cs="Times New Roman" w:eastAsia="Times New Roman" w:hAnsi="Times New Roman"/>
          <w:sz w:val="18"/>
          <w:szCs w:val="18"/>
          <w:color w:val="auto"/>
        </w:rPr>
        <w:t>. The Company's priority is to continue to maintain high quality of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in all its centers.</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Contracting with government payors</w:t>
      </w:r>
      <w:r>
        <w:rPr>
          <w:rFonts w:ascii="Times New Roman" w:cs="Times New Roman" w:eastAsia="Times New Roman" w:hAnsi="Times New Roman"/>
          <w:sz w:val="18"/>
          <w:szCs w:val="18"/>
          <w:color w:val="auto"/>
        </w:rPr>
        <w:t>. Our economic model relies on our capitated arrangements with government payors, namely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Medicaid. We view the government not only as a payor but also as a key partner in our efforts to expand into new geographies and access more participants in our existing markets. Any reduction in the budgetary appropriation for our services from government payors, whether as a result of fiscal constraints due to recession or changes in policy could result in a reduction in our capitated fee payment. As a result, maintaining, supporting and growing these relationships in existing markets as well as new geographies, is critical to our long-term success.</w:t>
      </w:r>
    </w:p>
    <w:p>
      <w:pPr>
        <w:spacing w:after="0" w:line="183" w:lineRule="exact"/>
        <w:rPr>
          <w:rFonts w:ascii="Times New Roman" w:cs="Times New Roman" w:eastAsia="Times New Roman" w:hAnsi="Times New Roman"/>
          <w:sz w:val="18"/>
          <w:szCs w:val="18"/>
          <w:i w:val="1"/>
          <w:iCs w:val="1"/>
          <w:color w:val="auto"/>
        </w:rPr>
      </w:pPr>
    </w:p>
    <w:p>
      <w:pPr>
        <w:jc w:val="both"/>
        <w:ind w:left="980" w:hanging="324"/>
        <w:spacing w:after="0" w:line="25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Investing to support growth</w:t>
      </w:r>
      <w:r>
        <w:rPr>
          <w:rFonts w:ascii="Times New Roman" w:cs="Times New Roman" w:eastAsia="Times New Roman" w:hAnsi="Times New Roman"/>
          <w:sz w:val="18"/>
          <w:szCs w:val="18"/>
          <w:color w:val="auto"/>
        </w:rPr>
        <w:t>. We intend to continue investing in our centers, value-based care model, and sales and marketing organization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long-term growth. We expect our expenses to increase in absolute dollars for the foreseeable future to support our growth due, partially, to additional costs we incur in connection with our audits to our centers, remediation plans and current and potential legal and regulatory proceedings. We plan to invest in future growth judiciously and maintain focus on managing our results of operations. We are investing to increase our sophistication as a payor to drive clinical value, improve outcomes, and manage cost trends.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Seasonality of our business</w:t>
      </w:r>
      <w:r>
        <w:rPr>
          <w:rFonts w:ascii="Times New Roman" w:cs="Times New Roman" w:eastAsia="Times New Roman" w:hAnsi="Times New Roman"/>
          <w:sz w:val="18"/>
          <w:szCs w:val="18"/>
          <w:color w:val="auto"/>
        </w:rPr>
        <w:t>. Our operational and financial results, including medical costs and per-participant revenue true-ups,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some variability depending upon the time of year in which they are measured. Medical costs vary most significantly as a result of</w:t>
      </w:r>
    </w:p>
    <w:p>
      <w:pPr>
        <w:jc w:val="both"/>
        <w:ind w:left="980"/>
        <w:spacing w:after="0" w:line="253" w:lineRule="auto"/>
        <w:tabs>
          <w:tab w:leader="none" w:pos="12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weather, with certain illnesses, such as the influenza and COVID-19 viruses,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from CMS, which is based on CMS’s determination of a participant’s RAF score as measured twice per year and is based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the evolving acuity of a participant. Where there is a difference between our estimate and the final determination from CMS, we may record either an increase or decrease in true-up revenue. Historically, these true-up payments typically occur between May and August, but the timing of these payments is determined by CMS, and we have neither visibility into nor control over the timing of such payments. The variability of participant enrollments during the open enrollment period has also been impacted by additional offerings by MA and other competitors.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Capitation Revenue</w:t>
      </w:r>
      <w:r>
        <w:rPr>
          <w:rFonts w:ascii="Times New Roman" w:cs="Times New Roman" w:eastAsia="Times New Roman" w:hAnsi="Times New Roman"/>
          <w:sz w:val="18"/>
          <w:szCs w:val="18"/>
          <w:color w:val="auto"/>
        </w:rPr>
        <w:t>. In order to provide comprehensive services to manage the totality of a participant’s medical care across all settings, we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 or capitated fees per participant that are paid monthly by Medicare, Medicaid, Veterans Affairs (“VA”) and private pay sources.</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Medicaid and Medicare capitation revenues are based on PMPM capitation rates under the PACE program. The PACE state contracts between us and the respective state Medicaid administering agency are renewed annually each June 30 in all states other than California and Pennsylvania, which contract on a calendar-year basis. We are currently operating in good standing under each of our PACE state contracts. For a discussion of our 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2024 10-K.</w:t>
      </w:r>
    </w:p>
    <w:p>
      <w:pPr>
        <w:spacing w:after="0" w:line="18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Service Revenue. </w:t>
      </w:r>
      <w:r>
        <w:rPr>
          <w:rFonts w:ascii="Times New Roman" w:cs="Times New Roman" w:eastAsia="Times New Roman" w:hAnsi="Times New Roman"/>
          <w:sz w:val="18"/>
          <w:szCs w:val="18"/>
          <w:color w:val="auto"/>
        </w:rPr>
        <w:t>Other service revenue primarily consists of revenues derived from state food grants and rent revenues. For a discussion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2024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consist primarily of the costs for medical care provided by non-InnovAge providers. We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external provider costs into four categories: inpatient (e.g., hospital), housing (e.g., assisted living and skilled nursing facility), outpatient and pharmacy. In aggregate, external provider costs represent the largest portion of our expenses.</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 includes the costs we incur to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care delivery model. This includes costs 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a result, as revenue increases due to census growth, cost of care, excluding depreciation and amortization, moderately decreases as a percentage of revenue. As we open new centers, we expect cost of care, excluding depreciation and amortization, to increase in absolute dollars due to higher census and facility related costs.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employee-related expenses, including salaries, commissions, and employee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for all employees engaged in marketing, sales, community outreach and sales support as well as financial eligibility support for both prospective and existing participants.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8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Expenses. </w:t>
      </w:r>
      <w:r>
        <w:rPr>
          <w:rFonts w:ascii="Times New Roman" w:cs="Times New Roman" w:eastAsia="Times New Roman" w:hAnsi="Times New Roman"/>
          <w:sz w:val="18"/>
          <w:szCs w:val="18"/>
          <w:color w:val="auto"/>
        </w:rPr>
        <w:t>Corporate, general and administrative expenses include employee-related expenses,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and related costs. In addition, general and administrative expenses include all corporate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technology and occupancy costs associated with our corporate office. We expect our general and administrative expenses to increase in absolute dollars due to the additional legal, accounting, insurance, investor relations and other costs that we incur as a public company, as well as other costs associated with compliance and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are primarily attributable to our buildings and leasehold improvements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equipment and vehicles. Depreciation and amortization are recorded using the straight-line method over the shorter of estimated useful life or lease terms, to the extent the assets are being leased.</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relating to the components of our results of operations,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2024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294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37"/>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5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Capitation revenue</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217,819</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192,756</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631,293</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563,490</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service revenue</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37"/>
        </w:trPr>
        <w:tc>
          <w:tcPr>
            <w:tcW w:w="4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564,454</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External provider costs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300,319</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care, excluding depreciation and amortization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69,499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168,649</w:t>
            </w:r>
          </w:p>
        </w:tc>
        <w:tc>
          <w:tcPr>
            <w:tcW w:w="0" w:type="dxa"/>
            <w:vAlign w:val="bottom"/>
          </w:tcPr>
          <w:p>
            <w:pPr>
              <w:spacing w:after="0"/>
              <w:rPr>
                <w:sz w:val="1"/>
                <w:szCs w:val="1"/>
                <w:color w:val="auto"/>
              </w:rPr>
            </w:pPr>
          </w:p>
        </w:tc>
      </w:tr>
      <w:tr>
        <w:trPr>
          <w:trHeight w:val="243"/>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general and administrative</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81,746</w:t>
            </w:r>
          </w:p>
        </w:tc>
        <w:tc>
          <w:tcPr>
            <w:tcW w:w="0" w:type="dxa"/>
            <w:vAlign w:val="bottom"/>
          </w:tcPr>
          <w:p>
            <w:pPr>
              <w:spacing w:after="0"/>
              <w:rPr>
                <w:sz w:val="1"/>
                <w:szCs w:val="1"/>
                <w:color w:val="auto"/>
              </w:rPr>
            </w:pPr>
          </w:p>
        </w:tc>
      </w:tr>
      <w:tr>
        <w:trPr>
          <w:trHeight w:val="243"/>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of right-of-use asset and construction in progress</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expenses</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228,300</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198,864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659,893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582,751</w:t>
            </w: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(10,158)</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 net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income</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43"/>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(loss) on equity method investment</w:t>
            </w:r>
          </w:p>
        </w:tc>
        <w:tc>
          <w:tcPr>
            <w:tcW w:w="3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7"/>
        </w:trPr>
        <w:tc>
          <w:tcPr>
            <w:tcW w:w="45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other expense</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(Benefit) for Income Taxes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4"/>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(20,967)</w:t>
            </w:r>
          </w:p>
        </w:tc>
        <w:tc>
          <w:tcPr>
            <w:tcW w:w="0" w:type="dxa"/>
            <w:vAlign w:val="bottom"/>
          </w:tcPr>
          <w:p>
            <w:pPr>
              <w:spacing w:after="0"/>
              <w:rPr>
                <w:sz w:val="1"/>
                <w:szCs w:val="1"/>
                <w:color w:val="auto"/>
              </w:rPr>
            </w:pPr>
          </w:p>
        </w:tc>
      </w:tr>
      <w:tr>
        <w:trPr>
          <w:trHeight w:val="33"/>
        </w:trPr>
        <w:tc>
          <w:tcPr>
            <w:tcW w:w="4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52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interests</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0" w:type="dxa"/>
            <w:vAlign w:val="bottom"/>
          </w:tcPr>
          <w:p>
            <w:pPr>
              <w:spacing w:after="0"/>
              <w:rPr>
                <w:sz w:val="1"/>
                <w:szCs w:val="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InnovAge Holding Corp.</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(5,887)</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(29,528)</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(19,638)</w:t>
            </w: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4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300" w:type="dxa"/>
            <w:vAlign w:val="bottom"/>
          </w:tcPr>
          <w:p>
            <w:pPr>
              <w:spacing w:after="0"/>
              <w:rPr>
                <w:sz w:val="16"/>
                <w:szCs w:val="16"/>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Capitation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192,756</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631,293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service revenue</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65"/>
        </w:trPr>
        <w:tc>
          <w:tcPr>
            <w:tcW w:w="1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193,071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632,282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Capitation revenue. </w:t>
      </w:r>
      <w:r>
        <w:rPr>
          <w:rFonts w:ascii="Times New Roman" w:cs="Times New Roman" w:eastAsia="Times New Roman" w:hAnsi="Times New Roman"/>
          <w:sz w:val="18"/>
          <w:szCs w:val="18"/>
          <w:color w:val="auto"/>
        </w:rPr>
        <w:t>Capitation revenue was $217.8 million for the three months ended March 31, 2025, an increase of $25.1 million, or 13.0%,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$192.8 million for the three months ended March 31, 2024. This increase was driven by a $4.4 million, or 2.1%, increase in capitation rates coupled with $20.7 million, or 10.7%, increase in member months for the three months ended March 31, 2025 as compared to the three months ended March 31, 2024. The increase in capitation rates for the three months ended March 31, 2025 was primarily driven by (i) a 8.8% annual increase in Medicaid capitation rates as determined by the States partially offset by revenue reserve and (ii) a 3.7% increase in Medicare capitation rates partially offset by risk score true up accrual timing compared to the prior year. The increase in member months was primarily due to growth in our California and Colorado centers and to a lesser extent due to the addition of de novo centers in Florida and the Concerto acquisition.</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Capitation revenue was $631.3 million for the nine months ended March 31, 2025, an increase of $67.8 million, or 12.0%, compared to $563.5 million for the nine months ended March 31, 2024. This increase was driven by a $10.6 million, or 1.7%, increase in capitation rates coupled with a $57.2 million, or 10.2%, increase in member months for the nine months ended March 31, 2025 as compared to the nine months ended March 31, 2024. The increase in capitation rates includes a 6.6% increase in Medicaid rates partially offset by revenue reserve and a 2.6% increase in Medicare rates partially offset by an out of cycle risk score true up payment received in the prior year. The increase in member months was primarily due to growth in our California and Colorado centers and to a lesser extent due to the addition of de novo centers in Florida and the Concerto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9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March</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External provider costs</w:t>
            </w: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322,983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care (excluding depreciation and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2,701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0" w:type="dxa"/>
            <w:vAlign w:val="bottom"/>
          </w:tcPr>
          <w:p>
            <w:pPr>
              <w:spacing w:after="0"/>
              <w:rPr>
                <w:sz w:val="1"/>
                <w:szCs w:val="1"/>
                <w:color w:val="auto"/>
              </w:rPr>
            </w:pPr>
          </w:p>
        </w:tc>
      </w:tr>
      <w:tr>
        <w:trPr>
          <w:trHeight w:val="23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general, and administrative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5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175"/>
        </w:trPr>
        <w:tc>
          <w:tcPr>
            <w:tcW w:w="32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Impairment of right-of-use asset and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33"/>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659,893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77,142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were $107.9 million for the three months ended March 31, 2025, an increase of $7.9 million, or 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$100.0 million for the three months ended March 31, 2024. The increase was driven by an increase of $10.7 million, or 10.7%, in member months partially offset by a decrease of $2.8 million, or 2.5% in cost per participant for the three months ended March 31, 2025 as compared to the three months ended March 31, 2024. The decrease in cost per participant for the three months ended March 31, 2025 was primarily driven by a decrease in assisted living, permanent nursing facility, and short stay skilled nursing facility utilization, a decrease in external hospice care associated with the transition of this function to internal clinical resources, and a decrease in pharmacy expense associated with higher rebates and the transition to in-house pharmacy services. The decrease in cost per participant was partially offset by an increase in inpatient unit cost, and an annual increase in assisted living and permanent nursing facility unit cost.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External provider costs were $323.0 million for the nine months ended March 31, 2025, an increase of $22.7 million, or 7.5%, compared to $300.3 million for the nine months ended March 31, 2024. This increase was driven by an increase of $30.5 million, or 10.2%, in member months partially offset by a decrease of $7.8 million, or 2.4%, in cost per participant for the nine months ended March 31, 2025 as compared to the nine months ended March 31, 2024. The decrease in cost per participant was primarily driven by a decrease in inpatient, assisted living, permanent nursing facility and short stay skilled nursing facility utilization, a decrease in external hospice care associated with the transition of this function to internal clinical resources, and a decrease in pharmacy expense associated with higher rebates and the transition to in-house pharmacy services. The decrease in cost per participant was partially offset by an increase in inpatient unit cost, and an annual increase in assisted living and permanent nursing facility unit cost.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 expense was $69.5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2025, an increase of $10.4 million, or 17.6%, compared to $59.1 million for the three months ended March 31, 2024, due to an increase of $4.1 million, or 6.3%, in cost per participant coupled with an increase of $6.3 million, or 10.7%, in member months. The increase in cost per participant and the increase in member months for the three months ended March 31, 2025 as compared to the three months ended March 31, 2024 was primarily driven by (i) a $6.3 million increase in salaries, wages and benefits associated with increased headcount and higher wage rates, (ii) $0.9 million in contract provider expense in California associated with growth, (iii) $2.1 million in third party fees and shipping costs associated with in-house pharmacy services, and (iv) $1.0 million in fleet costs including contract transportation.</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Cost of care (excluding depreciation and amortization) expense was $196.9 million for the nine months ended March 31, 2025, an increase of $28.3 million, or 16.8%, compared to $168.6 million for the nine months ended March 31, 2024, due to an increase of $11.2 million, or 6.0%, in cost per participant coupled with an increase of $17.1 million, or 10.2%, in member months. The increase in cost per participant and the increase in member months for the nine months ended March 31, 2025 as compared to the nine months ended March 31, 2024 was primarily driven by (i) a $18.6 million increase in salaries, wages, and benefits associated with increased headcount and higher wage rates, (ii) $1.5 million in increased software license fees, (iii) $1.9 million in de novo occupancy and administrative expense associated with opening centers in Florida and the Concerto acquisition, (iv) $2.4 million in contract provider expense in California associated with growth, (v) $2.1 million in third party fees and shipping costs associated with in-house pharmacy services, (vi) $0.5 million in contract provider recruiting expense, and (vii) $0.8 million in supplies and other administrative expense.</w:t>
      </w:r>
    </w:p>
    <w:p>
      <w:pPr>
        <w:spacing w:after="0" w:line="19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were $6.9 million for the three months ended March 31, 2025, a decrease of $0.3 million, or 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$7.2 million for the three months ended March 31, 2024, primarily due to lower marketing expense partially offset by increased headcount to support growth.</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were $21.1 million for the nine months ended March 31, 2025, an increase of $2.7 million, or 14.7%, compared to $18.4 million for the nine months ended March 31, 2024 primarily due to increased headcount and marketing spend to support growth.</w:t>
      </w:r>
    </w:p>
    <w:p>
      <w:pPr>
        <w:spacing w:after="0" w:line="16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w:t>
      </w:r>
      <w:r>
        <w:rPr>
          <w:rFonts w:ascii="Times New Roman" w:cs="Times New Roman" w:eastAsia="Times New Roman" w:hAnsi="Times New Roman"/>
          <w:sz w:val="18"/>
          <w:szCs w:val="18"/>
          <w:color w:val="auto"/>
        </w:rPr>
        <w:t>Corporate, general and administrative expenses were $38.6 million for the three months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$11.0 million, or 40.1%, compared to $27.5 million for the three months ended March 31, 2024. This increase for the three months ended March 31, 2025 as compared to the three months ended March 31, 2024 was primarily due to (i) accrual of $10.7 million for the anticipated settlement of the stockholder lawsuit (ii) $1.9 million increase in employee compensation and benefits as the result of an increase in headcount and wage rates to support compliance and bolster organizational capabilities and (iii) $0.5 million in fees associated with claims payment integrity audits. These increases were partially offset by (i) $0.3 million decrease in software license fees, (ii) $0.2 million reduction in recruiting fees, (iii) $0.6 million reduction in consulting expense associated with improving organizational capabilities including the transition to a new electronic medical record ("EMR") system, (iv) $0.5 million reduction in insurance expense, and (v) $0.4 million decrease in contract services.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Corporate, general and administrative expenses were $94.2 million for the nine months ended March 31, 2025, an increase of $12.5 million, or 15.3%, compared to $81.7 million for the nine months ended March 31, 2024. This increase for the nine months ended March 31, 2025 as compared to the nine months ended March 31, 2024 was primarily due to (i) $10.7 million for the anticipated settlement of the stockholder lawsuit, (ii) $6.2 million increase in employee compensation and benefits as the result of an increase in headcount and wage rates to support compliance and bolster organizational capabilities,</w:t>
      </w:r>
    </w:p>
    <w:p>
      <w:pPr>
        <w:spacing w:after="0" w:line="3" w:lineRule="exact"/>
        <w:rPr>
          <w:sz w:val="20"/>
          <w:szCs w:val="20"/>
          <w:color w:val="auto"/>
        </w:rPr>
      </w:pPr>
    </w:p>
    <w:p>
      <w:pPr>
        <w:ind w:firstLine="8"/>
        <w:spacing w:after="0" w:line="260"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in fees associated with claims payment integrity audits, and (iv) $0.4 million in recruiting fees. These increases in cost were partially offset by (i) $4.7 million reduction in consulting expense associated with</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improving organizational capabilities including the transition to a new EMR system and (ii) $1.4 million reduction in insurance expense.</w:t>
      </w:r>
    </w:p>
    <w:p>
      <w:pPr>
        <w:spacing w:after="0" w:line="22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right-of-use ("ROU") asset and construction in progress. </w:t>
      </w:r>
      <w:r>
        <w:rPr>
          <w:rFonts w:ascii="Times New Roman" w:cs="Times New Roman" w:eastAsia="Times New Roman" w:hAnsi="Times New Roman"/>
          <w:sz w:val="18"/>
          <w:szCs w:val="18"/>
          <w:color w:val="auto"/>
        </w:rPr>
        <w:t>Impairment of ROU asset and construction in progress were $8.5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March 31, 2025. This increase was due to the Company recording a $1.4 million impairment of operating lease ROU assets and a $7.1 million impairment of construction in progress during the nine months ended March 31, 2025, related to halting developments to a previously planned de novo center in Louisville, Kentucky that the Company is no longer pursuing. There were no impairments recorded during the three months ended March 31, 2025 and the three and nine months ended March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580" w:type="dxa"/>
            <w:vAlign w:val="bottom"/>
          </w:tcPr>
          <w:p>
            <w:pPr>
              <w:spacing w:after="0"/>
              <w:rPr>
                <w:sz w:val="16"/>
                <w:szCs w:val="16"/>
                <w:color w:val="auto"/>
              </w:rPr>
            </w:pP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ind w:left="141"/>
              <w:spacing w:after="0"/>
              <w:rPr>
                <w:sz w:val="20"/>
                <w:szCs w:val="20"/>
                <w:color w:val="auto"/>
              </w:rPr>
            </w:pPr>
            <w:r>
              <w:rPr>
                <w:rFonts w:ascii="Times New Roman" w:cs="Times New Roman" w:eastAsia="Times New Roman" w:hAnsi="Times New Roman"/>
                <w:sz w:val="16"/>
                <w:szCs w:val="16"/>
                <w:color w:val="auto"/>
              </w:rPr>
              <w:t>(2,619)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33"/>
        </w:trPr>
        <w:tc>
          <w:tcPr>
            <w:tcW w:w="1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income</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ind w:left="181"/>
              <w:spacing w:after="0"/>
              <w:rPr>
                <w:sz w:val="20"/>
                <w:szCs w:val="20"/>
                <w:color w:val="auto"/>
              </w:rPr>
            </w:pPr>
            <w:r>
              <w:rPr>
                <w:rFonts w:ascii="Times New Roman" w:cs="Times New Roman" w:eastAsia="Times New Roman" w:hAnsi="Times New Roman"/>
                <w:sz w:val="16"/>
                <w:szCs w:val="16"/>
                <w:color w:val="auto"/>
                <w:w w:val="99"/>
              </w:rPr>
              <w:t>2,043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 (loss) on equity</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method investment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left="141"/>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0" w:type="dxa"/>
            <w:vAlign w:val="bottom"/>
          </w:tcPr>
          <w:p>
            <w:pPr>
              <w:spacing w:after="0"/>
              <w:rPr>
                <w:sz w:val="1"/>
                <w:szCs w:val="1"/>
                <w:color w:val="auto"/>
              </w:rPr>
            </w:pPr>
          </w:p>
        </w:tc>
      </w:tr>
      <w:tr>
        <w:trPr>
          <w:trHeight w:val="237"/>
        </w:trPr>
        <w:tc>
          <w:tcPr>
            <w:tcW w:w="1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other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center"/>
              <w:ind w:left="141"/>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consists primarily of interest payments on our outstanding borrowings, net of interest income earned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 and restricted cash. Interest expense, net was $1.2 million for the three months ended March 31, 2025, a decrease of $0.1 million, or 13.5%, compared to $1.0 million for the three months ended March 31, 2024. The decrease for the three months ended March 31, 2025 as compared to the three months ended March 31, 2024 was primarily due to interest expense of $1.4 million, which was partially offset by interest income of $0.3 million from money market funds for the three months ended March 31, 2025. Interest expense of $1.8 million was partially offset by interest income of $0.7 million during the three months ended March 31, 2024.</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expense, net was $3.7 million for the nine months ended March 31, 2025, a decrease of $1.1 million, or 42.0%, compared to $2.6 million for the nine months ended March 31, 2024. This decrease for the nine months ended March 31, 2025 as compared to the nine months ended March 31, 2024 was due to interest expense of $4.9 million, which was partially offset by interest income of $1.1 million from money market funds for the nine months ended March 31, 2025. Interest expense of $5.3 million was partially offset by interest income of $2.7 million during the nine months ended March 31, 2024.</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income (expense) consists primarily of the net proceeds received from the sale of or disposal of property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unrealized gains and losses related to short-term investments. Other income for the three months ended March 31, 2025 decreased $0.3 million, or 51.0%, compared to the three months ended March 31, 2024. The decrease was primarily due to dividends received of $0.5 million for the three months ended March 31, 2025, which was partially offset by loss on disposal of assets of $0.2 million, compared to dividends received of $0.6 million for the three months ended March 31, 2024.</w:t>
      </w:r>
    </w:p>
    <w:p>
      <w:pPr>
        <w:spacing w:after="0" w:line="18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for the nine months ended March 31, 2025 decreased $0.6 million, or 27.1%, compared to the nine months ended March 31, 2024. This decrease was primarily due to dividends received of $1.6 million during the nine months ended March 31, 2025 compared to dividends received of $1.8 million for the nine months ended March 31, 2024.</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Gain (loss) on equity method investment. </w:t>
      </w:r>
      <w:r>
        <w:rPr>
          <w:rFonts w:ascii="Times New Roman" w:cs="Times New Roman" w:eastAsia="Times New Roman" w:hAnsi="Times New Roman"/>
          <w:sz w:val="18"/>
          <w:szCs w:val="18"/>
          <w:color w:val="auto"/>
        </w:rPr>
        <w:t>Gain (loss) in equity method investment was negligible for the three and nine months ended March 31, 2025,</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increase of $0.1 million and $2.0 million, or 100.0% and 100.8%, compared to $0.1 million and $2.0 million for the three and nine months ended March 31, 2024. The increase was due to the recognized impairment losses of $1.0 million and $2.0 million related to our minority equity investment in Jetdoc during the three and nine months ended March 31, 2024.</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Senior Housing Thornton, LLC ("SH1") and InnovAge Sacramento have elected to be taxed as partnerships, and no provision (benefit) for income taxes for SH1 or InnovAge Sacramento is included in the condensed consolidated financial statements. Further, the Company entered into a joint venture called InnovAge Florida PACE – Orlando on May 28, 2024 and its members elected to be taxed as a partnership. No provision (benefit) for income taxes for InnovAge Orlando is included in the condensed consolidated financial statements for activity occurring from joint venture formation date through the balance of the fiscal year.</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(benefit) for income taxes.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2025 and 2024, we reported an income tax expense (benefit) of $0.1 million and $(0.2) million, respectively.</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nine months ended March 31, 2025 and 2024, we reported an income tax expense of $0.5 million and $0.1 million, respectively. The decrease of $0.4 million for the nine months ended March 31, 2025 compared to the nine months ended March 31, 2024, was primarily due to (i) our pretax book loss recognized during the nine months ended March 31, 2025, as compared to pretax book loss recognized during the nine months ended March 31, 2024,</w:t>
      </w:r>
    </w:p>
    <w:p>
      <w:pPr>
        <w:spacing w:after="0" w:line="1" w:lineRule="exact"/>
        <w:rPr>
          <w:sz w:val="20"/>
          <w:szCs w:val="20"/>
          <w:color w:val="auto"/>
        </w:rPr>
      </w:pPr>
    </w:p>
    <w:p>
      <w:pPr>
        <w:ind w:firstLine="8"/>
        <w:spacing w:after="0" w:line="260" w:lineRule="auto"/>
        <w:tabs>
          <w:tab w:leader="none" w:pos="2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discrete item to account for the impact of the decreasing Pennsylvania tax rate on our state deferred tax liabilities, and (iii) the change in our valuation allowance.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SH1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is recorded in the consolidated statements of operations and the share of the other noncontrolling interest holders’ earnings are recorded as net loss attributable to noncontrolling interests.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Non-GAAP Measures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substitute for, and should be read in conjunction with, the GAAP financial information presented herein. These measures may not be comparable to similarly-titled performance indicators used by other companies.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0" w:type="dxa"/>
            <w:vAlign w:val="bottom"/>
          </w:tcPr>
          <w:p>
            <w:pPr>
              <w:spacing w:after="0"/>
              <w:rPr>
                <w:sz w:val="1"/>
                <w:szCs w:val="1"/>
                <w:color w:val="auto"/>
              </w:rPr>
            </w:pPr>
          </w:p>
        </w:tc>
      </w:tr>
      <w:tr>
        <w:trPr>
          <w:trHeight w:val="211"/>
        </w:trPr>
        <w:tc>
          <w:tcPr>
            <w:tcW w:w="7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2"/>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Key Business Metrics:</w:t>
            </w:r>
          </w:p>
        </w:tc>
        <w:tc>
          <w:tcPr>
            <w:tcW w:w="360" w:type="dxa"/>
            <w:vAlign w:val="bottom"/>
          </w:tcPr>
          <w:p>
            <w:pPr>
              <w:spacing w:after="0"/>
              <w:rPr>
                <w:sz w:val="20"/>
                <w:szCs w:val="20"/>
                <w:color w:val="auto"/>
              </w:rPr>
            </w:pPr>
          </w:p>
        </w:tc>
        <w:tc>
          <w:tcPr>
            <w:tcW w:w="2940" w:type="dxa"/>
            <w:vAlign w:val="bottom"/>
            <w:gridSpan w:val="3"/>
          </w:tcPr>
          <w:p>
            <w:pPr>
              <w:jc w:val="right"/>
              <w:ind w:right="831"/>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0" w:type="dxa"/>
            <w:vAlign w:val="bottom"/>
          </w:tcPr>
          <w:p>
            <w:pPr>
              <w:spacing w:after="0"/>
              <w:rPr>
                <w:sz w:val="1"/>
                <w:szCs w:val="1"/>
                <w:color w:val="auto"/>
              </w:rPr>
            </w:pPr>
          </w:p>
        </w:tc>
      </w:tr>
      <w:tr>
        <w:trPr>
          <w:trHeight w:val="223"/>
        </w:trPr>
        <w:tc>
          <w:tcPr>
            <w:tcW w:w="79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Centers</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line="230" w:lineRule="exact"/>
              <w:rPr>
                <w:sz w:val="20"/>
                <w:szCs w:val="20"/>
                <w:color w:val="auto"/>
              </w:rPr>
            </w:pPr>
            <w:r>
              <w:rPr>
                <w:rFonts w:ascii="Times New Roman" w:cs="Times New Roman" w:eastAsia="Times New Roman" w:hAnsi="Times New Roman"/>
                <w:sz w:val="26"/>
                <w:szCs w:val="26"/>
                <w:color w:val="auto"/>
                <w:vertAlign w:val="subscript"/>
              </w:rPr>
              <w:t>Census</w:t>
            </w:r>
            <w:r>
              <w:rPr>
                <w:rFonts w:ascii="Times New Roman" w:cs="Times New Roman" w:eastAsia="Times New Roman" w:hAnsi="Times New Roman"/>
                <w:sz w:val="10"/>
                <w:szCs w:val="10"/>
                <w:color w:val="auto"/>
              </w:rPr>
              <w:t>(a)(b)</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Total Member Months</w:t>
            </w:r>
            <w:r>
              <w:rPr>
                <w:rFonts w:ascii="Times New Roman" w:cs="Times New Roman" w:eastAsia="Times New Roman" w:hAnsi="Times New Roman"/>
                <w:sz w:val="23"/>
                <w:szCs w:val="23"/>
                <w:color w:val="auto"/>
                <w:vertAlign w:val="superscript"/>
              </w:rPr>
              <w:t>(a)(b)</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66,130</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60,030</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Center-level Contribution Margin</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112,352</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95,486</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Center-level Contribution Margin as a % of revenue</w:t>
            </w:r>
            <w:r>
              <w:rPr>
                <w:rFonts w:ascii="Times New Roman" w:cs="Times New Roman" w:eastAsia="Times New Roman" w:hAnsi="Times New Roman"/>
                <w:sz w:val="23"/>
                <w:szCs w:val="23"/>
                <w:color w:val="auto"/>
                <w:vertAlign w:val="superscript"/>
              </w:rPr>
              <w:t>(c)</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Measures: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(30,334)</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(20,967)</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margin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Measures: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23,137</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11,236</w:t>
            </w:r>
          </w:p>
        </w:tc>
        <w:tc>
          <w:tcPr>
            <w:tcW w:w="0" w:type="dxa"/>
            <w:vAlign w:val="bottom"/>
          </w:tcPr>
          <w:p>
            <w:pPr>
              <w:spacing w:after="0"/>
              <w:rPr>
                <w:sz w:val="1"/>
                <w:szCs w:val="1"/>
                <w:color w:val="auto"/>
              </w:rPr>
            </w:pPr>
          </w:p>
        </w:tc>
      </w:tr>
      <w:tr>
        <w:trPr>
          <w:trHeight w:val="306"/>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(c)</w:t>
            </w: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7" w:lineRule="exact"/>
        <w:rPr>
          <w:sz w:val="20"/>
          <w:szCs w:val="20"/>
          <w:color w:val="auto"/>
        </w:rPr>
      </w:pPr>
    </w:p>
    <w:p>
      <w:pPr>
        <w:ind w:left="660" w:right="20" w:hanging="328"/>
        <w:spacing w:after="0" w:line="223" w:lineRule="auto"/>
        <w:tabs>
          <w:tab w:leader="none" w:pos="655"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operated 20 PACE centers as of March 31, 2025. Includes InnovAge Sacramento and InnovAge Orlando, which the Company owns and controls through joint ventures and are consolidated in our financial statements.</w:t>
      </w:r>
    </w:p>
    <w:p>
      <w:pPr>
        <w:ind w:left="640" w:hanging="308"/>
        <w:spacing w:after="0" w:line="191" w:lineRule="auto"/>
        <w:tabs>
          <w:tab w:leader="none" w:pos="6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are approximate.</w:t>
      </w:r>
    </w:p>
    <w:p>
      <w:pPr>
        <w:spacing w:after="0" w:line="10" w:lineRule="exact"/>
        <w:rPr>
          <w:rFonts w:ascii="Times New Roman" w:cs="Times New Roman" w:eastAsia="Times New Roman" w:hAnsi="Times New Roman"/>
          <w:sz w:val="21"/>
          <w:szCs w:val="21"/>
          <w:color w:val="auto"/>
          <w:vertAlign w:val="superscript"/>
        </w:rPr>
      </w:pPr>
    </w:p>
    <w:p>
      <w:pPr>
        <w:ind w:left="660" w:hanging="328"/>
        <w:spacing w:after="0" w:line="215" w:lineRule="auto"/>
        <w:tabs>
          <w:tab w:leader="none" w:pos="655"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Center-level Contribution Margin, Center-level Contribution Margin as a percentage of revenue, Adjusted EBITDA and Adjusted EBITDA margin are non-GAAP measures. For a definition and reconciliation of these non-GAAP measures to the most closely comparable GAAP measures for the period indicated, see below.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define our centers as those centers open for business and attending to participants at the end of a particular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Census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census is comprised of our capitated participants for whom we are financially responsible for their total healthcare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Member Months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Center-level Contribution Margin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management uses Center-level Contribution Margin as the measure for assessing performance of its operating segments. 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expenses or corporate, general and administrative expenses across our centers. Center-level Contribution Margin was $112.4 million and $95.5 million for the nine months ended March 31, 2025 and 2024, respectively. The increase in Center-level Contribution Margin for the nine months ended March 31, 2025 compared to the nine months ended March 31, 2024 was primarily due to a 12.0% increase in total revenue, offset by a 10.9% increase in external provider costs and cost of care,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excluding depreciation and amortization, during the same period. For more information relating to Center-level Contribution Margin, see Note 14 “Segment Reporting” to our condensed consolidated financial statements. A reconciliation of Center-level Contribution Margin to loss before income taxes, the most directly comparable GAAP measure, for each of the periods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8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March 31, 2025</w:t>
            </w:r>
          </w:p>
        </w:tc>
        <w:tc>
          <w:tcPr>
            <w:tcW w:w="260" w:type="dxa"/>
            <w:vAlign w:val="bottom"/>
          </w:tcPr>
          <w:p>
            <w:pPr>
              <w:spacing w:after="0"/>
              <w:rPr>
                <w:sz w:val="16"/>
                <w:szCs w:val="16"/>
                <w:color w:val="auto"/>
              </w:rPr>
            </w:pPr>
          </w:p>
        </w:tc>
        <w:tc>
          <w:tcPr>
            <w:tcW w:w="28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March 31, 2024</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80"/>
              <w:spacing w:after="0" w:line="196"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(a)</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line="196"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(a)</w:t>
            </w:r>
          </w:p>
        </w:tc>
        <w:tc>
          <w:tcPr>
            <w:tcW w:w="5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90"/>
              </w:rPr>
              <w:t>Totals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631,293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563,490</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632,282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564,454</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322,983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300,319</w:t>
            </w: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196,522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196,947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168,649</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112,352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95,486</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Overhead costs</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100,162</w:t>
            </w: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13,621</w:t>
            </w:r>
          </w:p>
        </w:tc>
        <w:tc>
          <w:tcPr>
            <w:tcW w:w="0" w:type="dxa"/>
            <w:vAlign w:val="bottom"/>
          </w:tcPr>
          <w:p>
            <w:pPr>
              <w:spacing w:after="0"/>
              <w:rPr>
                <w:sz w:val="1"/>
                <w:szCs w:val="1"/>
                <w:color w:val="auto"/>
              </w:rPr>
            </w:pPr>
          </w:p>
        </w:tc>
      </w:tr>
      <w:tr>
        <w:trPr>
          <w:trHeight w:val="176"/>
        </w:trPr>
        <w:tc>
          <w:tcPr>
            <w:tcW w:w="3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Impairment of right-of-use asset and</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equity method investment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(29,825)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(20,873)</w:t>
            </w:r>
          </w:p>
        </w:tc>
        <w:tc>
          <w:tcPr>
            <w:tcW w:w="0" w:type="dxa"/>
            <w:vAlign w:val="bottom"/>
          </w:tcPr>
          <w:p>
            <w:pPr>
              <w:spacing w:after="0"/>
              <w:rPr>
                <w:sz w:val="1"/>
                <w:szCs w:val="1"/>
                <w:color w:val="auto"/>
              </w:rPr>
            </w:pPr>
          </w:p>
        </w:tc>
      </w:tr>
      <w:tr>
        <w:trPr>
          <w:trHeight w:val="156"/>
        </w:trPr>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Loss Before Income Taxes as a % of</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76"/>
        </w:trPr>
        <w:tc>
          <w:tcPr>
            <w:tcW w:w="3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Center- Level Contribution Margin as a</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43" w:lineRule="exact"/>
        <w:rPr>
          <w:sz w:val="20"/>
          <w:szCs w:val="20"/>
          <w:color w:val="auto"/>
        </w:rPr>
      </w:pPr>
    </w:p>
    <w:p>
      <w:pPr>
        <w:ind w:left="660" w:right="120" w:hanging="328"/>
        <w:spacing w:after="0" w:line="249" w:lineRule="auto"/>
        <w:tabs>
          <w:tab w:leader="none" w:pos="65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Center-level Contribution Margin from a segment below the quantitative thresholds is attributable to the Senior Housing operating segment of the Company. This segment has never met any of the quantitative thresholds for determining reportable segments.</w:t>
      </w: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Overhead consists of the Sales and marketing and Corporate, general and administrative financial statement line items.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define Adjusted EBITDA as net loss adjusted for interest expense, net, other investment income, depreciation and amortization, and provision (benefit) for income tax as well as addbacks for non-recurring expenses or exceptional items, including charges relating to management equity compensation, litigation costs and settlements, M&amp;A diligence, transaction and integration, business optimization, EMR implementation, impairment of ROU asset and construction in progress, and loss on minority equity interest. Adjusted EBITDA margin is Adjusted EBITDA expressed as a percentage of our total revenue. For the nine months ended March 31, 2025 and 2024, net loss was $30.3 million and $21.0 million, respectively, representing a year-over-year decrease of 44.7%. Adjusted EBITDA was $23.1 million and $11.2 million, for the nine months ended March 31, 2025 and 2024, respectively, representing a year-over-year increase of 105.9%. For the nine months ended March 31, 2025, net loss margin was 4.8%, as compared to net loss margin of 3.7% for the nine months ended March 31, 2024. For the nine months ended March 31, 2025, our Adjusted EBITDA margin was 3.7%, as compared to our Adjusted EBITDA margin for the nine months ended March 31, 2024 of 2.0%. The increase in Adjusted EBITDA and Adjusted EBITDA margin was primarily due to (i) increased census, (ii) increased capitation rates and (iii) lower per participant external provider costs, partially offset by (i) increased center-level headcount and wage rates associated with census growth and a competitive labor market and (ii) increased costs associated with transition to in-house pharmacy services.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324"/>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supplemental measures of operating performance monitored by management that are not defined under GAAP and that do not represent, and should not be considered as, an alternative to net loss and net loss margin, respectively, as determined by GAAP. We believe that Adjusted EBITDA and Adjusted EBITDA margin are appropriate measures of operating performance because the metrics eliminate the impact of revenue and expenses that do not relate to our ongoing business performance and certain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loss and net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 Effective for the year ended June 30, 2024 and going forward, the Company revised its calculation of Adjusted EBITDA to no longer exclude de novo center development costs and to reflect the impact of other investment income. The presentation for the nine months ended March 31, 2024 has been recast to conform to the current presentation.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loss to Adjusted EBITDA, the most directly comparable GAAP measure, for each of the periods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20" w:type="dxa"/>
            <w:vAlign w:val="bottom"/>
          </w:tcPr>
          <w:p>
            <w:pPr>
              <w:spacing w:after="0"/>
              <w:rPr>
                <w:sz w:val="18"/>
                <w:szCs w:val="18"/>
                <w:color w:val="auto"/>
              </w:rPr>
            </w:pPr>
          </w:p>
        </w:tc>
      </w:tr>
      <w:tr>
        <w:trPr>
          <w:trHeight w:val="211"/>
        </w:trPr>
        <w:tc>
          <w:tcPr>
            <w:tcW w:w="38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r>
      <w:tr>
        <w:trPr>
          <w:trHeight w:val="252"/>
        </w:trPr>
        <w:tc>
          <w:tcPr>
            <w:tcW w:w="3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(20,967)</w:t>
            </w:r>
          </w:p>
        </w:tc>
        <w:tc>
          <w:tcPr>
            <w:tcW w:w="20" w:type="dxa"/>
            <w:vAlign w:val="bottom"/>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investment income</w:t>
            </w:r>
            <w:r>
              <w:rPr>
                <w:rFonts w:ascii="Times New Roman" w:cs="Times New Roman" w:eastAsia="Times New Roman" w:hAnsi="Times New Roman"/>
                <w:sz w:val="23"/>
                <w:szCs w:val="23"/>
                <w:color w:val="auto"/>
                <w:vertAlign w:val="superscript"/>
              </w:rPr>
              <w:t>(a)</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0" w:type="dxa"/>
            <w:vAlign w:val="bottom"/>
            <w:shd w:val="clear" w:color="auto" w:fill="000000"/>
          </w:tcPr>
          <w:p>
            <w:pPr>
              <w:spacing w:after="0"/>
              <w:rPr>
                <w:sz w:val="19"/>
                <w:szCs w:val="19"/>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Litigation costs and settlement</w:t>
            </w:r>
            <w:r>
              <w:rPr>
                <w:rFonts w:ascii="Times New Roman" w:cs="Times New Roman" w:eastAsia="Times New Roman" w:hAnsi="Times New Roman"/>
                <w:sz w:val="23"/>
                <w:szCs w:val="23"/>
                <w:color w:val="auto"/>
                <w:vertAlign w:val="superscript"/>
              </w:rPr>
              <w:t>(b)</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20" w:type="dxa"/>
            <w:vAlign w:val="bottom"/>
          </w:tcPr>
          <w:p>
            <w:pPr>
              <w:spacing w:after="0"/>
              <w:rPr>
                <w:sz w:val="19"/>
                <w:szCs w:val="19"/>
                <w:color w:val="auto"/>
              </w:rPr>
            </w:pPr>
          </w:p>
        </w:tc>
      </w:tr>
      <w:tr>
        <w:trPr>
          <w:trHeight w:val="230"/>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M&amp;A diligence, transaction and integration</w:t>
            </w:r>
            <w:r>
              <w:rPr>
                <w:rFonts w:ascii="Times New Roman" w:cs="Times New Roman" w:eastAsia="Times New Roman" w:hAnsi="Times New Roman"/>
                <w:sz w:val="23"/>
                <w:szCs w:val="23"/>
                <w:color w:val="auto"/>
                <w:vertAlign w:val="superscript"/>
              </w:rPr>
              <w:t>(c)</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optimization</w:t>
            </w:r>
            <w:r>
              <w:rPr>
                <w:rFonts w:ascii="Times New Roman" w:cs="Times New Roman" w:eastAsia="Times New Roman" w:hAnsi="Times New Roman"/>
                <w:sz w:val="23"/>
                <w:szCs w:val="23"/>
                <w:color w:val="auto"/>
                <w:vertAlign w:val="superscript"/>
              </w:rPr>
              <w:t>(d)</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20" w:type="dxa"/>
            <w:vAlign w:val="bottom"/>
          </w:tcPr>
          <w:p>
            <w:pPr>
              <w:spacing w:after="0"/>
              <w:rPr>
                <w:sz w:val="19"/>
                <w:szCs w:val="19"/>
                <w:color w:val="auto"/>
              </w:rPr>
            </w:pPr>
          </w:p>
        </w:tc>
      </w:tr>
      <w:tr>
        <w:trPr>
          <w:trHeight w:val="230"/>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EMR implementation</w:t>
            </w:r>
            <w:r>
              <w:rPr>
                <w:rFonts w:ascii="Times New Roman" w:cs="Times New Roman" w:eastAsia="Times New Roman" w:hAnsi="Times New Roman"/>
                <w:sz w:val="23"/>
                <w:szCs w:val="23"/>
                <w:color w:val="auto"/>
                <w:vertAlign w:val="superscript"/>
              </w:rPr>
              <w:t>(e)</w:t>
            </w:r>
          </w:p>
        </w:tc>
        <w:tc>
          <w:tcPr>
            <w:tcW w:w="1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Asset impairments and loss on sale of assets</w:t>
            </w:r>
            <w:r>
              <w:rPr>
                <w:rFonts w:ascii="Times New Roman" w:cs="Times New Roman" w:eastAsia="Times New Roman" w:hAnsi="Times New Roman"/>
                <w:sz w:val="23"/>
                <w:szCs w:val="23"/>
                <w:color w:val="auto"/>
                <w:vertAlign w:val="superscript"/>
              </w:rPr>
              <w:t>(f)</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r>
      <w:tr>
        <w:trPr>
          <w:trHeight w:val="230"/>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minority equity interest</w:t>
            </w:r>
            <w:r>
              <w:rPr>
                <w:rFonts w:ascii="Times New Roman" w:cs="Times New Roman" w:eastAsia="Times New Roman" w:hAnsi="Times New Roman"/>
                <w:sz w:val="23"/>
                <w:szCs w:val="23"/>
                <w:color w:val="auto"/>
                <w:vertAlign w:val="superscript"/>
              </w:rPr>
              <w:t>(g)</w:t>
            </w:r>
          </w:p>
        </w:tc>
        <w:tc>
          <w:tcPr>
            <w:tcW w:w="1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9"/>
                <w:szCs w:val="19"/>
                <w:color w:val="auto"/>
              </w:rPr>
            </w:pPr>
          </w:p>
        </w:tc>
      </w:tr>
      <w:tr>
        <w:trPr>
          <w:trHeight w:val="248"/>
        </w:trPr>
        <w:tc>
          <w:tcPr>
            <w:tcW w:w="38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10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20" w:type="dxa"/>
            <w:vAlign w:val="bottom"/>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8" w:lineRule="exact"/>
        <w:rPr>
          <w:sz w:val="20"/>
          <w:szCs w:val="20"/>
          <w:color w:val="auto"/>
        </w:rPr>
      </w:pPr>
    </w:p>
    <w:p>
      <w:pPr>
        <w:jc w:val="both"/>
        <w:ind w:left="660" w:right="40" w:hanging="328"/>
        <w:spacing w:after="0" w:line="263" w:lineRule="auto"/>
        <w:tabs>
          <w:tab w:leader="none" w:pos="65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investment income related to short-term investments included in our consolidated statement of operations. Effective for the year ended June 30, 2024 and going forward, the Company revised the calculation for Adjusted EBITDA to reflect the impact of investment income. The presentation for the three and nine months ended March 31, 2024 has been recast to reflect the impact of other investment income.</w:t>
      </w:r>
    </w:p>
    <w:p>
      <w:pPr>
        <w:spacing w:after="0" w:line="29" w:lineRule="exact"/>
        <w:rPr>
          <w:rFonts w:ascii="Times New Roman" w:cs="Times New Roman" w:eastAsia="Times New Roman" w:hAnsi="Times New Roman"/>
          <w:sz w:val="16"/>
          <w:szCs w:val="16"/>
          <w:color w:val="auto"/>
        </w:rPr>
      </w:pPr>
    </w:p>
    <w:p>
      <w:pPr>
        <w:jc w:val="both"/>
        <w:ind w:left="660" w:right="20" w:hanging="328"/>
        <w:spacing w:after="0" w:line="260"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charges/(credits) related to litigation by stockholders, litigation related to de novo center, and civil investigative demands. Refer to Note 9, "Commitments and Contingencies" to our condensed consolidated financial statements for more information regarding litigation by stockholders and civil investigative demands.</w:t>
      </w:r>
    </w:p>
    <w:p>
      <w:pPr>
        <w:spacing w:after="0" w:line="1" w:lineRule="exact"/>
        <w:rPr>
          <w:sz w:val="20"/>
          <w:szCs w:val="20"/>
          <w:color w:val="auto"/>
        </w:rPr>
      </w:pPr>
    </w:p>
    <w:p>
      <w:pPr>
        <w:jc w:val="both"/>
        <w:ind w:left="660" w:right="20"/>
        <w:spacing w:after="0" w:line="253" w:lineRule="auto"/>
        <w:rPr>
          <w:sz w:val="20"/>
          <w:szCs w:val="20"/>
          <w:color w:val="auto"/>
        </w:rPr>
      </w:pPr>
      <w:r>
        <w:rPr>
          <w:rFonts w:ascii="Times New Roman" w:cs="Times New Roman" w:eastAsia="Times New Roman" w:hAnsi="Times New Roman"/>
          <w:sz w:val="16"/>
          <w:szCs w:val="16"/>
          <w:color w:val="auto"/>
        </w:rPr>
        <w:t>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w:t>
      </w:r>
    </w:p>
    <w:p>
      <w:pPr>
        <w:jc w:val="both"/>
        <w:ind w:left="660" w:right="20" w:hanging="4"/>
        <w:spacing w:after="0" w:line="253" w:lineRule="auto"/>
        <w:tabs>
          <w:tab w:leader="none" w:pos="957"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nature of the remedies sought, (iv) litigation posture of the Company, (v) counterparty involved, and (vi) the Company's overall litigation strategy. For the three and nine months ended March 31, 2025, includes $10.7 million accrued in connection with the potential settlement of the previously disclosed stockholder class action.</w:t>
      </w:r>
    </w:p>
    <w:p>
      <w:pPr>
        <w:spacing w:after="0" w:line="1" w:lineRule="exact"/>
        <w:rPr>
          <w:rFonts w:ascii="Times New Roman" w:cs="Times New Roman" w:eastAsia="Times New Roman" w:hAnsi="Times New Roman"/>
          <w:sz w:val="16"/>
          <w:szCs w:val="16"/>
          <w:color w:val="auto"/>
        </w:rPr>
      </w:pPr>
    </w:p>
    <w:p>
      <w:pPr>
        <w:ind w:left="660" w:right="40" w:hanging="328"/>
        <w:spacing w:after="0" w:line="270" w:lineRule="auto"/>
        <w:tabs>
          <w:tab w:leader="none" w:pos="65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 related to M&amp;A transaction and integrations. The presentation for the three and nine months ended March 31, 2024 has been recast to no longer exclude de novo center development costs.</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60" w:hanging="328"/>
        <w:spacing w:after="0" w:line="260"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 related to business optimization initiatives. Such charges relate to one-time investments in projects designed to enhance our technology and compliance systems and improve and support the efficiency and effectiveness of our operations. For the three months ended March 31, 2025, this primarily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includes costs related to other non-recurring projects aimed at reducing costs and improving efficiencies. For the nine months ended March 31, 2025, this includes</w:t>
      </w:r>
    </w:p>
    <w:p>
      <w:pPr>
        <w:spacing w:after="0" w:line="15" w:lineRule="exact"/>
        <w:rPr>
          <w:sz w:val="20"/>
          <w:szCs w:val="20"/>
          <w:color w:val="auto"/>
        </w:rPr>
      </w:pPr>
    </w:p>
    <w:p>
      <w:pPr>
        <w:jc w:val="both"/>
        <w:ind w:left="660" w:hanging="4"/>
        <w:spacing w:after="0" w:line="253" w:lineRule="auto"/>
        <w:tabs>
          <w:tab w:leader="none" w:pos="882"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$0.4 million of costs associated with organizational restructure and (ii) $0.4 million related to other non-recurring projects aimed at reducing costs and improving efficiencies. For the three months ended March 31, 2024, this includes (i) $0.4 million of costs associated with third party consultants as we implement our core provider initiatives, assess our risk-bearing capabilities, and strengthen our enterprise capabilities and (ii) $0.3 million related to other non-recurring projects aimed at reducing costs and improving efficiencies. For the nine months ended March 31, 2024, this includes (i) $2.6 million of costs associated with third party consultants as we implement our core provider initiatives, assess our risk-bearing capabilities, and strengthen our enterprise capabilities, (ii) $0.3 million of costs associated with organizational restructure, and (iii) $0.8 million related to other non-recurring projects aimed at reducing costs and improving efficiencies.</w:t>
      </w: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non-recurring expenses relating to the implementation of a new EMR vendor.</w:t>
      </w:r>
    </w:p>
    <w:p>
      <w:pPr>
        <w:spacing w:after="0" w:line="15"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 impairment charges related to ROU asset and construction in progress related to halting developments to a previously planned de novo center in Louisville, Kentucky that the Company is no longer pursuing and (ii) loss on sale of center equipment that was originally purchased for the center in Louisville, Kentucky.</w:t>
      </w:r>
    </w:p>
    <w:p>
      <w:pPr>
        <w:ind w:left="660" w:hanging="328"/>
        <w:spacing w:after="0"/>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impairment charges related to our minority equity interest in Jetdoc, Inc.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cash flows from operations and through borrowings under our credit facilities, and from the sale of common stock in our IPO that occurred in March 2021. As of March 31, 2025, we had cash and cash equivalents of $60.5 million, an increase of $3.6 million from June 30, 2024, and short-term investments of $41.3 million, a decrease of $4.6 million from June 30, 2024. The decrease in cash and cash equivalents and short-term investments was primarily due to timing of cash receipts for services provided and share repurchase activity. Our cash and cash equivalents primarily consist of highly liquid investments in demand deposit accounts and cash. Our short-term investments primarily consist of investments in mutual funds.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capital resources are generally used to fund (i) debt service requirements, the majority of which relate to the quarterly principal payments of the Term Loan Facility (as defined below) due 2026, (ii) finance and operating lease obligations, which are generally paid on a monthly basis and include maturities through 2028 and 2032, respectively, (iii) the operations of our business, (iv) income tax payments, which are generally due on a quarterly and annual basis, (v) capital additions, which include acquisitions and de novo centers, and (vi) share repurchases authorized under the Board approved program. We also plan to continue investing in resources and initiatives to provide necessary and quality services to our participants. Collectively, these obligations are expected to represent a considerable liquidity requirement of our Company on both a short-term (next 12 months) and long-term (beyond 12 months) basis.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(as amended, the "2021 Credit Agreement") that consists of a senior secured term loan (the “Term Loan Facility”) of $75.0 million principal amount and a revolving credit facility (the “Revolving Credit Facility”) of $100.0 million maximum borrowing capacity. As of March 31, 2025, we had $63.1 million of debt outstanding, excluding $60.9 million under our Term Loan Facility, which matures on March 8, 2026, and as a result, has been classified as current.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we had future minimum operating lease payments under non-cancellable leases through the year 2037 of $39.2 million. We also had non-cancellable finance lease agreements with third parties through the year 2030 with future minimum payments of $22.0 million. For additional information, see Note 7, “Leases”, Note 8, “Long-Term Debt”, and Note 9, “Commitments and Contingencies” in our condensed consolidated financial statements.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cash and cash equivalents and our cash flows from operations, available funds, and access to financing sources, including our Revolving Credit Facility (each discussed and defined below), will be sufficient to fund our operating and capital needs for the next 12 months and beyond. We currently intend to extend or refinance our Term Loan Facility prior to maturity, and believe we have adequate liquidity to meet our anticipated financing needs.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and the expansion of sales and marketing activities and other costs of operating the business. We may in the future enter into arrangements to acquire or invest in complementary businesses, services and technologies. In addition, there can be no assurances that we will be able to extend or replace our Term Loan Facility on commercially reasonable terms, and for this and other reasons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borrowing capacity under the Revolving Credit Facility is subject (i) any issued amounts under our letters of credit and (ii) applicable covenant compliance restrictions and any other conditions precedent to borrowing. Principal on the Term Loan Facility is paid each calendar quarter in an amount equal to 1.25% of the initial term loan on closing date.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Outstanding principal amounts under the 2021 Credit Agreement accrue interest at a variable interest rate. As of March 31, 2025, the interest rate on the Term Loan Facility was 6.14%. Under the terms of the 2021 Credit Agreement, the Revolving Credit Facility fee accrues at 0.25% of the average daily unused amount and is paid quarterly. As of March 31, 2025, we had no borrowings outstanding, $5.2 million of letters of credit issued, and $94.8 million of remaining borrowing capacity under the Revolving Credit Facility. As of March 31, 2025, we also had $2.2 million principal amount outstanding under our convertible term loan. Monthly principal and interest payments for the convertible term loan are approximately $0.02 million, and the loan bears interest at an annual rate of 6.68%. The remaining principal balance is due upon maturity, which is August 20, 2030.</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about our debt, see Note 8 “Long-Term Debt” to our condensed consolidated financial statements.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with respect to share repurchases, we currently intend to retain substantially all available funds and any future earnings to fund the development and growth of our business and to repay indebtedness, and do not anticipate paying any cash dividends in the foreseeable future.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condensed consolidated statements of cash flows for the nine months ended March 31, 2025 and 2024 are summarized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6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62,636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20,781</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(6,755)</w:t>
            </w:r>
          </w:p>
        </w:tc>
      </w:tr>
      <w:tr>
        <w:trPr>
          <w:trHeight w:val="22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76,662</w:t>
            </w: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change in net cash provided by (used in) operating activities for the nine months ended March 31, 2025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2024 was driven by two factors: (i) an increase for non-cash adjustments totaling $7.8 million, primarily due to a $8.5 million non-cash impairment charge in the current year period, and (ii) an increase in operating assets and liabilities of $64.2 million, primarily due to the change in deferred revenue and a decrease in accounts receivable, both related to the timing of payments received.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change in net cash provided by (used in) investing activities for the nine months ended March 31, 2025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2024 was primarily due to the effect of (i) the $23.9 million acquisition of the two de novo centers acquired from Concerto in the prior year period and (ii) a $3.3 million increase in proceeds from the sale of short-term investments in the current year period compared to the prior year period.</w:t>
      </w:r>
    </w:p>
    <w:p>
      <w:pPr>
        <w:spacing w:after="0" w:line="18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increase in net cash used in financing activities for the nine months ended March 31, 2025 compared to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was primarily due to $7.0 million used for the repurchase of the Company's stock in the current year period.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Jumpstart Our Business Startups (“JOBS”) Act and a “smaller reporting company” as defined by the Exchange Act. For as long as we are an “emerging growth company” or a “smaller reporting company,”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stockholder advisory votes on golden parachute compensation.</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condensed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condensed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accounting estimates involve significant judgments and assumptions by management, which have a material impact on the carrying value of assets and liabilities and the recognition of income and expenses. We consider these accounting estimates to be critical accounting estimates. The estimates and assumptions used by management are based on historical experience and other factors, which are believed to be reasonable under the circumstances.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description of our estimates regarding our critical accounting estimates, see “Critical Accounting Estimates” in the 2024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2025, we had total outstanding debt of $60.9 million in principal amount under the Term Loan Facility, $2.2 million under the convertible term loan, and no outstanding debt under the Revolving Credit Facility (each as defined in Note 8, “Long-Term Debt” to our condensed consolidated financial statements). As of June 30, 2024, we had total outstanding debt of $63.8 million in principal amount under the Term Loan Facility and $2.2 million under the convertible term loan. As of March 31, 2025, the interest rate on the Term Loan Facility was 6.14%. We are exposed to changes in interest rates as a result of our variable-rate borrowings under the 2021 Credit Agreement. Generally, the Company may designate specific borrowings under the 2021 Credit Agreement as either base rate borrowings or Secured Overnight Financing Rate (“SOFR”) borrowings. We amended our 2021 Credit Agreement during fiscal year 2024 to replace the London Interbank Offered Rate (“LIBOR”) reference rate with SOFR prior to the discontinuance of LIBOR. As of March 31, 2025, based on our secured net leverage ratio, the margins of our borrowings under the Term Loan Facility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Revolving Credit Facility (as defined in Note 8, “Long-Term Debt” to our condensed consolidated financial statements) were all SOFR borrowings.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cash and cash equivalents of $60.5 million and $56.9 million as of March 31, 2025 and June 30, 2024, respectively, which are deposited with high credit quality financial institutions and are primarily in demand deposit accounts.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cash and cash equivalents and interest payments in respect of our debt are subject to market risk due to changes in interest rates. We do not believe that an increase or decrease in interest rates of 100 basis points would have a material effect on our business, financial condition or results of operations.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had short-term investments of $41.3 million and $45.8 million as of March 31, 2025 and June 30, 2024, respectively, which are primarily invested in managed income funds managed by major financial institutions. The funds mainly invest in investment grade, U.S. denominated short-term fixed and floating rate debt securities. Securities are subject to market risk and sensitive to changes in interest rates. While the instruments held by the funds are generally less sensitive to interest rate changes than instruments with longer maturities due to their short-term nature, the funds may face a heightened level of interest rate risk due to changes in monetary policy. During periods when interest rates are low or negative, the funds yields, and total returns may also be low, or the funds may be unable to maintain positive returns. We do not believe that an increase or decrease in interest rates of 100 basis points would have a material effect on these short-term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Evaluation of 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have concluded that our disclosure controls and procedures were effective as of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our material pending legal proceedings, refer to Note 9 “Commitments and Contingencies” to our Condensed Consolidated Financial Statements located in Item 1 of Part I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Information regarding our risk factors is disclosed in Item 1A of our 2024 </w:t>
      </w:r>
      <w:r>
        <w:rPr>
          <w:rFonts w:ascii="Times New Roman" w:cs="Times New Roman" w:eastAsia="Times New Roman" w:hAnsi="Times New Roman"/>
          <w:sz w:val="18"/>
          <w:szCs w:val="18"/>
          <w:color w:val="212529"/>
        </w:rPr>
        <w:t>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Issuer Purchases of Equity Securities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12529"/>
        </w:rPr>
        <w:t xml:space="preserve">Stock repurchases during the three months ended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12529"/>
        </w:rPr>
        <w:t xml:space="preserve"> were as follow:</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7"/>
                <w:szCs w:val="17"/>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03"/>
        </w:trPr>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7"/>
                <w:szCs w:val="17"/>
                <w:color w:val="auto"/>
              </w:rPr>
            </w:pPr>
          </w:p>
        </w:tc>
        <w:tc>
          <w:tcPr>
            <w:tcW w:w="21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r>
      <w:tr>
        <w:trPr>
          <w:trHeight w:val="201"/>
        </w:trPr>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0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67"/>
        </w:trPr>
        <w:tc>
          <w:tcPr>
            <w:tcW w:w="228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0"/>
              </w:rPr>
              <w:t>Share</w:t>
            </w:r>
            <w:r>
              <w:rPr>
                <w:rFonts w:ascii="Times New Roman" w:cs="Times New Roman" w:eastAsia="Times New Roman" w:hAnsi="Times New Roman"/>
                <w:sz w:val="23"/>
                <w:szCs w:val="23"/>
                <w:b w:val="1"/>
                <w:bCs w:val="1"/>
                <w:color w:val="auto"/>
                <w:w w:val="90"/>
                <w:vertAlign w:val="superscript"/>
              </w:rPr>
              <w:t>(b)</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or Programs</w:t>
            </w:r>
            <w:r>
              <w:rPr>
                <w:rFonts w:ascii="Times New Roman" w:cs="Times New Roman" w:eastAsia="Times New Roman" w:hAnsi="Times New Roman"/>
                <w:sz w:val="23"/>
                <w:szCs w:val="23"/>
                <w:b w:val="1"/>
                <w:bCs w:val="1"/>
                <w:color w:val="auto"/>
                <w:w w:val="97"/>
                <w:vertAlign w:val="superscript"/>
              </w:rPr>
              <w:t>(a)</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Plans or Programs</w:t>
            </w:r>
            <w:r>
              <w:rPr>
                <w:rFonts w:ascii="Times New Roman" w:cs="Times New Roman" w:eastAsia="Times New Roman" w:hAnsi="Times New Roman"/>
                <w:sz w:val="23"/>
                <w:szCs w:val="23"/>
                <w:b w:val="1"/>
                <w:bCs w:val="1"/>
                <w:color w:val="auto"/>
                <w:w w:val="97"/>
                <w:vertAlign w:val="superscript"/>
              </w:rPr>
              <w:t>(a)</w:t>
            </w:r>
          </w:p>
        </w:tc>
      </w:tr>
      <w:tr>
        <w:trPr>
          <w:trHeight w:val="230"/>
        </w:trPr>
        <w:tc>
          <w:tcPr>
            <w:tcW w:w="2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 2025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990,429</w:t>
            </w:r>
          </w:p>
        </w:tc>
      </w:tr>
      <w:tr>
        <w:trPr>
          <w:trHeight w:val="234"/>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1 - 28, 2025</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627,456</w:t>
            </w:r>
          </w:p>
        </w:tc>
      </w:tr>
      <w:tr>
        <w:trPr>
          <w:trHeight w:val="22"/>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57"/>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 2025</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296,977</w:t>
            </w:r>
          </w:p>
        </w:tc>
      </w:tr>
      <w:tr>
        <w:trPr>
          <w:trHeight w:val="228"/>
        </w:trPr>
        <w:tc>
          <w:tcPr>
            <w:tcW w:w="22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w:t>
      </w:r>
    </w:p>
    <w:p>
      <w:pPr>
        <w:spacing w:after="0" w:line="2" w:lineRule="exact"/>
        <w:rPr>
          <w:sz w:val="20"/>
          <w:szCs w:val="20"/>
          <w:color w:val="auto"/>
        </w:rPr>
      </w:pPr>
    </w:p>
    <w:p>
      <w:pPr>
        <w:jc w:val="both"/>
        <w:ind w:left="340" w:hanging="332"/>
        <w:spacing w:after="0" w:line="229" w:lineRule="auto"/>
        <w:tabs>
          <w:tab w:leader="none" w:pos="335"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June 10, 2024, the Company announced the Board's approval of a share repurchase program authorizing the repurchase of up to $5.0 million of the Company’s common stock, with no expiration date. On September 26, 2024, the Company announced the Board's authorization to increase the share repurchase program by an additional $2.5 million shares of the Company's common stock. For further information regarding stock repurchase activity, see Note 16. "Share Repurchase Program" to our Condensed Consolidated Financial Statements located in Item I of Part I of this Quarterly Report on Form 10-Q.</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Average price paid per share does not include costs associated with the repurchases.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list of all exhibits filed or furnished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900" w:type="dxa"/>
            <w:vAlign w:val="bottom"/>
            <w:gridSpan w:val="11"/>
          </w:tcPr>
          <w:p>
            <w:pPr>
              <w:ind w:left="2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976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976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60" w:type="dxa"/>
            <w:vAlign w:val="bottom"/>
            <w:tcBorders>
              <w:top w:val="single" w:sz="8" w:color="auto"/>
              <w:bottom w:val="single" w:sz="8" w:color="0000FF"/>
            </w:tcBorders>
            <w:gridSpan w:val="7"/>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Second Amended and Restated Certificate of Incorporation of InnovAge Holding Corp., filed March 3, 2021 (incorporated by</w:t>
              </w:r>
            </w:hyperlink>
          </w:p>
        </w:tc>
        <w:tc>
          <w:tcPr>
            <w:tcW w:w="700" w:type="dxa"/>
            <w:vAlign w:val="bottom"/>
            <w:tcBorders>
              <w:top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2"/>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reference to Exhibit 3.1 to the Company’s Current Report on Form 8-K filed with the SEC on March 8, 2021).</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Certificate of Amendment to the Second Amended and Restated Certificate of Incorporation of InnovAge Holding Corp. (incorporated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2"/>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by reference to Exhibit 3.2 to the Company's Quarterly Report on Form 10-Q filed with the SEC on February 2, 2025).</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Amended and Restated Bylaws of InnovAge Holding Corp., effective March 3, 2021 (incorporated by reference to Exhibit 3.2 to the</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Company’s Current Report on Form 8-K filed with the SEC on March 8, 2021).</w:t>
              </w:r>
            </w:hyperlink>
          </w:p>
        </w:tc>
        <w:tc>
          <w:tcPr>
            <w:tcW w:w="40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39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5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8860" w:type="dxa"/>
            <w:vAlign w:val="bottom"/>
            <w:tcBorders>
              <w:top w:val="single" w:sz="8" w:color="0000FF"/>
            </w:tcBorders>
            <w:gridSpan w:val="1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6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89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480" w:right="200" w:hanging="1454"/>
        <w:spacing w:after="0" w:line="220" w:lineRule="auto"/>
        <w:tabs>
          <w:tab w:leader="none" w:pos="1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InnovAge Holding Corp's Quarterly Report on Form 10-Q for the quarter ended March 31, 2025 formatted in Inline XBRL (Extensible Business Reporting Language) includes: (i) the Condensed Consolidated Balance Sheets (unaudited), (ii) the Condensed Consolidated Statements of Operations (unaudited), (iii) the Condensed Consolidated Statements of Stockholders' Equity (unaudited), (iv) the Condensed Consolidated Statements of Cash Flows (unaudited), and (v) Notes to the Condensed Consolidated Financial Statements (unaudited).</w:t>
      </w:r>
    </w:p>
    <w:p>
      <w:pPr>
        <w:spacing w:after="0" w:line="185"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and contained in Exhibit 101)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3"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jc w:val="both"/>
        <w:ind w:left="340" w:hanging="332"/>
        <w:spacing w:after="0" w:line="266"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“furnished” with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INNOVAGE HOLDING CORP.</w:t>
            </w:r>
          </w:p>
        </w:tc>
      </w:tr>
      <w:tr>
        <w:trPr>
          <w:trHeight w:val="47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C. Adams</w:t>
            </w:r>
          </w:p>
        </w:tc>
      </w:tr>
      <w:tr>
        <w:trPr>
          <w:trHeight w:val="243"/>
        </w:trPr>
        <w:tc>
          <w:tcPr>
            <w:tcW w:w="3280" w:type="dxa"/>
            <w:vAlign w:val="bottom"/>
          </w:tcPr>
          <w:p>
            <w:pPr>
              <w:spacing w:after="0"/>
              <w:rPr>
                <w:sz w:val="21"/>
                <w:szCs w:val="21"/>
                <w:color w:val="auto"/>
              </w:rPr>
            </w:pP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C. Adams</w:t>
            </w:r>
          </w:p>
        </w:tc>
      </w:tr>
      <w:tr>
        <w:trPr>
          <w:trHeight w:val="225"/>
        </w:trPr>
        <w:tc>
          <w:tcPr>
            <w:tcW w:w="3280" w:type="dxa"/>
            <w:vAlign w:val="bottom"/>
          </w:tcPr>
          <w:p>
            <w:pPr>
              <w:spacing w:after="0"/>
              <w:rPr>
                <w:sz w:val="19"/>
                <w:szCs w:val="19"/>
                <w:color w:val="auto"/>
              </w:rPr>
            </w:pP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(Duly Authorized Officer and Principal</w:t>
            </w:r>
          </w:p>
        </w:tc>
      </w:tr>
      <w:tr>
        <w:trPr>
          <w:trHeight w:val="234"/>
        </w:trPr>
        <w:tc>
          <w:tcPr>
            <w:tcW w:w="3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and Accounting Officer)</w:t>
            </w:r>
          </w:p>
        </w:tc>
      </w:tr>
      <w:tr>
        <w:trPr>
          <w:trHeight w:val="918"/>
        </w:trPr>
        <w:tc>
          <w:tcPr>
            <w:tcW w:w="3280" w:type="dxa"/>
            <w:vAlign w:val="bottom"/>
          </w:tcPr>
          <w:p>
            <w:pPr>
              <w:spacing w:after="0"/>
              <w:rPr>
                <w:sz w:val="24"/>
                <w:szCs w:val="24"/>
                <w:color w:val="auto"/>
              </w:rPr>
            </w:pPr>
          </w:p>
        </w:tc>
        <w:tc>
          <w:tcPr>
            <w:tcW w:w="27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49</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Blair, certify that:</w:t>
      </w:r>
    </w:p>
    <w:p>
      <w:pPr>
        <w:spacing w:after="0" w:line="117" w:lineRule="exact"/>
        <w:rPr>
          <w:sz w:val="20"/>
          <w:szCs w:val="20"/>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InnovAge Holding Corp.;</w:t>
      </w:r>
    </w:p>
    <w:p>
      <w:pPr>
        <w:spacing w:after="0" w:line="117" w:lineRule="exact"/>
        <w:rPr>
          <w:rFonts w:ascii="Times New Roman" w:cs="Times New Roman" w:eastAsia="Times New Roman" w:hAnsi="Times New Roman"/>
          <w:sz w:val="18"/>
          <w:szCs w:val="18"/>
          <w:color w:val="auto"/>
        </w:rPr>
      </w:pPr>
    </w:p>
    <w:p>
      <w:pPr>
        <w:jc w:val="both"/>
        <w:ind w:left="980" w:right="60" w:hanging="648"/>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648"/>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20" w:right="100" w:hanging="640"/>
        <w:spacing w:after="0" w:line="266" w:lineRule="auto"/>
        <w:tabs>
          <w:tab w:leader="none" w:pos="161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1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648"/>
        <w:spacing w:after="0" w:line="312" w:lineRule="auto"/>
        <w:tabs>
          <w:tab w:leader="none" w:pos="9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1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2025</w:t>
      </w:r>
    </w:p>
    <w:p>
      <w:pPr>
        <w:spacing w:after="0" w:line="36"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Patrick Blair</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4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C. Adams, certify that:</w:t>
      </w:r>
    </w:p>
    <w:p>
      <w:pPr>
        <w:spacing w:after="0" w:line="117" w:lineRule="exact"/>
        <w:rPr>
          <w:sz w:val="20"/>
          <w:szCs w:val="20"/>
          <w:color w:val="auto"/>
        </w:rPr>
      </w:pPr>
    </w:p>
    <w:p>
      <w:pPr>
        <w:ind w:left="980" w:hanging="648"/>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InnovAge Holding Corp.;</w:t>
      </w:r>
    </w:p>
    <w:p>
      <w:pPr>
        <w:spacing w:after="0" w:line="117" w:lineRule="exact"/>
        <w:rPr>
          <w:rFonts w:ascii="Times New Roman" w:cs="Times New Roman" w:eastAsia="Times New Roman" w:hAnsi="Times New Roman"/>
          <w:sz w:val="18"/>
          <w:szCs w:val="18"/>
          <w:color w:val="auto"/>
        </w:rPr>
      </w:pPr>
    </w:p>
    <w:p>
      <w:pPr>
        <w:jc w:val="both"/>
        <w:ind w:left="980" w:right="60" w:hanging="648"/>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648"/>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20" w:right="100" w:hanging="640"/>
        <w:spacing w:after="0" w:line="266" w:lineRule="auto"/>
        <w:tabs>
          <w:tab w:leader="none" w:pos="16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648"/>
        <w:spacing w:after="0" w:line="312" w:lineRule="auto"/>
        <w:tabs>
          <w:tab w:leader="none" w:pos="9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2025</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Benjamin C. Adams</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03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InnovAge Holding Corp. (the “Company”) for the fiscal quarter ended March 31, 2025 as filed with the U.S. Securities and Exchange Commission (the “Report”), I, Patrick Blair, Chief Executive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140" w:hanging="64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2025</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Patrick Blair</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4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InnovAge Holding Corp. (the “Company”) for the fiscal quarter ended March 31, 2025 as filed with the U.S. Securities and Exchange Commission (the “Report”), I, Benjamin C. Adams, Chief Financial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140" w:hanging="646"/>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2025</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Benjamin C. Adams</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lvl w:ilvl="1">
      <w:lvlJc w:val="left"/>
      <w:lvlText w:val="(%2)"/>
      <w:numFmt w:val="lowerRoman"/>
      <w:start w:val="1"/>
    </w:lvl>
  </w:abstractNum>
  <w:abstractNum w:abstractNumId="8">
    <w:nsid w:val="519B500D"/>
    <w:multiLevelType w:val="hybridMultilevel"/>
    <w:lvl w:ilvl="0">
      <w:lvlJc w:val="left"/>
      <w:lvlText w:val="(%1)"/>
      <w:numFmt w:val="lowerRoman"/>
      <w:start w:val="3"/>
    </w:lvl>
  </w:abstractNum>
  <w:abstractNum w:abstractNumId="9">
    <w:nsid w:val="431BD7B7"/>
    <w:multiLevelType w:val="hybridMultilevel"/>
    <w:lvl w:ilvl="0">
      <w:lvlJc w:val="left"/>
      <w:lvlText w:val="(%1)"/>
      <w:numFmt w:val="lowerRoman"/>
      <w:start w:val="2"/>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lvl w:ilvl="1">
      <w:lvlJc w:val="left"/>
      <w:lvlText w:val="(%2)"/>
      <w:numFmt w:val="lowerLetter"/>
      <w:start w:val="61"/>
    </w:lvl>
  </w:abstractNum>
  <w:abstractNum w:abstractNumId="14">
    <w:nsid w:val="436C6125"/>
    <w:multiLevelType w:val="hybridMultilevel"/>
    <w:lvl w:ilvl="0">
      <w:lvlJc w:val="left"/>
      <w:lvlText w:val="(%1)"/>
      <w:numFmt w:val="lowerLetter"/>
      <w:start w:val="3"/>
    </w:lvl>
    <w:lvl w:ilvl="1">
      <w:lvlJc w:val="left"/>
      <w:lvlText w:val="%2"/>
      <w:numFmt w:val="lowerLetter"/>
      <w:start w:val="1"/>
    </w:lvl>
  </w:abstractNum>
  <w:abstractNum w:abstractNumId="15">
    <w:nsid w:val="628C895D"/>
    <w:multiLevelType w:val="hybridMultilevel"/>
    <w:lvl w:ilvl="0">
      <w:lvlJc w:val="left"/>
      <w:lvlText w:val="(%1)"/>
      <w:numFmt w:val="lowerLetter"/>
      <w:start w:val="4"/>
    </w:lvl>
  </w:abstractNum>
  <w:abstractNum w:abstractNumId="16">
    <w:nsid w:val="333AB105"/>
    <w:multiLevelType w:val="hybridMultilevel"/>
    <w:lvl w:ilvl="0">
      <w:lvlJc w:val="left"/>
      <w:lvlText w:val="%1"/>
      <w:numFmt w:val="lowerLetter"/>
      <w:start w:val="1"/>
    </w:lvl>
    <w:lvl w:ilvl="1">
      <w:lvlJc w:val="left"/>
      <w:lvlText w:val="(%2)"/>
      <w:numFmt w:val="lowerLetter"/>
      <w:start w:val="9"/>
    </w:lvl>
  </w:abstractNum>
  <w:abstractNum w:abstractNumId="17">
    <w:nsid w:val="721DA317"/>
    <w:multiLevelType w:val="hybridMultilevel"/>
    <w:lvl w:ilvl="0">
      <w:lvlJc w:val="left"/>
      <w:lvlText w:val="(%1)"/>
      <w:numFmt w:val="lowerLetter"/>
      <w:start w:val="5"/>
    </w:lvl>
    <w:lvl w:ilvl="1">
      <w:lvlJc w:val="left"/>
      <w:lvlText w:val="%2"/>
      <w:numFmt w:val="lowerLetter"/>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74" Type="http://schemas.openxmlformats.org/officeDocument/2006/relationships/hyperlink" Target="https://www.sec.gov/Archives/edgar/data/1834376/000110465921033328/tm2037889d18_ex3-1.htm" TargetMode="External"/><Relationship Id="rId75" Type="http://schemas.openxmlformats.org/officeDocument/2006/relationships/hyperlink" Target="https://www.sec.gov/Archives/edgar/data/1834376/000183437625000003/ex32-innvdeamendment.htm" TargetMode="External"/><Relationship Id="rId76" Type="http://schemas.openxmlformats.org/officeDocument/2006/relationships/hyperlink" Target="https://www.sec.gov/Archives/edgar/data/1834376/000110465921033328/tm2037889d1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2025-05-06T16:30:15Z</dcterms:created>
  <dcterms:modified xsi:type="dcterms:W3CDTF">2025-05-06T16:30:15Z</dcterms:modified>
</cp:coreProperties>
</file>