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9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33"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4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4" w:lineRule="exact"/>
        <w:rPr>
          <w:sz w:val="24"/>
          <w:szCs w:val="24"/>
          <w:color w:val="auto"/>
        </w:rPr>
      </w:pPr>
    </w:p>
    <w:p>
      <w:pPr>
        <w:ind w:left="4640" w:right="2000" w:hanging="2650"/>
        <w:spacing w:after="0" w:line="249" w:lineRule="auto"/>
        <w:tabs>
          <w:tab w:leader="none" w:pos="3003" w:val="left"/>
        </w:tabs>
        <w:numPr>
          <w:ilvl w:val="0"/>
          <w:numId w:val="1"/>
        </w:numPr>
        <w:rPr>
          <w:rFonts w:ascii="Wingdings" w:cs="Wingdings" w:eastAsia="Wingdings" w:hAnsi="Wingdings"/>
          <w:sz w:val="16"/>
          <w:szCs w:val="16"/>
          <w:b w:val="1"/>
          <w:bCs w:val="1"/>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 w:lineRule="exact"/>
        <w:rPr>
          <w:sz w:val="24"/>
          <w:szCs w:val="24"/>
          <w:color w:val="auto"/>
        </w:rPr>
      </w:pPr>
    </w:p>
    <w:p>
      <w:pPr>
        <w:jc w:val="center"/>
        <w:ind w:left="640"/>
        <w:spacing w:after="0"/>
        <w:rPr>
          <w:sz w:val="20"/>
          <w:szCs w:val="20"/>
          <w:color w:val="auto"/>
        </w:rPr>
      </w:pPr>
      <w:r>
        <w:rPr>
          <w:rFonts w:ascii="Times New Roman" w:cs="Times New Roman" w:eastAsia="Times New Roman" w:hAnsi="Times New Roman"/>
          <w:sz w:val="16"/>
          <w:szCs w:val="16"/>
          <w:b w:val="1"/>
          <w:bCs w:val="1"/>
          <w:color w:val="auto"/>
        </w:rPr>
        <w:t>For the quarterly period ended December 31, 2023</w:t>
      </w:r>
    </w:p>
    <w:p>
      <w:pPr>
        <w:spacing w:after="0" w:line="49" w:lineRule="exact"/>
        <w:rPr>
          <w:sz w:val="24"/>
          <w:szCs w:val="24"/>
          <w:color w:val="auto"/>
        </w:rPr>
      </w:pPr>
    </w:p>
    <w:p>
      <w:pPr>
        <w:jc w:val="center"/>
        <w:ind w:left="64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73" w:lineRule="exact"/>
        <w:rPr>
          <w:sz w:val="24"/>
          <w:szCs w:val="24"/>
          <w:color w:val="auto"/>
        </w:rPr>
      </w:pPr>
    </w:p>
    <w:p>
      <w:pPr>
        <w:ind w:left="3000" w:hanging="1000"/>
        <w:spacing w:after="0"/>
        <w:tabs>
          <w:tab w:leader="none" w:pos="3000" w:val="left"/>
        </w:tabs>
        <w:numPr>
          <w:ilvl w:val="0"/>
          <w:numId w:val="2"/>
        </w:numPr>
        <w:rPr>
          <w:rFonts w:ascii="Wingdings" w:cs="Wingdings" w:eastAsia="Wingdings" w:hAnsi="Wingdings"/>
          <w:sz w:val="16"/>
          <w:szCs w:val="16"/>
          <w:b w:val="1"/>
          <w:bCs w:val="1"/>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EXCHANGE ACT OF 1934</w:t>
      </w:r>
    </w:p>
    <w:p>
      <w:pPr>
        <w:spacing w:after="0" w:line="5"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 to _________</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Commission File Number: 001-40159</w:t>
      </w:r>
    </w:p>
    <w:p>
      <w:pPr>
        <w:spacing w:after="0" w:line="13"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2722245</wp:posOffset>
            </wp:positionH>
            <wp:positionV relativeFrom="paragraph">
              <wp:posOffset>4445</wp:posOffset>
            </wp:positionV>
            <wp:extent cx="1697355" cy="514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97355"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InnovAge Holding Corp.</w:t>
      </w:r>
    </w:p>
    <w:p>
      <w:pPr>
        <w:spacing w:after="0" w:line="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3"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77" w:lineRule="exact"/>
        <w:rPr>
          <w:sz w:val="24"/>
          <w:szCs w:val="24"/>
          <w:color w:val="auto"/>
        </w:rPr>
      </w:pPr>
    </w:p>
    <w:tbl>
      <w:tblPr>
        <w:tblLayout w:type="fixed"/>
        <w:tblInd w:w="1580" w:type="dxa"/>
        <w:tblCellMar>
          <w:top w:w="0" w:type="dxa"/>
          <w:left w:w="0" w:type="dxa"/>
          <w:bottom w:w="0" w:type="dxa"/>
          <w:right w:w="0" w:type="dxa"/>
        </w:tblCellMar>
      </w:tblPr>
      <w:tr>
        <w:trPr>
          <w:trHeight w:val="190"/>
        </w:trPr>
        <w:tc>
          <w:tcPr>
            <w:tcW w:w="6000" w:type="dxa"/>
            <w:vAlign w:val="bottom"/>
          </w:tcPr>
          <w:p>
            <w:pPr>
              <w:jc w:val="center"/>
              <w:ind w:right="3466"/>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5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81-0710819</w:t>
            </w:r>
          </w:p>
        </w:tc>
      </w:tr>
      <w:tr>
        <w:trPr>
          <w:trHeight w:val="161"/>
        </w:trPr>
        <w:tc>
          <w:tcPr>
            <w:tcW w:w="6000" w:type="dxa"/>
            <w:vAlign w:val="bottom"/>
          </w:tcPr>
          <w:p>
            <w:pPr>
              <w:jc w:val="center"/>
              <w:ind w:right="3466"/>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56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000" w:type="dxa"/>
            <w:vAlign w:val="bottom"/>
          </w:tcPr>
          <w:p>
            <w:pPr>
              <w:jc w:val="center"/>
              <w:ind w:right="346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56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201"/>
        </w:trPr>
        <w:tc>
          <w:tcPr>
            <w:tcW w:w="6000" w:type="dxa"/>
            <w:vAlign w:val="bottom"/>
          </w:tcPr>
          <w:p>
            <w:pPr>
              <w:jc w:val="center"/>
              <w:ind w:right="3466"/>
              <w:spacing w:after="0"/>
              <w:rPr>
                <w:sz w:val="20"/>
                <w:szCs w:val="20"/>
                <w:color w:val="auto"/>
              </w:rPr>
            </w:pPr>
            <w:r>
              <w:rPr>
                <w:rFonts w:ascii="Times New Roman" w:cs="Times New Roman" w:eastAsia="Times New Roman" w:hAnsi="Times New Roman"/>
                <w:sz w:val="14"/>
                <w:szCs w:val="14"/>
                <w:b w:val="1"/>
                <w:bCs w:val="1"/>
                <w:color w:val="auto"/>
              </w:rPr>
              <w:t>8950 E. Lowry Boulevard</w:t>
            </w:r>
          </w:p>
        </w:tc>
        <w:tc>
          <w:tcPr>
            <w:tcW w:w="156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80230</w:t>
            </w:r>
          </w:p>
        </w:tc>
      </w:tr>
      <w:tr>
        <w:trPr>
          <w:trHeight w:val="148"/>
        </w:trPr>
        <w:tc>
          <w:tcPr>
            <w:tcW w:w="6000" w:type="dxa"/>
            <w:vAlign w:val="bottom"/>
          </w:tcPr>
          <w:p>
            <w:pPr>
              <w:jc w:val="center"/>
              <w:ind w:right="3446"/>
              <w:spacing w:after="0" w:line="149" w:lineRule="exact"/>
              <w:rPr>
                <w:sz w:val="20"/>
                <w:szCs w:val="20"/>
                <w:color w:val="auto"/>
              </w:rPr>
            </w:pPr>
            <w:r>
              <w:rPr>
                <w:rFonts w:ascii="Times New Roman" w:cs="Times New Roman" w:eastAsia="Times New Roman" w:hAnsi="Times New Roman"/>
                <w:sz w:val="14"/>
                <w:szCs w:val="14"/>
                <w:b w:val="1"/>
                <w:bCs w:val="1"/>
                <w:color w:val="auto"/>
              </w:rPr>
              <w:t>Denver, CO</w:t>
            </w:r>
          </w:p>
        </w:tc>
        <w:tc>
          <w:tcPr>
            <w:tcW w:w="156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(Zip Code)</w:t>
            </w:r>
          </w:p>
        </w:tc>
      </w:tr>
      <w:tr>
        <w:trPr>
          <w:trHeight w:val="190"/>
        </w:trPr>
        <w:tc>
          <w:tcPr>
            <w:tcW w:w="6000" w:type="dxa"/>
            <w:vAlign w:val="bottom"/>
          </w:tcPr>
          <w:p>
            <w:pPr>
              <w:jc w:val="center"/>
              <w:ind w:right="346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560" w:type="dxa"/>
            <w:vAlign w:val="bottom"/>
          </w:tcPr>
          <w:p>
            <w:pPr>
              <w:spacing w:after="0"/>
              <w:rPr>
                <w:sz w:val="16"/>
                <w:szCs w:val="16"/>
                <w:color w:val="auto"/>
              </w:rPr>
            </w:pPr>
          </w:p>
        </w:tc>
      </w:tr>
      <w:tr>
        <w:trPr>
          <w:trHeight w:val="332"/>
        </w:trPr>
        <w:tc>
          <w:tcPr>
            <w:tcW w:w="6000" w:type="dxa"/>
            <w:vAlign w:val="bottom"/>
          </w:tcPr>
          <w:p>
            <w:pPr>
              <w:jc w:val="right"/>
              <w:ind w:right="1366"/>
              <w:spacing w:after="0"/>
              <w:rPr>
                <w:sz w:val="20"/>
                <w:szCs w:val="20"/>
                <w:color w:val="auto"/>
              </w:rPr>
            </w:pPr>
            <w:r>
              <w:rPr>
                <w:rFonts w:ascii="Times New Roman" w:cs="Times New Roman" w:eastAsia="Times New Roman" w:hAnsi="Times New Roman"/>
                <w:sz w:val="16"/>
                <w:szCs w:val="16"/>
                <w:b w:val="1"/>
                <w:bCs w:val="1"/>
                <w:color w:val="auto"/>
              </w:rPr>
              <w:t>(844) 803-8745</w:t>
            </w:r>
          </w:p>
        </w:tc>
        <w:tc>
          <w:tcPr>
            <w:tcW w:w="1560" w:type="dxa"/>
            <w:vAlign w:val="bottom"/>
          </w:tcPr>
          <w:p>
            <w:pPr>
              <w:spacing w:after="0"/>
              <w:rPr>
                <w:sz w:val="24"/>
                <w:szCs w:val="24"/>
                <w:color w:val="auto"/>
              </w:rPr>
            </w:pPr>
          </w:p>
        </w:tc>
      </w:tr>
      <w:tr>
        <w:trPr>
          <w:trHeight w:val="212"/>
        </w:trPr>
        <w:tc>
          <w:tcPr>
            <w:tcW w:w="6000" w:type="dxa"/>
            <w:vAlign w:val="bottom"/>
          </w:tcPr>
          <w:p>
            <w:pPr>
              <w:jc w:val="center"/>
              <w:ind w:left="2026"/>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1560" w:type="dxa"/>
            <w:vAlign w:val="bottom"/>
          </w:tcPr>
          <w:p>
            <w:pPr>
              <w:spacing w:after="0"/>
              <w:rPr>
                <w:sz w:val="18"/>
                <w:szCs w:val="18"/>
                <w:color w:val="auto"/>
              </w:rPr>
            </w:pPr>
          </w:p>
        </w:tc>
      </w:tr>
    </w:tbl>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Securities Act:</w:t>
      </w:r>
    </w:p>
    <w:p>
      <w:pPr>
        <w:spacing w:after="0" w:line="80" w:lineRule="exact"/>
        <w:rPr>
          <w:sz w:val="24"/>
          <w:szCs w:val="24"/>
          <w:color w:val="auto"/>
        </w:rPr>
      </w:pPr>
    </w:p>
    <w:tbl>
      <w:tblPr>
        <w:tblLayout w:type="fixed"/>
        <w:tblInd w:w="10" w:type="dxa"/>
        <w:tblCellMar>
          <w:top w:w="0" w:type="dxa"/>
          <w:left w:w="0" w:type="dxa"/>
          <w:bottom w:w="0" w:type="dxa"/>
          <w:right w:w="0" w:type="dxa"/>
        </w:tblCellMar>
      </w:tblPr>
      <w:tr>
        <w:trPr>
          <w:trHeight w:val="228"/>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4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4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57"/>
        </w:trPr>
        <w:tc>
          <w:tcPr>
            <w:tcW w:w="3760" w:type="dxa"/>
            <w:vAlign w:val="bottom"/>
            <w:tcBorders>
              <w:left w:val="single" w:sz="8" w:color="auto"/>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Common Stock, $0.001 par value</w:t>
            </w:r>
          </w:p>
        </w:tc>
        <w:tc>
          <w:tcPr>
            <w:tcW w:w="340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INNV</w:t>
            </w:r>
          </w:p>
        </w:tc>
        <w:tc>
          <w:tcPr>
            <w:tcW w:w="410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The Nasdaq Stock Market LLC (Nasdaq Global Select</w:t>
            </w:r>
          </w:p>
        </w:tc>
      </w:tr>
      <w:tr>
        <w:trPr>
          <w:trHeight w:val="214"/>
        </w:trPr>
        <w:tc>
          <w:tcPr>
            <w:tcW w:w="3760" w:type="dxa"/>
            <w:vAlign w:val="bottom"/>
            <w:tcBorders>
              <w:left w:val="single" w:sz="8" w:color="auto"/>
              <w:bottom w:val="single" w:sz="8" w:color="auto"/>
              <w:right w:val="single" w:sz="8" w:color="auto"/>
            </w:tcBorders>
          </w:tcPr>
          <w:p>
            <w:pPr>
              <w:spacing w:after="0"/>
              <w:rPr>
                <w:sz w:val="18"/>
                <w:szCs w:val="18"/>
                <w:color w:val="auto"/>
              </w:rPr>
            </w:pPr>
          </w:p>
        </w:tc>
        <w:tc>
          <w:tcPr>
            <w:tcW w:w="3400" w:type="dxa"/>
            <w:vAlign w:val="bottom"/>
            <w:tcBorders>
              <w:bottom w:val="single" w:sz="8" w:color="auto"/>
              <w:right w:val="single" w:sz="8" w:color="auto"/>
            </w:tcBorders>
          </w:tcPr>
          <w:p>
            <w:pPr>
              <w:spacing w:after="0"/>
              <w:rPr>
                <w:sz w:val="18"/>
                <w:szCs w:val="18"/>
                <w:color w:val="auto"/>
              </w:rPr>
            </w:pPr>
          </w:p>
        </w:tc>
        <w:tc>
          <w:tcPr>
            <w:tcW w:w="4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Market)</w:t>
            </w:r>
          </w:p>
        </w:tc>
      </w:tr>
    </w:tbl>
    <w:p>
      <w:pPr>
        <w:spacing w:after="0" w:line="189" w:lineRule="exact"/>
        <w:rPr>
          <w:sz w:val="24"/>
          <w:szCs w:val="24"/>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63" w:lineRule="exact"/>
        <w:rPr>
          <w:sz w:val="24"/>
          <w:szCs w:val="24"/>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70" w:lineRule="exact"/>
        <w:rPr>
          <w:sz w:val="24"/>
          <w:szCs w:val="24"/>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229" w:right="319" w:bottom="1440" w:gutter="0" w:footer="0" w:header="0"/>
        </w:sectPr>
      </w:pPr>
    </w:p>
    <w:p>
      <w:pPr>
        <w:spacing w:after="0" w:line="10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Wingdings" w:cs="Wingdings" w:eastAsia="Wingdings" w:hAnsi="Wingdings"/>
          <w:sz w:val="15"/>
          <w:szCs w:val="15"/>
          <w:b w:val="1"/>
          <w:bCs w:val="1"/>
          <w:color w:val="auto"/>
        </w:rPr>
        <w:t>o</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Wingdings" w:cs="Wingdings" w:eastAsia="Wingdings" w:hAnsi="Wingdings"/>
          <w:sz w:val="16"/>
          <w:szCs w:val="16"/>
          <w:b w:val="1"/>
          <w:bCs w:val="1"/>
          <w:color w:val="auto"/>
        </w:rPr>
        <w:t>x</w:t>
      </w:r>
    </w:p>
    <w:p>
      <w:pPr>
        <w:spacing w:after="0" w:line="76" w:lineRule="exact"/>
        <w:rPr>
          <w:sz w:val="24"/>
          <w:szCs w:val="24"/>
          <w:color w:val="auto"/>
        </w:rPr>
      </w:pPr>
    </w:p>
    <w:p>
      <w:pPr>
        <w:sectPr>
          <w:pgSz w:w="11900" w:h="16838" w:orient="portrait"/>
          <w:cols w:equalWidth="0" w:num="4">
            <w:col w:w="2580" w:space="720"/>
            <w:col w:w="140" w:space="320"/>
            <w:col w:w="2560" w:space="720"/>
            <w:col w:w="4220"/>
          </w:cols>
          <w:pgMar w:left="320" w:top="229" w:right="3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5"/>
          <w:szCs w:val="15"/>
          <w:b w:val="1"/>
          <w:bCs w:val="1"/>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6"/>
          <w:szCs w:val="16"/>
          <w:b w:val="1"/>
          <w:bCs w:val="1"/>
          <w:color w:val="auto"/>
        </w:rPr>
        <w: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Wingdings" w:cs="Wingdings" w:eastAsia="Wingdings" w:hAnsi="Wingdings"/>
          <w:sz w:val="16"/>
          <w:szCs w:val="16"/>
          <w:b w:val="1"/>
          <w:bCs w:val="1"/>
          <w:color w:val="auto"/>
        </w:rPr>
        <w:t>x</w:t>
      </w:r>
    </w:p>
    <w:p>
      <w:pPr>
        <w:spacing w:after="0" w:line="200" w:lineRule="exact"/>
        <w:rPr>
          <w:sz w:val="24"/>
          <w:szCs w:val="24"/>
          <w:color w:val="auto"/>
        </w:rPr>
      </w:pPr>
    </w:p>
    <w:p>
      <w:pPr>
        <w:sectPr>
          <w:pgSz w:w="11900" w:h="16838" w:orient="portrait"/>
          <w:cols w:equalWidth="0" w:num="6">
            <w:col w:w="2580" w:space="720"/>
            <w:col w:w="140" w:space="320"/>
            <w:col w:w="2560" w:space="720"/>
            <w:col w:w="180" w:space="280"/>
            <w:col w:w="2580" w:space="720"/>
            <w:col w:w="460"/>
          </w:cols>
          <w:pgMar w:left="320" w:top="229" w:right="319" w:bottom="1440" w:gutter="0" w:footer="0" w:header="0"/>
          <w:type w:val="continuous"/>
        </w:sectPr>
      </w:pPr>
    </w:p>
    <w:p>
      <w:pPr>
        <w:spacing w:after="0" w:line="11" w:lineRule="exact"/>
        <w:rPr>
          <w:sz w:val="24"/>
          <w:szCs w:val="24"/>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2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6"/>
          <w:szCs w:val="16"/>
          <w:color w:val="auto"/>
        </w:rPr>
        <w:t>As of February 5, 2024, there were 135,899,435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774700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36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896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360" w:type="dxa"/>
            <w:vAlign w:val="bottom"/>
            <w:gridSpan w:val="7"/>
            <w:vMerge w:val="continue"/>
          </w:tcPr>
          <w:p>
            <w:pPr>
              <w:spacing w:after="0"/>
              <w:rPr>
                <w:sz w:val="24"/>
                <w:szCs w:val="24"/>
                <w:color w:val="auto"/>
              </w:rPr>
            </w:pPr>
          </w:p>
        </w:tc>
        <w:tc>
          <w:tcPr>
            <w:tcW w:w="8960" w:type="dxa"/>
            <w:vAlign w:val="bottom"/>
            <w:gridSpan w:val="19"/>
            <w:vMerge w:val="continue"/>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0" w:type="dxa"/>
            <w:vAlign w:val="bottom"/>
          </w:tcPr>
          <w:p>
            <w:pPr>
              <w:spacing w:after="0"/>
              <w:rPr>
                <w:sz w:val="24"/>
                <w:szCs w:val="24"/>
                <w:color w:val="auto"/>
              </w:rPr>
            </w:pPr>
          </w:p>
        </w:tc>
        <w:tc>
          <w:tcPr>
            <w:tcW w:w="5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840" w:type="dxa"/>
            <w:vAlign w:val="bottom"/>
            <w:gridSpan w:val="5"/>
          </w:tcPr>
          <w:p>
            <w:pPr>
              <w:spacing w:after="0"/>
              <w:rPr>
                <w:sz w:val="24"/>
                <w:szCs w:val="24"/>
                <w:color w:val="auto"/>
              </w:rPr>
            </w:pPr>
          </w:p>
        </w:tc>
        <w:tc>
          <w:tcPr>
            <w:tcW w:w="24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540" w:type="dxa"/>
            <w:vAlign w:val="bottom"/>
            <w:gridSpan w:val="9"/>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December 31, 2023 (Unaudited) and June 30, 2023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six months ended December 31, 2023 and 2022</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Borders>
              <w:top w:val="single" w:sz="8" w:color="0000FF"/>
              <w:bottom w:val="single" w:sz="8" w:color="0000FF"/>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FF"/>
              </w:rPr>
              <w:t>(Unaudited)</w:t>
            </w:r>
          </w:p>
        </w:tc>
        <w:tc>
          <w:tcPr>
            <w:tcW w:w="4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gridSpan w:val="2"/>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202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1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0" w:type="dxa"/>
            <w:vAlign w:val="bottom"/>
            <w:tcBorders>
              <w:top w:val="single" w:sz="8" w:color="0000FF"/>
            </w:tcBorders>
            <w:gridSpan w:val="2"/>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six months ended December 31, 2023 and</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80" w:type="dxa"/>
            <w:vAlign w:val="bottom"/>
            <w:tcBorders>
              <w:top w:val="single" w:sz="8" w:color="0000FF"/>
              <w:bottom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FF"/>
              </w:rPr>
              <w:t>2022 (Unaudited)</w:t>
            </w:r>
          </w:p>
        </w:tc>
        <w:tc>
          <w:tcPr>
            <w:tcW w:w="7400" w:type="dxa"/>
            <w:vAlign w:val="bottom"/>
            <w:tcBorders>
              <w:top w:val="single" w:sz="8" w:color="0000FF"/>
            </w:tcBorders>
            <w:gridSpan w:val="14"/>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six months ended December 31, 2023 and 2022 (Unaudited)</w:t>
            </w:r>
          </w:p>
        </w:tc>
        <w:tc>
          <w:tcPr>
            <w:tcW w:w="340" w:type="dxa"/>
            <w:vAlign w:val="bottom"/>
            <w:gridSpan w:val="2"/>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7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 as of December 31, 2023 (Unaudited)</w:t>
            </w:r>
          </w:p>
        </w:tc>
        <w:tc>
          <w:tcPr>
            <w:tcW w:w="2200" w:type="dxa"/>
            <w:vAlign w:val="bottom"/>
            <w:gridSpan w:val="5"/>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840" w:type="dxa"/>
            <w:vAlign w:val="bottom"/>
            <w:gridSpan w:val="5"/>
          </w:tcPr>
          <w:p>
            <w:pPr>
              <w:spacing w:after="0"/>
              <w:rPr>
                <w:sz w:val="24"/>
                <w:szCs w:val="24"/>
                <w:color w:val="auto"/>
              </w:rPr>
            </w:pPr>
          </w:p>
        </w:tc>
        <w:tc>
          <w:tcPr>
            <w:tcW w:w="64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500" w:type="dxa"/>
            <w:vAlign w:val="bottom"/>
            <w:gridSpan w:val="6"/>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840" w:type="dxa"/>
            <w:vAlign w:val="bottom"/>
            <w:gridSpan w:val="5"/>
          </w:tcPr>
          <w:p>
            <w:pPr>
              <w:spacing w:after="0"/>
              <w:rPr>
                <w:sz w:val="24"/>
                <w:szCs w:val="24"/>
                <w:color w:val="auto"/>
              </w:rPr>
            </w:pPr>
          </w:p>
        </w:tc>
        <w:tc>
          <w:tcPr>
            <w:tcW w:w="43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600" w:type="dxa"/>
            <w:vAlign w:val="bottom"/>
            <w:gridSpan w:val="7"/>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840" w:type="dxa"/>
            <w:vAlign w:val="bottom"/>
            <w:gridSpan w:val="5"/>
          </w:tcPr>
          <w:p>
            <w:pPr>
              <w:spacing w:after="0"/>
              <w:rPr>
                <w:sz w:val="24"/>
                <w:szCs w:val="24"/>
                <w:color w:val="auto"/>
              </w:rPr>
            </w:pPr>
          </w:p>
        </w:tc>
        <w:tc>
          <w:tcPr>
            <w:tcW w:w="8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620" w:type="dxa"/>
            <w:vAlign w:val="bottom"/>
            <w:gridSpan w:val="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Part II</w:t>
            </w:r>
          </w:p>
        </w:tc>
        <w:tc>
          <w:tcPr>
            <w:tcW w:w="820" w:type="dxa"/>
            <w:vAlign w:val="bottom"/>
            <w:gridSpan w:val="4"/>
          </w:tcPr>
          <w:p>
            <w:pPr>
              <w:spacing w:after="0"/>
              <w:rPr>
                <w:sz w:val="24"/>
                <w:szCs w:val="24"/>
                <w:color w:val="auto"/>
              </w:rPr>
            </w:pPr>
          </w:p>
        </w:tc>
        <w:tc>
          <w:tcPr>
            <w:tcW w:w="896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20" w:type="dxa"/>
            <w:vAlign w:val="bottom"/>
            <w:tcBorders>
              <w:top w:val="single" w:sz="8" w:color="0000FF"/>
            </w:tcBorders>
          </w:tcPr>
          <w:p>
            <w:pPr>
              <w:spacing w:after="0"/>
              <w:rPr>
                <w:sz w:val="24"/>
                <w:szCs w:val="24"/>
                <w:color w:val="auto"/>
              </w:rPr>
            </w:pPr>
          </w:p>
        </w:tc>
        <w:tc>
          <w:tcPr>
            <w:tcW w:w="820" w:type="dxa"/>
            <w:vAlign w:val="bottom"/>
            <w:gridSpan w:val="4"/>
          </w:tcPr>
          <w:p>
            <w:pPr>
              <w:spacing w:after="0"/>
              <w:rPr>
                <w:sz w:val="24"/>
                <w:szCs w:val="24"/>
                <w:color w:val="auto"/>
              </w:rPr>
            </w:pPr>
          </w:p>
        </w:tc>
        <w:tc>
          <w:tcPr>
            <w:tcW w:w="14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520" w:type="dxa"/>
            <w:vAlign w:val="bottom"/>
            <w:gridSpan w:val="13"/>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620" w:type="dxa"/>
            <w:vAlign w:val="bottom"/>
            <w:gridSpan w:val="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3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1A.</w:t>
            </w:r>
          </w:p>
        </w:tc>
        <w:tc>
          <w:tcPr>
            <w:tcW w:w="8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620" w:type="dxa"/>
            <w:vAlign w:val="bottom"/>
            <w:gridSpan w:val="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gridSpan w:val="2"/>
          </w:tcPr>
          <w:p>
            <w:pPr>
              <w:spacing w:after="0"/>
              <w:rPr>
                <w:sz w:val="24"/>
                <w:szCs w:val="24"/>
                <w:color w:val="auto"/>
              </w:rPr>
            </w:pPr>
          </w:p>
        </w:tc>
        <w:tc>
          <w:tcPr>
            <w:tcW w:w="720" w:type="dxa"/>
            <w:vAlign w:val="bottom"/>
            <w:gridSpan w:val="3"/>
          </w:tcPr>
          <w:p>
            <w:pPr>
              <w:spacing w:after="0"/>
              <w:rPr>
                <w:sz w:val="24"/>
                <w:szCs w:val="24"/>
                <w:color w:val="auto"/>
              </w:rPr>
            </w:pPr>
          </w:p>
        </w:tc>
        <w:tc>
          <w:tcPr>
            <w:tcW w:w="8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840" w:type="dxa"/>
            <w:vAlign w:val="bottom"/>
            <w:gridSpan w:val="5"/>
          </w:tcPr>
          <w:p>
            <w:pPr>
              <w:spacing w:after="0"/>
              <w:rPr>
                <w:sz w:val="24"/>
                <w:szCs w:val="24"/>
                <w:color w:val="auto"/>
              </w:rPr>
            </w:pPr>
          </w:p>
        </w:tc>
        <w:tc>
          <w:tcPr>
            <w:tcW w:w="232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tcBorders>
              <w:top w:val="single" w:sz="8" w:color="0000FF"/>
            </w:tcBorders>
            <w:gridSpan w:val="2"/>
          </w:tcPr>
          <w:p>
            <w:pPr>
              <w:spacing w:after="0"/>
              <w:rPr>
                <w:sz w:val="24"/>
                <w:szCs w:val="24"/>
                <w:color w:val="auto"/>
              </w:rPr>
            </w:pPr>
          </w:p>
        </w:tc>
        <w:tc>
          <w:tcPr>
            <w:tcW w:w="4620" w:type="dxa"/>
            <w:vAlign w:val="bottom"/>
            <w:gridSpan w:val="8"/>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840" w:type="dxa"/>
            <w:vAlign w:val="bottom"/>
            <w:gridSpan w:val="5"/>
          </w:tcPr>
          <w:p>
            <w:pPr>
              <w:spacing w:after="0"/>
              <w:rPr>
                <w:sz w:val="24"/>
                <w:szCs w:val="24"/>
                <w:color w:val="auto"/>
              </w:rPr>
            </w:pPr>
          </w:p>
        </w:tc>
        <w:tc>
          <w:tcPr>
            <w:tcW w:w="89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840" w:type="dxa"/>
            <w:vAlign w:val="bottom"/>
            <w:gridSpan w:val="5"/>
          </w:tcPr>
          <w:p>
            <w:pPr>
              <w:spacing w:after="0"/>
              <w:rPr>
                <w:sz w:val="24"/>
                <w:szCs w:val="24"/>
                <w:color w:val="auto"/>
              </w:rPr>
            </w:pPr>
          </w:p>
        </w:tc>
        <w:tc>
          <w:tcPr>
            <w:tcW w:w="17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200" w:type="dxa"/>
            <w:vAlign w:val="bottom"/>
            <w:gridSpan w:val="11"/>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5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840" w:type="dxa"/>
            <w:vAlign w:val="bottom"/>
            <w:gridSpan w:val="5"/>
          </w:tcPr>
          <w:p>
            <w:pPr>
              <w:spacing w:after="0"/>
              <w:rPr>
                <w:sz w:val="24"/>
                <w:szCs w:val="24"/>
                <w:color w:val="auto"/>
              </w:rPr>
            </w:pPr>
          </w:p>
        </w:tc>
        <w:tc>
          <w:tcPr>
            <w:tcW w:w="6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20" w:type="dxa"/>
            <w:vAlign w:val="bottom"/>
            <w:tcBorders>
              <w:top w:val="single" w:sz="8" w:color="0000FF"/>
            </w:tcBorders>
            <w:gridSpan w:val="4"/>
          </w:tcPr>
          <w:p>
            <w:pPr>
              <w:spacing w:after="0"/>
              <w:rPr>
                <w:sz w:val="24"/>
                <w:szCs w:val="24"/>
                <w:color w:val="auto"/>
              </w:rPr>
            </w:pPr>
          </w:p>
        </w:tc>
        <w:tc>
          <w:tcPr>
            <w:tcW w:w="7640" w:type="dxa"/>
            <w:vAlign w:val="bottom"/>
            <w:gridSpan w:val="14"/>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0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Exhibit Index</w:t>
            </w: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925"/>
        </w:trPr>
        <w:tc>
          <w:tcPr>
            <w:tcW w:w="20" w:type="dxa"/>
            <w:vAlign w:val="bottom"/>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340" w:type="dxa"/>
            <w:vAlign w:val="bottom"/>
            <w:gridSpan w:val="11"/>
          </w:tcPr>
          <w:p>
            <w:pPr>
              <w:ind w:left="420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InnovAge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31, 2023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on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12529"/>
        </w:rPr>
        <w:t>Throughout this Quarterly Report on Form 10-Q, we make “forward-looking statements” within the meaning of the U.S. Private Securities Litigation Reform Act of 1995. Forward-looking statements describe future expectations, plans, results or strategies and can often be identified by the use of terminology such as “may,” “will,” “estimate,” “intend,” “plan,” “continue,” “believe,” “expect,” “anticipate,” “target,” “should,” “could,” “potential,” “opportunity,” “goal” or similar terminology. All statements other than statements of historical fact included in this Quarterly Report on Form 10-Q are forward-looking statements. Forward-looking statements give our current expectations and projections relating to our financial condition, results of operations, plans, objectives, future performance and business, including with respect to current audits and legal proceedings and actions, relationships and discussions with regulatory agencies, our expectations with respect to correcting deficiencies raised in audits and other processes, and our expectations to increase the number of participants we serve, to grow enrollment and capacity within existing centers, to build or open de novo centers, and other similar statements. The forward-looking statements contained in this Quarterly Report on Form 10-Q are generally located under the heading “Management’s Discussion and Analysis of Financial Condition and Results of Operations,” included in Part I, Item 2, and “Risk Factors,” included in Part II, Item 1A, but may be found in other locations as well. These statements are based upon management’s current expectations, projections, assumptions and estimates and are not guarantees of timing, future results or performance. Therefore, you should not rely on any of these forward-looking statements as predictions of future events. Actual results may differ materially from those contemplated in these statements due to a variety of risks and uncertainties and other factors, including, among other things:</w:t>
      </w:r>
    </w:p>
    <w:p>
      <w:pPr>
        <w:spacing w:after="0" w:line="19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viability of our growth strategy, including our ability to obtain licenses to open our de novo centers in Downey and Bakersfield, California;</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successfully complete and integrate acquisitions;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participants and retain existing participants and grow our revenue throughout our existing centers;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periodic inspections, reviews, audits and investigations under the federal and state government programs, such as the audit of our Sacramento, California center and the targeted medical review of our San Bernardino, California center, and our ability to sufficiently cure any new and recurring deficiencies identified by the respective federal and state government programs;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adverse impact of inspections, reviews, audits, investigations, legal proceedings, enforcement actions and litigation, including the current civil investigative demands initiated by federal and state agencies, as well as the litigation and other proceedings initiated by, or on behalf, of our stockholders;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cost of providing services will exceed our compensation under the Program of All Inclusive Care for the Elderly (“PACE”);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increased costs and expenditures in the future and our inability to execute or realize the benefits of our clinical value initiatives;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from ongoing macroeconomic related challenges, including labor shortages and inflation;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of our revenues and operations upon a limited number of government payors;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our submissions to government payors may contain inaccurate or unsupportable information, including regarding risk adjustment scores of participants;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renegotiation, non-renewal or termination of capitation agreements with government payors;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to predict our future results, which could cause such results to fall below any guidance we provide;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state and federal efforts to reduce healthcare spending;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 pandemic, epidemic or outbreak of an infectious disease, such as COVID-19;</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senior management team and other key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failures by our suppliers or limitations on our ability to access new technology or medical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our presence in Colorado;</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operations effectively, execute our business plan, maintain effective levels of service and participant satisfaction and adequately address competitive challenges;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the healthcare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 presence in new geographic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competition for physicians and other clinical personnel and related increases in our labor costs;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relations matters, including unionization efforts;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security breaches, loss of data or other disruptions causing the compromise of sensitive information or preventing us from accessing critical information;</w:t>
      </w: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invest in, implement improvements to and properly maintain the uninterrupted operation and data integrity of our information technology and other business systems;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estimate incurred but not reported medical expense or the risk scores of our participants;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use of “open-source” software;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the termination of our leases, increases in rent or inability to renew or extend leases;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weather and other factors beyond our control;</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our relatively limited operating history as a for-profit company on investors' ability to evaluate our current business and future prospects;</w:t>
      </w:r>
    </w:p>
    <w:p>
      <w:pPr>
        <w:jc w:val="both"/>
        <w:ind w:left="660" w:right="2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adhere to complex and changing government laws and regulations in the healthcare industry, including U.S. Healthcare reform, the regulation of the corporate practice of medicine and the Health Information Technology for Economic and Clinical Health Act of 2009 (the “HITECH Act”), and their implementing regulations (collectively, “HIPAA”), the California Consumer Privacy Act (“CCPA”) and other privacy laws and regulations in the healthcare industry;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 “controlled company”;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internal controls over financial reporting and other enhanced requirements of being a public company;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enhance our reputation and brand recognition;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disruptions in our disaster recovery systems or business continuity planning;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negative publicity regarding the managed healthcare industry;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disclosed in the section entitled “Risk Factors” in our Annual Report for the year ended June 30, 2023 filed with the Securities and Exchange Commission (the “SEC”) on September 12, 2023, and our subsequent filings with the SEC.</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or affect us or our operations in the way we expect. The forward-looking statements included in this Quarterly Report on Form 10-Q are made only as of the date hereof. We undertake no obligation to update or revise any forward-looking statement as a result of new information, future events or otherwise, except as otherwise required by law.</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12529"/>
        </w:rPr>
        <w:t>Unless otherwise specified or unless the context requires otherwise, all references in this Quarterly Report on Form 10-Q to “InnovAge,” “the Company,” “we,” “us,” and “our,” or similar references, refer to InnovAge Holding Corp. and our consolidated subsidiaries.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I —FINANCIAL INFORMATION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INNOVAGE HOLDING CORP.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6"/>
                <w:szCs w:val="16"/>
                <w:color w:val="auto"/>
              </w:rPr>
            </w:pPr>
          </w:p>
        </w:tc>
        <w:tc>
          <w:tcPr>
            <w:tcW w:w="1220" w:type="dxa"/>
            <w:vAlign w:val="bottom"/>
          </w:tcPr>
          <w:p>
            <w:pPr>
              <w:jc w:val="right"/>
              <w:ind w:right="388"/>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203"/>
        </w:trPr>
        <w:tc>
          <w:tcPr>
            <w:tcW w:w="8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8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54,081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127,249</w:t>
            </w: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Short-term investments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44,690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46,213</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Restricted cash</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Accounts receivable, net of allowance ($5,134 – December 31, 2023 and $4,161 – June 30, 2023)</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43,456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24,344</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Prepaid expenses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17,145</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Income tax receivable</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current assets</w:t>
            </w: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156,964</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215,229</w:t>
            </w:r>
          </w:p>
        </w:tc>
        <w:tc>
          <w:tcPr>
            <w:tcW w:w="0" w:type="dxa"/>
            <w:vAlign w:val="bottom"/>
          </w:tcPr>
          <w:p>
            <w:pPr>
              <w:spacing w:after="0"/>
              <w:rPr>
                <w:sz w:val="1"/>
                <w:szCs w:val="1"/>
                <w:color w:val="auto"/>
              </w:rPr>
            </w:pPr>
          </w:p>
        </w:tc>
      </w:tr>
      <w:tr>
        <w:trPr>
          <w:trHeight w:val="173"/>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Noncurrent Assets</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195,623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192,188</w:t>
            </w: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Operating lease assets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26,477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21,210</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Investments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5,493</w:t>
            </w: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Deposits and other</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3,823</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Goodwill</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141,565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124,217</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Other intangible assets, net</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4,868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5,198</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noncurrent assets</w:t>
            </w: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377,298</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352,129</w:t>
            </w:r>
          </w:p>
        </w:tc>
        <w:tc>
          <w:tcPr>
            <w:tcW w:w="0" w:type="dxa"/>
            <w:vAlign w:val="bottom"/>
          </w:tcPr>
          <w:p>
            <w:pPr>
              <w:spacing w:after="0"/>
              <w:rPr>
                <w:sz w:val="1"/>
                <w:szCs w:val="1"/>
                <w:color w:val="auto"/>
              </w:rPr>
            </w:pPr>
          </w:p>
        </w:tc>
      </w:tr>
      <w:tr>
        <w:trPr>
          <w:trHeight w:val="203"/>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534,262</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567,358</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52,372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54,935</w:t>
            </w: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Reported and estimated claims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47,247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42,999</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Due to Medicaid and Medicare</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9,142</w:t>
            </w: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Income tax payable</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3,795</w:t>
            </w: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Current portion of finance lease obligations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4,722</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Current portion of operating lease obligations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3,530</w:t>
            </w:r>
          </w:p>
        </w:tc>
        <w:tc>
          <w:tcPr>
            <w:tcW w:w="0" w:type="dxa"/>
            <w:vAlign w:val="bottom"/>
          </w:tcPr>
          <w:p>
            <w:pPr>
              <w:spacing w:after="0"/>
              <w:rPr>
                <w:sz w:val="1"/>
                <w:szCs w:val="1"/>
                <w:color w:val="auto"/>
              </w:rPr>
            </w:pPr>
          </w:p>
        </w:tc>
      </w:tr>
      <w:tr>
        <w:trPr>
          <w:trHeight w:val="196"/>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Deferred revenue</w:t>
            </w:r>
          </w:p>
        </w:tc>
        <w:tc>
          <w:tcPr>
            <w:tcW w:w="20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28,115</w:t>
            </w:r>
          </w:p>
        </w:tc>
        <w:tc>
          <w:tcPr>
            <w:tcW w:w="0" w:type="dxa"/>
            <w:vAlign w:val="bottom"/>
          </w:tcPr>
          <w:p>
            <w:pPr>
              <w:spacing w:after="0"/>
              <w:rPr>
                <w:sz w:val="1"/>
                <w:szCs w:val="1"/>
                <w:color w:val="auto"/>
              </w:rPr>
            </w:pPr>
          </w:p>
        </w:tc>
      </w:tr>
      <w:tr>
        <w:trPr>
          <w:trHeight w:val="203"/>
        </w:trPr>
        <w:tc>
          <w:tcPr>
            <w:tcW w:w="81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123,132</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148,450</w:t>
            </w:r>
          </w:p>
        </w:tc>
        <w:tc>
          <w:tcPr>
            <w:tcW w:w="0" w:type="dxa"/>
            <w:vAlign w:val="bottom"/>
          </w:tcPr>
          <w:p>
            <w:pPr>
              <w:spacing w:after="0"/>
              <w:rPr>
                <w:sz w:val="1"/>
                <w:szCs w:val="1"/>
                <w:color w:val="auto"/>
              </w:rPr>
            </w:pPr>
          </w:p>
        </w:tc>
      </w:tr>
      <w:tr>
        <w:trPr>
          <w:trHeight w:val="196"/>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Noncurrent Liabilities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Deferred tax liability, net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6,236</w:t>
            </w: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Finance lease obligations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11,311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13,114</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Operating lease obligations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18,828</w:t>
            </w: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1,086</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Long-term debt, net of debt issuance costs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63,162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64,844</w:t>
            </w:r>
          </w:p>
        </w:tc>
        <w:tc>
          <w:tcPr>
            <w:tcW w:w="0" w:type="dxa"/>
            <w:vAlign w:val="bottom"/>
          </w:tcPr>
          <w:p>
            <w:pPr>
              <w:spacing w:after="0"/>
              <w:rPr>
                <w:sz w:val="1"/>
                <w:szCs w:val="1"/>
                <w:color w:val="auto"/>
              </w:rPr>
            </w:pPr>
          </w:p>
        </w:tc>
      </w:tr>
      <w:tr>
        <w:trPr>
          <w:trHeight w:val="190"/>
        </w:trPr>
        <w:tc>
          <w:tcPr>
            <w:tcW w:w="81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Total liabilities</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231,290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252,558</w:t>
            </w:r>
          </w:p>
        </w:tc>
        <w:tc>
          <w:tcPr>
            <w:tcW w:w="0" w:type="dxa"/>
            <w:vAlign w:val="bottom"/>
          </w:tcPr>
          <w:p>
            <w:pPr>
              <w:spacing w:after="0"/>
              <w:rPr>
                <w:sz w:val="1"/>
                <w:szCs w:val="1"/>
                <w:color w:val="auto"/>
              </w:rPr>
            </w:pPr>
          </w:p>
        </w:tc>
      </w:tr>
      <w:tr>
        <w:trPr>
          <w:trHeight w:val="18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 and Contingencies (See Note 9)</w:t>
            </w:r>
          </w:p>
        </w:tc>
        <w:tc>
          <w:tcPr>
            <w:tcW w:w="2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Redeemable Noncontrolling Interests (See Note 4)</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11,831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12,708</w:t>
            </w: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8180" w:type="dxa"/>
            <w:vAlign w:val="bottom"/>
          </w:tcPr>
          <w:p>
            <w:pPr>
              <w:ind w:left="240"/>
              <w:spacing w:after="0" w:line="139" w:lineRule="exact"/>
              <w:rPr>
                <w:sz w:val="20"/>
                <w:szCs w:val="20"/>
                <w:color w:val="auto"/>
              </w:rPr>
            </w:pPr>
            <w:r>
              <w:rPr>
                <w:rFonts w:ascii="Times New Roman" w:cs="Times New Roman" w:eastAsia="Times New Roman" w:hAnsi="Times New Roman"/>
                <w:sz w:val="14"/>
                <w:szCs w:val="14"/>
                <w:color w:val="auto"/>
              </w:rPr>
              <w:t>Common stock, $0.001 par value; 500,000,000 authorized as of December 31, 2023 and June 30, 2023; 135,893,070 and 135,639,845</w:t>
            </w:r>
          </w:p>
        </w:tc>
        <w:tc>
          <w:tcPr>
            <w:tcW w:w="20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0" w:type="dxa"/>
            <w:vAlign w:val="bottom"/>
          </w:tcPr>
          <w:p>
            <w:pPr>
              <w:spacing w:after="0"/>
              <w:rPr>
                <w:sz w:val="1"/>
                <w:szCs w:val="1"/>
                <w:color w:val="auto"/>
              </w:rPr>
            </w:pPr>
          </w:p>
        </w:tc>
      </w:tr>
      <w:tr>
        <w:trPr>
          <w:trHeight w:val="193"/>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issued shares as of December 31, 2023 and June 30, 2023, respectively</w:t>
            </w:r>
          </w:p>
        </w:tc>
        <w:tc>
          <w:tcPr>
            <w:tcW w:w="2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335,062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332,107</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Retained deficit</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(49,695)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(35,944)</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InnovAge Holding Corp.</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285,503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296,299</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Noncontrolling interests</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5,638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5,793</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291,141</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302,092</w:t>
            </w:r>
          </w:p>
        </w:tc>
        <w:tc>
          <w:tcPr>
            <w:tcW w:w="0" w:type="dxa"/>
            <w:vAlign w:val="bottom"/>
          </w:tcPr>
          <w:p>
            <w:pPr>
              <w:spacing w:after="0"/>
              <w:rPr>
                <w:sz w:val="1"/>
                <w:szCs w:val="1"/>
                <w:color w:val="auto"/>
              </w:rPr>
            </w:pPr>
          </w:p>
        </w:tc>
      </w:tr>
      <w:tr>
        <w:trPr>
          <w:trHeight w:val="203"/>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534,262</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567,358</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6100445</wp:posOffset>
            </wp:positionH>
            <wp:positionV relativeFrom="paragraph">
              <wp:posOffset>-1336675</wp:posOffset>
            </wp:positionV>
            <wp:extent cx="22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86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INNOVAGE HOLDING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number of shares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20" w:type="dxa"/>
            <w:vAlign w:val="bottom"/>
          </w:tcPr>
          <w:p>
            <w:pPr>
              <w:spacing w:after="0"/>
              <w:rPr>
                <w:sz w:val="16"/>
                <w:szCs w:val="16"/>
                <w:color w:val="auto"/>
              </w:rPr>
            </w:pPr>
          </w:p>
        </w:tc>
        <w:tc>
          <w:tcPr>
            <w:tcW w:w="30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320" w:type="dxa"/>
            <w:vAlign w:val="bottom"/>
            <w:gridSpan w:val="4"/>
          </w:tcPr>
          <w:p>
            <w:pPr>
              <w:jc w:val="right"/>
              <w:ind w:right="791"/>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Capitation revenue</w:t>
            </w:r>
          </w:p>
        </w:tc>
        <w:tc>
          <w:tcPr>
            <w:tcW w:w="1120" w:type="dxa"/>
            <w:vAlign w:val="bottom"/>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188,561</w:t>
            </w:r>
          </w:p>
        </w:tc>
        <w:tc>
          <w:tcPr>
            <w:tcW w:w="100" w:type="dxa"/>
            <w:vAlign w:val="bottom"/>
          </w:tcPr>
          <w:p>
            <w:pPr>
              <w:spacing w:after="0"/>
              <w:rPr>
                <w:sz w:val="19"/>
                <w:szCs w:val="19"/>
                <w:color w:val="auto"/>
              </w:rPr>
            </w:pPr>
          </w:p>
        </w:tc>
        <w:tc>
          <w:tcPr>
            <w:tcW w:w="1120" w:type="dxa"/>
            <w:vAlign w:val="bottom"/>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167,140</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370,734</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338,071</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service revenue</w:t>
            </w:r>
          </w:p>
        </w:tc>
        <w:tc>
          <w:tcPr>
            <w:tcW w:w="1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23"/>
        </w:trPr>
        <w:tc>
          <w:tcPr>
            <w:tcW w:w="3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188,898</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167,456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371,382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338,674</w:t>
            </w: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External provider costs</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100,964</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93,507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200,322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189,744</w:t>
            </w:r>
          </w:p>
        </w:tc>
        <w:tc>
          <w:tcPr>
            <w:tcW w:w="0" w:type="dxa"/>
            <w:vAlign w:val="bottom"/>
          </w:tcPr>
          <w:p>
            <w:pPr>
              <w:spacing w:after="0"/>
              <w:rPr>
                <w:sz w:val="1"/>
                <w:szCs w:val="1"/>
                <w:color w:val="auto"/>
              </w:rPr>
            </w:pPr>
          </w:p>
        </w:tc>
      </w:tr>
      <w:tr>
        <w:trPr>
          <w:trHeight w:val="175"/>
        </w:trPr>
        <w:tc>
          <w:tcPr>
            <w:tcW w:w="36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Cost of care, excluding depreciation and</w:t>
            </w:r>
          </w:p>
        </w:tc>
        <w:tc>
          <w:tcPr>
            <w:tcW w:w="1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1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54,321</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51,376</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109,570</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104,933</w:t>
            </w:r>
          </w:p>
        </w:tc>
        <w:tc>
          <w:tcPr>
            <w:tcW w:w="0" w:type="dxa"/>
            <w:vAlign w:val="bottom"/>
          </w:tcPr>
          <w:p>
            <w:pPr>
              <w:spacing w:after="0"/>
              <w:rPr>
                <w:sz w:val="1"/>
                <w:szCs w:val="1"/>
                <w:color w:val="auto"/>
              </w:rPr>
            </w:pPr>
          </w:p>
        </w:tc>
      </w:tr>
      <w:tr>
        <w:trPr>
          <w:trHeight w:val="229"/>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5,859</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8,187</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general and administrative</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58,999</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7,095</w:t>
            </w: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expenses</w:t>
            </w:r>
          </w:p>
        </w:tc>
        <w:tc>
          <w:tcPr>
            <w:tcW w:w="1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190,683</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181,136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383,885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368,958</w:t>
            </w:r>
          </w:p>
        </w:tc>
        <w:tc>
          <w:tcPr>
            <w:tcW w:w="0" w:type="dxa"/>
            <w:vAlign w:val="bottom"/>
          </w:tcPr>
          <w:p>
            <w:pPr>
              <w:spacing w:after="0"/>
              <w:rPr>
                <w:sz w:val="1"/>
                <w:szCs w:val="1"/>
                <w:color w:val="auto"/>
              </w:rPr>
            </w:pPr>
          </w:p>
        </w:tc>
      </w:tr>
      <w:tr>
        <w:trPr>
          <w:trHeight w:val="223"/>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(30,284)</w:t>
            </w:r>
          </w:p>
        </w:tc>
        <w:tc>
          <w:tcPr>
            <w:tcW w:w="0" w:type="dxa"/>
            <w:vAlign w:val="bottom"/>
          </w:tcPr>
          <w:p>
            <w:pPr>
              <w:spacing w:after="0"/>
              <w:rPr>
                <w:sz w:val="1"/>
                <w:szCs w:val="1"/>
                <w:color w:val="auto"/>
              </w:rPr>
            </w:pPr>
          </w:p>
        </w:tc>
      </w:tr>
      <w:tr>
        <w:trPr>
          <w:trHeight w:val="250"/>
        </w:trPr>
        <w:tc>
          <w:tcPr>
            <w:tcW w:w="36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30"/>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other expense</w:t>
            </w:r>
          </w:p>
        </w:tc>
        <w:tc>
          <w:tcPr>
            <w:tcW w:w="11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10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1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(30,630)</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(Benefit) for Income Taxes</w:t>
            </w: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(6,383)</w:t>
            </w:r>
          </w:p>
        </w:tc>
        <w:tc>
          <w:tcPr>
            <w:tcW w:w="0" w:type="dxa"/>
            <w:vAlign w:val="bottom"/>
          </w:tcPr>
          <w:p>
            <w:pPr>
              <w:spacing w:after="0"/>
              <w:rPr>
                <w:sz w:val="1"/>
                <w:szCs w:val="1"/>
                <w:color w:val="auto"/>
              </w:rPr>
            </w:pPr>
          </w:p>
        </w:tc>
      </w:tr>
      <w:tr>
        <w:trPr>
          <w:trHeight w:val="22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(24,247)</w:t>
            </w:r>
          </w:p>
        </w:tc>
        <w:tc>
          <w:tcPr>
            <w:tcW w:w="0" w:type="dxa"/>
            <w:vAlign w:val="bottom"/>
          </w:tcPr>
          <w:p>
            <w:pPr>
              <w:spacing w:after="0"/>
              <w:rPr>
                <w:sz w:val="1"/>
                <w:szCs w:val="1"/>
                <w:color w:val="auto"/>
              </w:rPr>
            </w:pPr>
          </w:p>
        </w:tc>
      </w:tr>
      <w:tr>
        <w:trPr>
          <w:trHeight w:val="155"/>
        </w:trPr>
        <w:tc>
          <w:tcPr>
            <w:tcW w:w="3620" w:type="dxa"/>
            <w:vAlign w:val="bottom"/>
          </w:tcPr>
          <w:p>
            <w:pPr>
              <w:ind w:left="240"/>
              <w:spacing w:after="0" w:line="156" w:lineRule="exact"/>
              <w:rPr>
                <w:sz w:val="20"/>
                <w:szCs w:val="20"/>
                <w:color w:val="auto"/>
              </w:rPr>
            </w:pPr>
            <w:r>
              <w:rPr>
                <w:rFonts w:ascii="Times New Roman" w:cs="Times New Roman" w:eastAsia="Times New Roman" w:hAnsi="Times New Roman"/>
                <w:sz w:val="18"/>
                <w:szCs w:val="18"/>
                <w:color w:val="auto"/>
              </w:rPr>
              <w:t>Less: net loss attributable to noncontrolling</w:t>
            </w:r>
          </w:p>
        </w:tc>
        <w:tc>
          <w:tcPr>
            <w:tcW w:w="1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interests</w:t>
            </w:r>
          </w:p>
        </w:tc>
        <w:tc>
          <w:tcPr>
            <w:tcW w:w="1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0" w:type="dxa"/>
            <w:vAlign w:val="bottom"/>
          </w:tcPr>
          <w:p>
            <w:pPr>
              <w:spacing w:after="0"/>
              <w:rPr>
                <w:sz w:val="1"/>
                <w:szCs w:val="1"/>
                <w:color w:val="auto"/>
              </w:rPr>
            </w:pPr>
          </w:p>
        </w:tc>
      </w:tr>
      <w:tr>
        <w:trPr>
          <w:trHeight w:val="155"/>
        </w:trPr>
        <w:tc>
          <w:tcPr>
            <w:tcW w:w="36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Net Loss Attributable to InnovAge Holding</w:t>
            </w:r>
          </w:p>
        </w:tc>
        <w:tc>
          <w:tcPr>
            <w:tcW w:w="1120" w:type="dxa"/>
            <w:vAlign w:val="bottom"/>
            <w:vMerge w:val="restart"/>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1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(9,793)</w:t>
            </w:r>
          </w:p>
        </w:tc>
        <w:tc>
          <w:tcPr>
            <w:tcW w:w="10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(13,751)</w:t>
            </w:r>
          </w:p>
        </w:tc>
        <w:tc>
          <w:tcPr>
            <w:tcW w:w="10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(22,866)</w:t>
            </w:r>
          </w:p>
        </w:tc>
        <w:tc>
          <w:tcPr>
            <w:tcW w:w="0" w:type="dxa"/>
            <w:vAlign w:val="bottom"/>
          </w:tcPr>
          <w:p>
            <w:pPr>
              <w:spacing w:after="0"/>
              <w:rPr>
                <w:sz w:val="1"/>
                <w:szCs w:val="1"/>
                <w:color w:val="auto"/>
              </w:rPr>
            </w:pPr>
          </w:p>
        </w:tc>
      </w:tr>
      <w:tr>
        <w:trPr>
          <w:trHeight w:val="236"/>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Corp.</w:t>
            </w: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vMerge w:val="continue"/>
            <w:shd w:val="clear" w:color="auto" w:fill="CCEEFF"/>
          </w:tcPr>
          <w:p>
            <w:pPr>
              <w:spacing w:after="0"/>
              <w:rPr>
                <w:sz w:val="20"/>
                <w:szCs w:val="20"/>
                <w:color w:val="auto"/>
              </w:rPr>
            </w:pPr>
          </w:p>
        </w:tc>
        <w:tc>
          <w:tcPr>
            <w:tcW w:w="13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4" w:lineRule="exact"/>
        <w:rPr>
          <w:sz w:val="20"/>
          <w:szCs w:val="20"/>
          <w:color w:val="auto"/>
        </w:rPr>
      </w:pPr>
    </w:p>
    <w:p>
      <w:pPr>
        <w:ind w:left="20"/>
        <w:spacing w:after="0" w:line="239" w:lineRule="auto"/>
        <w:rPr>
          <w:sz w:val="20"/>
          <w:szCs w:val="20"/>
          <w:color w:val="auto"/>
        </w:rPr>
      </w:pPr>
      <w:r>
        <w:rPr>
          <w:rFonts w:ascii="Times New Roman" w:cs="Times New Roman" w:eastAsia="Times New Roman" w:hAnsi="Times New Roman"/>
          <w:sz w:val="18"/>
          <w:szCs w:val="18"/>
          <w:b w:val="1"/>
          <w:bCs w:val="1"/>
          <w:color w:val="auto"/>
        </w:rPr>
        <w:t>Weighted-average number of common shares outstanding - basic</w:t>
      </w:r>
    </w:p>
    <w:p>
      <w:pPr>
        <w:spacing w:after="0" w:line="6" w:lineRule="exact"/>
        <w:rPr>
          <w:sz w:val="20"/>
          <w:szCs w:val="20"/>
          <w:color w:val="auto"/>
        </w:rPr>
      </w:pPr>
    </w:p>
    <w:p>
      <w:pPr>
        <w:ind w:left="20"/>
        <w:spacing w:after="0" w:line="239" w:lineRule="auto"/>
        <w:rPr>
          <w:sz w:val="20"/>
          <w:szCs w:val="20"/>
          <w:color w:val="auto"/>
        </w:rPr>
      </w:pPr>
      <w:r>
        <w:rPr>
          <w:rFonts w:ascii="Times New Roman" w:cs="Times New Roman" w:eastAsia="Times New Roman" w:hAnsi="Times New Roman"/>
          <w:sz w:val="18"/>
          <w:szCs w:val="18"/>
          <w:b w:val="1"/>
          <w:bCs w:val="1"/>
          <w:color w:val="auto"/>
        </w:rPr>
        <w:t>Weighted-average number of common shares outstanding - diluted</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135,887,613</w:t>
            </w:r>
          </w:p>
        </w:tc>
        <w:tc>
          <w:tcPr>
            <w:tcW w:w="1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135,578,888</w:t>
            </w:r>
          </w:p>
        </w:tc>
        <w:tc>
          <w:tcPr>
            <w:tcW w:w="1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135,839,007</w:t>
            </w:r>
          </w:p>
        </w:tc>
        <w:tc>
          <w:tcPr>
            <w:tcW w:w="1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135,572,503</w:t>
            </w:r>
          </w:p>
        </w:tc>
      </w:tr>
      <w:tr>
        <w:trPr>
          <w:trHeight w:val="418"/>
        </w:trPr>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135,887,613</w:t>
            </w:r>
          </w:p>
        </w:tc>
        <w:tc>
          <w:tcPr>
            <w:tcW w:w="100" w:type="dxa"/>
            <w:vAlign w:val="bottom"/>
          </w:tcPr>
          <w:p>
            <w:pPr>
              <w:spacing w:after="0"/>
              <w:rPr>
                <w:sz w:val="24"/>
                <w:szCs w:val="24"/>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135,578,888</w:t>
            </w:r>
          </w:p>
        </w:tc>
        <w:tc>
          <w:tcPr>
            <w:tcW w:w="100" w:type="dxa"/>
            <w:vAlign w:val="bottom"/>
          </w:tcPr>
          <w:p>
            <w:pPr>
              <w:spacing w:after="0"/>
              <w:rPr>
                <w:sz w:val="24"/>
                <w:szCs w:val="24"/>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135,839,007</w:t>
            </w:r>
          </w:p>
        </w:tc>
        <w:tc>
          <w:tcPr>
            <w:tcW w:w="100" w:type="dxa"/>
            <w:vAlign w:val="bottom"/>
          </w:tcPr>
          <w:p>
            <w:pPr>
              <w:spacing w:after="0"/>
              <w:rPr>
                <w:sz w:val="24"/>
                <w:szCs w:val="24"/>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135,572,503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-2292985</wp:posOffset>
            </wp:positionH>
            <wp:positionV relativeFrom="paragraph">
              <wp:posOffset>-539115</wp:posOffset>
            </wp:positionV>
            <wp:extent cx="7132320" cy="2660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500" w:space="120"/>
            <w:col w:w="76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36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 basic</w:t>
            </w: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9"/>
                <w:szCs w:val="19"/>
                <w:color w:val="auto"/>
              </w:rPr>
            </w:pPr>
          </w:p>
        </w:tc>
        <w:tc>
          <w:tcPr>
            <w:tcW w:w="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9"/>
                <w:szCs w:val="19"/>
                <w:color w:val="auto"/>
              </w:rPr>
            </w:pP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19"/>
                <w:szCs w:val="19"/>
                <w:color w:val="auto"/>
              </w:rPr>
            </w:pPr>
          </w:p>
        </w:tc>
        <w:tc>
          <w:tcPr>
            <w:tcW w:w="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 diluted</w:t>
            </w: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Balances, September 30, 2023</w:t>
      </w: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Stock-based compensation</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Tax withholding related to net share</w:t>
      </w:r>
    </w:p>
    <w:p>
      <w:pPr>
        <w:spacing w:after="0" w:line="4" w:lineRule="exact"/>
        <w:rPr>
          <w:sz w:val="20"/>
          <w:szCs w:val="20"/>
          <w:color w:val="auto"/>
        </w:rPr>
      </w:pPr>
    </w:p>
    <w:p>
      <w:pPr>
        <w:ind w:left="20"/>
        <w:spacing w:after="0" w:line="229" w:lineRule="auto"/>
        <w:rPr>
          <w:sz w:val="20"/>
          <w:szCs w:val="20"/>
          <w:color w:val="auto"/>
        </w:rPr>
      </w:pPr>
      <w:r>
        <w:rPr>
          <w:rFonts w:ascii="Times New Roman" w:cs="Times New Roman" w:eastAsia="Times New Roman" w:hAnsi="Times New Roman"/>
          <w:sz w:val="14"/>
          <w:szCs w:val="14"/>
          <w:color w:val="auto"/>
        </w:rPr>
        <w:t>settlements of stock-based compensation awards</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loss</w:t>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Balances,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Balances, June 30, 2023</w:t>
      </w: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Stock-based compensation</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Tax withholding related to net share</w:t>
      </w:r>
    </w:p>
    <w:p>
      <w:pPr>
        <w:spacing w:after="0" w:line="4" w:lineRule="exact"/>
        <w:rPr>
          <w:sz w:val="20"/>
          <w:szCs w:val="20"/>
          <w:color w:val="auto"/>
        </w:rPr>
      </w:pPr>
    </w:p>
    <w:p>
      <w:pPr>
        <w:ind w:left="20"/>
        <w:spacing w:after="0" w:line="229" w:lineRule="auto"/>
        <w:rPr>
          <w:sz w:val="20"/>
          <w:szCs w:val="20"/>
          <w:color w:val="auto"/>
        </w:rPr>
      </w:pPr>
      <w:r>
        <w:rPr>
          <w:rFonts w:ascii="Times New Roman" w:cs="Times New Roman" w:eastAsia="Times New Roman" w:hAnsi="Times New Roman"/>
          <w:sz w:val="14"/>
          <w:szCs w:val="14"/>
          <w:color w:val="auto"/>
        </w:rPr>
        <w:t>settlements of stock-based compensation awards</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loss</w:t>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Balances, December 31,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740"/>
        <w:spacing w:after="0"/>
        <w:rPr>
          <w:sz w:val="20"/>
          <w:szCs w:val="20"/>
          <w:color w:val="auto"/>
        </w:rPr>
      </w:pPr>
      <w:r>
        <w:rPr>
          <w:rFonts w:ascii="Times New Roman" w:cs="Times New Roman" w:eastAsia="Times New Roman" w:hAnsi="Times New Roman"/>
          <w:sz w:val="18"/>
          <w:szCs w:val="18"/>
          <w:b w:val="1"/>
          <w:bCs w:val="1"/>
          <w:color w:val="auto"/>
        </w:rPr>
        <w:t>INNOVAGE HOLDING CORP. AND SUBSIDIARIES</w:t>
      </w:r>
    </w:p>
    <w:p>
      <w:pPr>
        <w:spacing w:after="0" w:line="225" w:lineRule="exact"/>
        <w:rPr>
          <w:sz w:val="20"/>
          <w:szCs w:val="20"/>
          <w:color w:val="auto"/>
        </w:rPr>
      </w:pPr>
    </w:p>
    <w:p>
      <w:pPr>
        <w:jc w:val="center"/>
        <w:ind w:left="560" w:right="2720"/>
        <w:spacing w:after="0" w:line="278" w:lineRule="auto"/>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(In thousands, except share amounts) (Unaudited)</w:t>
      </w:r>
    </w:p>
    <w:p>
      <w:pPr>
        <w:spacing w:after="0" w:line="200" w:lineRule="exact"/>
        <w:rPr>
          <w:sz w:val="20"/>
          <w:szCs w:val="20"/>
          <w:color w:val="auto"/>
        </w:rPr>
      </w:pPr>
    </w:p>
    <w:p>
      <w:pPr>
        <w:spacing w:after="0" w:line="223"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4"/>
          <w:szCs w:val="14"/>
          <w:b w:val="1"/>
          <w:bCs w:val="1"/>
          <w:color w:val="auto"/>
        </w:rPr>
        <w:t>For the Three Months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53917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91785" cy="8255"/>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8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40" w:type="dxa"/>
            <w:vAlign w:val="bottom"/>
            <w:gridSpan w:val="5"/>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Capital Stock</w:t>
            </w: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Permanent</w:t>
            </w:r>
          </w:p>
        </w:tc>
        <w:tc>
          <w:tcPr>
            <w:tcW w:w="100" w:type="dxa"/>
            <w:vAlign w:val="bottom"/>
          </w:tcPr>
          <w:p>
            <w:pPr>
              <w:spacing w:after="0"/>
              <w:rPr>
                <w:sz w:val="11"/>
                <w:szCs w:val="11"/>
                <w:color w:val="auto"/>
              </w:rPr>
            </w:pPr>
          </w:p>
        </w:tc>
        <w:tc>
          <w:tcPr>
            <w:tcW w:w="9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14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vMerge w:val="restart"/>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9"/>
                <w:szCs w:val="9"/>
                <w:color w:val="auto"/>
              </w:rPr>
            </w:pPr>
          </w:p>
        </w:tc>
        <w:tc>
          <w:tcPr>
            <w:tcW w:w="920" w:type="dxa"/>
            <w:vAlign w:val="bottom"/>
            <w:gridSpan w:val="2"/>
            <w:vMerge w:val="restart"/>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80" w:type="dxa"/>
            <w:vAlign w:val="bottom"/>
            <w:gridSpan w:val="3"/>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080" w:type="dxa"/>
            <w:vAlign w:val="bottom"/>
            <w:gridSpan w:val="3"/>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00" w:type="dxa"/>
            <w:vAlign w:val="bottom"/>
          </w:tcPr>
          <w:p>
            <w:pPr>
              <w:spacing w:after="0"/>
              <w:rPr>
                <w:sz w:val="9"/>
                <w:szCs w:val="9"/>
                <w:color w:val="auto"/>
              </w:rPr>
            </w:pPr>
          </w:p>
        </w:tc>
        <w:tc>
          <w:tcPr>
            <w:tcW w:w="980" w:type="dxa"/>
            <w:vAlign w:val="bottom"/>
            <w:gridSpan w:val="2"/>
            <w:vMerge w:val="restart"/>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(Temporary</w:t>
            </w:r>
          </w:p>
        </w:tc>
        <w:tc>
          <w:tcPr>
            <w:tcW w:w="980" w:type="dxa"/>
            <w:vAlign w:val="bottom"/>
            <w:vMerge w:val="restart"/>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0" w:type="dxa"/>
            <w:vAlign w:val="bottom"/>
          </w:tcPr>
          <w:p>
            <w:pPr>
              <w:spacing w:after="0"/>
              <w:rPr>
                <w:sz w:val="1"/>
                <w:szCs w:val="1"/>
                <w:color w:val="auto"/>
              </w:rPr>
            </w:pPr>
          </w:p>
        </w:tc>
      </w:tr>
      <w:tr>
        <w:trPr>
          <w:trHeight w:val="23"/>
        </w:trPr>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94"/>
        </w:trPr>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135,884,840</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333,316</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(46,248)</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5,705</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292,909</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12,138</w:t>
            </w:r>
          </w:p>
        </w:tc>
        <w:tc>
          <w:tcPr>
            <w:tcW w:w="80" w:type="dxa"/>
            <w:vAlign w:val="bottom"/>
          </w:tcPr>
          <w:p>
            <w:pPr>
              <w:spacing w:after="0"/>
              <w:rPr>
                <w:sz w:val="16"/>
                <w:szCs w:val="16"/>
                <w:color w:val="auto"/>
              </w:rPr>
            </w:pPr>
          </w:p>
        </w:tc>
        <w:tc>
          <w:tcPr>
            <w:tcW w:w="98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11,552</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1,766</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1,766</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77"/>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(3,821)</w:t>
            </w:r>
          </w:p>
        </w:tc>
        <w:tc>
          <w:tcPr>
            <w:tcW w:w="0" w:type="dxa"/>
            <w:vAlign w:val="bottom"/>
          </w:tcPr>
          <w:p>
            <w:pPr>
              <w:spacing w:after="0"/>
              <w:rPr>
                <w:sz w:val="1"/>
                <w:szCs w:val="1"/>
                <w:color w:val="auto"/>
              </w:rPr>
            </w:pPr>
          </w:p>
        </w:tc>
      </w:tr>
      <w:tr>
        <w:trPr>
          <w:trHeight w:val="23"/>
        </w:trPr>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135,893,070</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335,062</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(49,695)</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5,638</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291,141</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11,831</w:t>
            </w: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gridSpan w:val="11"/>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5"/>
        </w:trPr>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80" w:type="dxa"/>
            <w:vAlign w:val="bottom"/>
            <w:gridSpan w:val="11"/>
          </w:tcPr>
          <w:p>
            <w:pPr>
              <w:ind w:left="580"/>
              <w:spacing w:after="0"/>
              <w:rPr>
                <w:sz w:val="20"/>
                <w:szCs w:val="20"/>
                <w:color w:val="auto"/>
              </w:rPr>
            </w:pPr>
            <w:r>
              <w:rPr>
                <w:rFonts w:ascii="Times New Roman" w:cs="Times New Roman" w:eastAsia="Times New Roman" w:hAnsi="Times New Roman"/>
                <w:sz w:val="14"/>
                <w:szCs w:val="14"/>
                <w:b w:val="1"/>
                <w:bCs w:val="1"/>
                <w:color w:val="auto"/>
              </w:rPr>
              <w:t>For the Six Months Ended December 31, 2023</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98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8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40" w:type="dxa"/>
            <w:vAlign w:val="bottom"/>
            <w:gridSpan w:val="5"/>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Capital Stock</w:t>
            </w: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Permanent</w:t>
            </w:r>
          </w:p>
        </w:tc>
        <w:tc>
          <w:tcPr>
            <w:tcW w:w="100" w:type="dxa"/>
            <w:vAlign w:val="bottom"/>
          </w:tcPr>
          <w:p>
            <w:pPr>
              <w:spacing w:after="0"/>
              <w:rPr>
                <w:sz w:val="11"/>
                <w:szCs w:val="11"/>
                <w:color w:val="auto"/>
              </w:rPr>
            </w:pPr>
          </w:p>
        </w:tc>
        <w:tc>
          <w:tcPr>
            <w:tcW w:w="9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14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vMerge w:val="restart"/>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9"/>
                <w:szCs w:val="9"/>
                <w:color w:val="auto"/>
              </w:rPr>
            </w:pPr>
          </w:p>
        </w:tc>
        <w:tc>
          <w:tcPr>
            <w:tcW w:w="920" w:type="dxa"/>
            <w:vAlign w:val="bottom"/>
            <w:gridSpan w:val="2"/>
            <w:vMerge w:val="restart"/>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80" w:type="dxa"/>
            <w:vAlign w:val="bottom"/>
            <w:gridSpan w:val="3"/>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080" w:type="dxa"/>
            <w:vAlign w:val="bottom"/>
            <w:gridSpan w:val="3"/>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00" w:type="dxa"/>
            <w:vAlign w:val="bottom"/>
          </w:tcPr>
          <w:p>
            <w:pPr>
              <w:spacing w:after="0"/>
              <w:rPr>
                <w:sz w:val="9"/>
                <w:szCs w:val="9"/>
                <w:color w:val="auto"/>
              </w:rPr>
            </w:pPr>
          </w:p>
        </w:tc>
        <w:tc>
          <w:tcPr>
            <w:tcW w:w="980" w:type="dxa"/>
            <w:vAlign w:val="bottom"/>
            <w:gridSpan w:val="2"/>
            <w:vMerge w:val="restart"/>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(Temporary</w:t>
            </w:r>
          </w:p>
        </w:tc>
        <w:tc>
          <w:tcPr>
            <w:tcW w:w="980" w:type="dxa"/>
            <w:vAlign w:val="bottom"/>
            <w:vMerge w:val="restart"/>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0" w:type="dxa"/>
            <w:vAlign w:val="bottom"/>
          </w:tcPr>
          <w:p>
            <w:pPr>
              <w:spacing w:after="0"/>
              <w:rPr>
                <w:sz w:val="1"/>
                <w:szCs w:val="1"/>
                <w:color w:val="auto"/>
              </w:rPr>
            </w:pPr>
          </w:p>
        </w:tc>
      </w:tr>
      <w:tr>
        <w:trPr>
          <w:trHeight w:val="23"/>
        </w:trPr>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0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95"/>
        </w:trPr>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135,639,845</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332,107</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(35,944)</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5,793</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302,092</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12,708</w:t>
            </w:r>
          </w:p>
        </w:tc>
        <w:tc>
          <w:tcPr>
            <w:tcW w:w="80" w:type="dxa"/>
            <w:vAlign w:val="bottom"/>
          </w:tcPr>
          <w:p>
            <w:pPr>
              <w:spacing w:after="0"/>
              <w:rPr>
                <w:sz w:val="16"/>
                <w:szCs w:val="16"/>
                <w:color w:val="auto"/>
              </w:rPr>
            </w:pPr>
          </w:p>
        </w:tc>
        <w:tc>
          <w:tcPr>
            <w:tcW w:w="98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359,401</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3,589</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3,589</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77"/>
        </w:trPr>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(106,176)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(13,751)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(13,906)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(14,783)</w:t>
            </w:r>
          </w:p>
        </w:tc>
        <w:tc>
          <w:tcPr>
            <w:tcW w:w="0" w:type="dxa"/>
            <w:vAlign w:val="bottom"/>
          </w:tcPr>
          <w:p>
            <w:pPr>
              <w:spacing w:after="0"/>
              <w:rPr>
                <w:sz w:val="1"/>
                <w:szCs w:val="1"/>
                <w:color w:val="auto"/>
              </w:rPr>
            </w:pPr>
          </w:p>
        </w:tc>
      </w:tr>
      <w:tr>
        <w:trPr>
          <w:trHeight w:val="23"/>
        </w:trPr>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135,893,070</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335,062</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(49,695)</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5,638</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291,141</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11,831</w:t>
            </w:r>
          </w:p>
        </w:tc>
        <w:tc>
          <w:tcPr>
            <w:tcW w:w="8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-1734185</wp:posOffset>
            </wp:positionH>
            <wp:positionV relativeFrom="paragraph">
              <wp:posOffset>-2605405</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-2305050</wp:posOffset>
            </wp:positionV>
            <wp:extent cx="7132320"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-1868170</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-908050</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-607695</wp:posOffset>
            </wp:positionV>
            <wp:extent cx="7132320" cy="308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-1734185</wp:posOffset>
            </wp:positionH>
            <wp:positionV relativeFrom="paragraph">
              <wp:posOffset>-170815</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80" w:space="360"/>
            <w:col w:w="850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Balances, September 30, 2022</w:t>
      </w: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Stock-based compensation</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Adjustments to redemption value</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loss</w:t>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Balances,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Balances, June 30, 2022</w:t>
      </w: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Stock-based compensation</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Adjustments to redemption value</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loss</w:t>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Balances, December 31,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b w:val="1"/>
          <w:bCs w:val="1"/>
          <w:color w:val="auto"/>
        </w:rPr>
        <w:t>For the Three Months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33655</wp:posOffset>
            </wp:positionV>
            <wp:extent cx="53835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83530" cy="8890"/>
                    </a:xfrm>
                    <a:prstGeom prst="rect">
                      <a:avLst/>
                    </a:prstGeom>
                    <a:noFill/>
                  </pic:spPr>
                </pic:pic>
              </a:graphicData>
            </a:graphic>
          </wp:anchor>
        </w:drawing>
      </w:r>
    </w:p>
    <w:p>
      <w:pPr>
        <w:spacing w:after="0" w:line="36"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8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20" w:type="dxa"/>
            <w:vAlign w:val="bottom"/>
            <w:gridSpan w:val="5"/>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Capital Stock</w:t>
            </w: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Permanent</w:t>
            </w:r>
          </w:p>
        </w:tc>
        <w:tc>
          <w:tcPr>
            <w:tcW w:w="10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12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vMerge w:val="restart"/>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9"/>
                <w:szCs w:val="9"/>
                <w:color w:val="auto"/>
              </w:rPr>
            </w:pPr>
          </w:p>
        </w:tc>
        <w:tc>
          <w:tcPr>
            <w:tcW w:w="920" w:type="dxa"/>
            <w:vAlign w:val="bottom"/>
            <w:gridSpan w:val="2"/>
            <w:vMerge w:val="restart"/>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80" w:type="dxa"/>
            <w:vAlign w:val="bottom"/>
            <w:gridSpan w:val="3"/>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080" w:type="dxa"/>
            <w:vAlign w:val="bottom"/>
            <w:gridSpan w:val="3"/>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00" w:type="dxa"/>
            <w:vAlign w:val="bottom"/>
          </w:tcPr>
          <w:p>
            <w:pPr>
              <w:spacing w:after="0"/>
              <w:rPr>
                <w:sz w:val="9"/>
                <w:szCs w:val="9"/>
                <w:color w:val="auto"/>
              </w:rPr>
            </w:pPr>
          </w:p>
        </w:tc>
        <w:tc>
          <w:tcPr>
            <w:tcW w:w="980" w:type="dxa"/>
            <w:vAlign w:val="bottom"/>
            <w:gridSpan w:val="2"/>
            <w:vMerge w:val="restart"/>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(Temporary</w:t>
            </w:r>
          </w:p>
        </w:tc>
        <w:tc>
          <w:tcPr>
            <w:tcW w:w="980" w:type="dxa"/>
            <w:vAlign w:val="bottom"/>
            <w:vMerge w:val="restart"/>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0" w:type="dxa"/>
            <w:vAlign w:val="bottom"/>
          </w:tcPr>
          <w:p>
            <w:pPr>
              <w:spacing w:after="0"/>
              <w:rPr>
                <w:sz w:val="1"/>
                <w:szCs w:val="1"/>
                <w:color w:val="auto"/>
              </w:rPr>
            </w:pPr>
          </w:p>
        </w:tc>
      </w:tr>
      <w:tr>
        <w:trPr>
          <w:trHeight w:val="23"/>
        </w:trPr>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94"/>
        </w:trPr>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135,570,078</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328,708</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(8,344)</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6,020</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326,520</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14,734</w:t>
            </w:r>
          </w:p>
        </w:tc>
        <w:tc>
          <w:tcPr>
            <w:tcW w:w="80" w:type="dxa"/>
            <w:vAlign w:val="bottom"/>
          </w:tcPr>
          <w:p>
            <w:pPr>
              <w:spacing w:after="0"/>
              <w:rPr>
                <w:sz w:val="16"/>
                <w:szCs w:val="16"/>
                <w:color w:val="auto"/>
              </w:rPr>
            </w:pPr>
          </w:p>
        </w:tc>
        <w:tc>
          <w:tcPr>
            <w:tcW w:w="98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26,147</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1,069</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1,069</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(10,547)</w:t>
            </w:r>
          </w:p>
        </w:tc>
        <w:tc>
          <w:tcPr>
            <w:tcW w:w="0" w:type="dxa"/>
            <w:vAlign w:val="bottom"/>
          </w:tcPr>
          <w:p>
            <w:pPr>
              <w:spacing w:after="0"/>
              <w:rPr>
                <w:sz w:val="1"/>
                <w:szCs w:val="1"/>
                <w:color w:val="auto"/>
              </w:rPr>
            </w:pPr>
          </w:p>
        </w:tc>
      </w:tr>
      <w:tr>
        <w:trPr>
          <w:trHeight w:val="23"/>
        </w:trPr>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135,596,225</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329,777</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(18,137)</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5,945</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317,721</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14,054</w:t>
            </w:r>
          </w:p>
        </w:tc>
        <w:tc>
          <w:tcPr>
            <w:tcW w:w="80" w:type="dxa"/>
            <w:vAlign w:val="bottom"/>
          </w:tcPr>
          <w:p>
            <w:pPr>
              <w:spacing w:after="0"/>
              <w:rPr>
                <w:sz w:val="16"/>
                <w:szCs w:val="16"/>
                <w:color w:val="auto"/>
              </w:rPr>
            </w:pPr>
          </w:p>
        </w:tc>
        <w:tc>
          <w:tcPr>
            <w:tcW w:w="980" w:type="dxa"/>
            <w:vAlign w:val="bottom"/>
            <w:tcBorders>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7"/>
        </w:trPr>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2"/>
        </w:trPr>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80" w:type="dxa"/>
            <w:vAlign w:val="bottom"/>
            <w:gridSpan w:val="11"/>
          </w:tcPr>
          <w:p>
            <w:pPr>
              <w:ind w:left="600"/>
              <w:spacing w:after="0"/>
              <w:rPr>
                <w:sz w:val="20"/>
                <w:szCs w:val="20"/>
                <w:color w:val="auto"/>
              </w:rPr>
            </w:pPr>
            <w:r>
              <w:rPr>
                <w:rFonts w:ascii="Times New Roman" w:cs="Times New Roman" w:eastAsia="Times New Roman" w:hAnsi="Times New Roman"/>
                <w:sz w:val="14"/>
                <w:szCs w:val="14"/>
                <w:b w:val="1"/>
                <w:bCs w:val="1"/>
                <w:color w:val="auto"/>
              </w:rPr>
              <w:t>For the Six Months Ended December 31, 2022</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98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8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120" w:type="dxa"/>
            <w:vAlign w:val="bottom"/>
            <w:gridSpan w:val="5"/>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Capital Stock</w:t>
            </w: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Permanent</w:t>
            </w:r>
          </w:p>
        </w:tc>
        <w:tc>
          <w:tcPr>
            <w:tcW w:w="10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12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vMerge w:val="restart"/>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9"/>
                <w:szCs w:val="9"/>
                <w:color w:val="auto"/>
              </w:rPr>
            </w:pPr>
          </w:p>
        </w:tc>
        <w:tc>
          <w:tcPr>
            <w:tcW w:w="920" w:type="dxa"/>
            <w:vAlign w:val="bottom"/>
            <w:gridSpan w:val="2"/>
            <w:vMerge w:val="restart"/>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80" w:type="dxa"/>
            <w:vAlign w:val="bottom"/>
            <w:gridSpan w:val="3"/>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080" w:type="dxa"/>
            <w:vAlign w:val="bottom"/>
            <w:gridSpan w:val="3"/>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00" w:type="dxa"/>
            <w:vAlign w:val="bottom"/>
          </w:tcPr>
          <w:p>
            <w:pPr>
              <w:spacing w:after="0"/>
              <w:rPr>
                <w:sz w:val="9"/>
                <w:szCs w:val="9"/>
                <w:color w:val="auto"/>
              </w:rPr>
            </w:pPr>
          </w:p>
        </w:tc>
        <w:tc>
          <w:tcPr>
            <w:tcW w:w="980" w:type="dxa"/>
            <w:vAlign w:val="bottom"/>
            <w:gridSpan w:val="2"/>
            <w:vMerge w:val="restart"/>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(Temporary</w:t>
            </w:r>
          </w:p>
        </w:tc>
        <w:tc>
          <w:tcPr>
            <w:tcW w:w="980" w:type="dxa"/>
            <w:vAlign w:val="bottom"/>
            <w:vMerge w:val="restart"/>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0" w:type="dxa"/>
            <w:vAlign w:val="bottom"/>
          </w:tcPr>
          <w:p>
            <w:pPr>
              <w:spacing w:after="0"/>
              <w:rPr>
                <w:sz w:val="1"/>
                <w:szCs w:val="1"/>
                <w:color w:val="auto"/>
              </w:rPr>
            </w:pPr>
          </w:p>
        </w:tc>
      </w:tr>
      <w:tr>
        <w:trPr>
          <w:trHeight w:val="23"/>
        </w:trPr>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94"/>
        </w:trPr>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135,532,811</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327,499</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4,729</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6,102</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338,466</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15,278</w:t>
            </w:r>
          </w:p>
        </w:tc>
        <w:tc>
          <w:tcPr>
            <w:tcW w:w="8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63,414</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2,278</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2,278</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(22,866)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(23,023)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(1,224)</w:t>
            </w: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(24,247)</w:t>
            </w:r>
          </w:p>
        </w:tc>
        <w:tc>
          <w:tcPr>
            <w:tcW w:w="0" w:type="dxa"/>
            <w:vAlign w:val="bottom"/>
          </w:tcPr>
          <w:p>
            <w:pPr>
              <w:spacing w:after="0"/>
              <w:rPr>
                <w:sz w:val="1"/>
                <w:szCs w:val="1"/>
                <w:color w:val="auto"/>
              </w:rPr>
            </w:pPr>
          </w:p>
        </w:tc>
      </w:tr>
      <w:tr>
        <w:trPr>
          <w:trHeight w:val="23"/>
        </w:trPr>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135,596,225</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329,777</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(18,137)</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5,945</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317,721</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14,054</w:t>
            </w:r>
          </w:p>
        </w:tc>
        <w:tc>
          <w:tcPr>
            <w:tcW w:w="80" w:type="dxa"/>
            <w:vAlign w:val="bottom"/>
          </w:tcPr>
          <w:p>
            <w:pPr>
              <w:spacing w:after="0"/>
              <w:rPr>
                <w:sz w:val="16"/>
                <w:szCs w:val="16"/>
                <w:color w:val="auto"/>
              </w:rPr>
            </w:pPr>
          </w:p>
        </w:tc>
        <w:tc>
          <w:tcPr>
            <w:tcW w:w="980" w:type="dxa"/>
            <w:vAlign w:val="bottom"/>
            <w:tcBorders>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7"/>
        </w:trPr>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-1518285</wp:posOffset>
            </wp:positionH>
            <wp:positionV relativeFrom="paragraph">
              <wp:posOffset>-2211070</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-1910715</wp:posOffset>
            </wp:positionV>
            <wp:extent cx="7132320"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-1653540</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-728345</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-427990</wp:posOffset>
            </wp:positionV>
            <wp:extent cx="7132320"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-170815</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940" w:space="460"/>
            <w:col w:w="88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INNOVAGE HOLDING CORP.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60" w:type="dxa"/>
            <w:vAlign w:val="bottom"/>
            <w:gridSpan w:val="5"/>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For the Six Months Ended December 31,</w:t>
            </w:r>
          </w:p>
        </w:tc>
      </w:tr>
      <w:tr>
        <w:trPr>
          <w:trHeight w:val="23"/>
        </w:trPr>
        <w:tc>
          <w:tcPr>
            <w:tcW w:w="8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8"/>
        </w:trPr>
        <w:tc>
          <w:tcPr>
            <w:tcW w:w="81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8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9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Pr>
          <w:p>
            <w:pPr>
              <w:jc w:val="right"/>
              <w:ind w:right="767"/>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(14,783)</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(24,247)</w:t>
            </w: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Gain on disposal of assets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Provision for uncollectible accounts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2,244</w:t>
            </w: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7,095</w:t>
            </w: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Operating lease rentals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2,335</w:t>
            </w: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2,278</w:t>
            </w: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Loss on minority equity interest investment</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Deferred income taxes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(6,381)</w:t>
            </w: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w:t>
            </w: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Accounts receivable, net</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(21,430)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(4,980)</w:t>
            </w: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Prepaid expenses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1,631</w:t>
            </w: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Income tax receivable</w:t>
            </w:r>
          </w:p>
        </w:tc>
        <w:tc>
          <w:tcPr>
            <w:tcW w:w="92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3,027</w:t>
            </w: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Deposits and other</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w:t>
            </w: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w:t>
            </w: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Reported and estimated claims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(3,339)</w:t>
            </w: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Due to Medicaid and Medicare</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1,946</w:t>
            </w: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(2,260)</w:t>
            </w:r>
          </w:p>
        </w:tc>
      </w:tr>
      <w:tr>
        <w:trPr>
          <w:trHeight w:val="196"/>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Deferred revenue</w:t>
            </w:r>
          </w:p>
        </w:tc>
        <w:tc>
          <w:tcPr>
            <w:tcW w:w="9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(28,115)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Net cash used by operating activities</w:t>
            </w:r>
          </w:p>
        </w:tc>
        <w:tc>
          <w:tcPr>
            <w:tcW w:w="9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(42,279)</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(21,990)</w:t>
            </w:r>
          </w:p>
        </w:tc>
      </w:tr>
      <w:tr>
        <w:trPr>
          <w:trHeight w:val="17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3"/>
        </w:trPr>
        <w:tc>
          <w:tcPr>
            <w:tcW w:w="8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3"/>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(14,632)</w:t>
            </w: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 of short-term investments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(45,000)</w:t>
            </w: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sale of short-term investments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8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Acquisition of business</w:t>
            </w:r>
          </w:p>
        </w:tc>
        <w:tc>
          <w:tcPr>
            <w:tcW w:w="9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(23,916)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920" w:type="dxa"/>
            <w:vAlign w:val="bottom"/>
            <w:tcBorders>
              <w:bottom w:val="single" w:sz="8" w:color="auto"/>
            </w:tcBorders>
            <w:shd w:val="clear" w:color="auto" w:fill="CCEEFF"/>
          </w:tcPr>
          <w:p>
            <w:pPr>
              <w:jc w:val="right"/>
              <w:ind w:right="767"/>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(26,252)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(59,632)</w:t>
            </w:r>
          </w:p>
        </w:tc>
      </w:tr>
      <w:tr>
        <w:trPr>
          <w:trHeight w:val="17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Payments for finance lease obligations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(1,452)</w:t>
            </w: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Principal payments on long-term debt</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(1,895)</w:t>
            </w: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Taxes paid related to net share settlements of stock-based compensation awards</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9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(3,347)</w:t>
            </w:r>
          </w:p>
        </w:tc>
      </w:tr>
      <w:tr>
        <w:trPr>
          <w:trHeight w:val="256"/>
        </w:trPr>
        <w:tc>
          <w:tcPr>
            <w:tcW w:w="81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19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DECREASE IN CASH, CASH EQUIVALENTS &amp; RESTRICTED CASH</w:t>
            </w:r>
          </w:p>
        </w:tc>
        <w:tc>
          <w:tcPr>
            <w:tcW w:w="9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(73,169)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(84,969)</w:t>
            </w: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&amp; RESTRICTED CASH, BEGINNING OF PERIOD</w:t>
            </w:r>
          </w:p>
        </w:tc>
        <w:tc>
          <w:tcPr>
            <w:tcW w:w="9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127,265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184,446</w:t>
            </w:r>
          </w:p>
        </w:tc>
      </w:tr>
      <w:tr>
        <w:trPr>
          <w:trHeight w:val="202"/>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&amp; RESTRICTED CASH, END OF PERIOD</w:t>
            </w:r>
          </w:p>
        </w:tc>
        <w:tc>
          <w:tcPr>
            <w:tcW w:w="920" w:type="dxa"/>
            <w:vAlign w:val="bottom"/>
            <w:tcBorders>
              <w:bottom w:val="single" w:sz="8" w:color="auto"/>
            </w:tcBorders>
          </w:tcPr>
          <w:p>
            <w:pPr>
              <w:jc w:val="right"/>
              <w:ind w:right="767"/>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54,096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99,477</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81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19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Cash Flows Information</w:t>
            </w: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paid</w:t>
            </w:r>
          </w:p>
        </w:tc>
        <w:tc>
          <w:tcPr>
            <w:tcW w:w="920" w:type="dxa"/>
            <w:vAlign w:val="bottom"/>
            <w:shd w:val="clear" w:color="auto" w:fill="CCEEFF"/>
          </w:tcPr>
          <w:p>
            <w:pPr>
              <w:jc w:val="right"/>
              <w:ind w:right="767"/>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1,726</w:t>
            </w:r>
          </w:p>
        </w:tc>
      </w:tr>
      <w:tr>
        <w:trPr>
          <w:trHeight w:val="195"/>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taxes paid</w:t>
            </w:r>
          </w:p>
        </w:tc>
        <w:tc>
          <w:tcPr>
            <w:tcW w:w="920" w:type="dxa"/>
            <w:vAlign w:val="bottom"/>
          </w:tcPr>
          <w:p>
            <w:pPr>
              <w:jc w:val="right"/>
              <w:ind w:right="767"/>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1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Property and equipment included in accounts payable</w:t>
            </w:r>
          </w:p>
        </w:tc>
        <w:tc>
          <w:tcPr>
            <w:tcW w:w="920" w:type="dxa"/>
            <w:vAlign w:val="bottom"/>
            <w:shd w:val="clear" w:color="auto" w:fill="CCEEFF"/>
          </w:tcPr>
          <w:p>
            <w:pPr>
              <w:jc w:val="right"/>
              <w:ind w:right="767"/>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88"/>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Property and equipment purchased under finance leases</w:t>
            </w:r>
          </w:p>
        </w:tc>
        <w:tc>
          <w:tcPr>
            <w:tcW w:w="920" w:type="dxa"/>
            <w:vAlign w:val="bottom"/>
          </w:tcPr>
          <w:p>
            <w:pPr>
              <w:jc w:val="right"/>
              <w:ind w:right="767"/>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1,541</w:t>
            </w:r>
          </w:p>
        </w:tc>
      </w:tr>
    </w:tbl>
    <w:p>
      <w:pPr>
        <w:spacing w:after="0" w:line="3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INNOVAGE HOLDING CORP. AND SUBSIDIARIES</w:t>
      </w:r>
    </w:p>
    <w:p>
      <w:pPr>
        <w:spacing w:after="0" w:line="22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Business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InnovAge Holding Corp. and its subsidiaries (the "Company") are headquartered in Denver, Colorado. The Company fulfills a broad range of medical and ancillary services for seniors in need of care and support to safely live independently in their communities, including in-center services such as primary care, physical therapy, occupational therapy, speech therapy, dental services, mental health and psychiatric services, meals, and activities; transportation to the Program of All-Inclusive Care for the Elderly (“PACE”) center and third-party medical appointments; and care management. The Company manages its business as one reportable segment, PACE.</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served approximately 6,780 PACE participants, making it the largest PACE provider in the United States of America (the “U.S.”) based upon participants served, and operated 18 PACE centers across California, Colorado, New Mexico, Pennsylvania and Virginia.</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PACE is a fully-capitated managed care program, which serves the frail elderly, and predominantly dual-eligible, population in a community-based service model. We define dual-eligible seniors as individuals who are 55+ and qualify for benefits under both Medicare and Medicaid. InnovAge provides all needed healthcare services through an all-inclusive, coordinated model of care, and the Company is at risk for 100% of healthcare costs incurred with respect to the care of its participants. PACE programs receive capitation payments directly from Medicare Parts C and D, Medicaid, Veterans Affairs (“VA”), and private pay sources. Additionally, under the Medicare Prescription Drug Plan, the Centers for Medicare and Medicaid Services (“CMS”) share part of the risk for providing prescription medication to the Company’s participants.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common stock is traded on the Nasdaq Stock Market LLC (“NASDAQ”) under the ticker symbol “INNV”.</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described its significant accounting policies in Note 2, “Summary of Significant Accounting Policies” of the Notes to Consolidated Financial Statements in its Annual Report on Form 10-K for the year ended June 30, 2023 (“2023 10-K”). With the exception of Recently Adopted Accounting Pronouncements described below, there were no significant changes to those accounting policies during the six months ended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Preparation and Principles of Consolidation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and accompanying notes have been prepared in accordance with accounting principles generally accepted in the U.S. (“U.S. GAAP”) for interim financial information and with the instructions to Form 10-Q and Article 10 of Regulation S-X. Accordingly, certain information and footnote disclosures normally included in financial statements prepared in accordance with U.S. GAAP have been omitted pursuant to such regulations. These financial statements have been prepared on a basis consistent with the accounting principles applied for the fiscal year ended June 30, 2023. In the opinion of management, all adjustments (consisting of all normal and recurring adjustments) considered necessary for a fair presentation have been included. The condensed consolidated financial statements include the accounts of the Company, its wholly owned subsidiaries, variable interest entities (“VIEs”) for which it is the primary beneficiary and entities for which it has a controlling interest. All intercompany accounts and transactions have been eliminated in consolidation.</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does not have any components of comprehensive income and comprehensive income is equal to net loss reported in the statements of operations for all periods presented.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and equipment were comprised of the following as of December 31, 2023 and June 30, 2023:</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40" w:type="dxa"/>
            <w:vAlign w:val="bottom"/>
          </w:tcPr>
          <w:p>
            <w:pPr>
              <w:spacing w:after="0"/>
              <w:rPr>
                <w:sz w:val="13"/>
                <w:szCs w:val="13"/>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13"/>
                <w:szCs w:val="13"/>
                <w:color w:val="auto"/>
              </w:rPr>
            </w:pPr>
          </w:p>
        </w:tc>
        <w:tc>
          <w:tcPr>
            <w:tcW w:w="126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0" w:type="dxa"/>
            <w:vAlign w:val="bottom"/>
          </w:tcPr>
          <w:p>
            <w:pPr>
              <w:spacing w:after="0"/>
              <w:rPr>
                <w:sz w:val="1"/>
                <w:szCs w:val="1"/>
                <w:color w:val="auto"/>
              </w:rPr>
            </w:pPr>
          </w:p>
        </w:tc>
      </w:tr>
      <w:tr>
        <w:trPr>
          <w:trHeight w:val="195"/>
        </w:trPr>
        <w:tc>
          <w:tcPr>
            <w:tcW w:w="6600" w:type="dxa"/>
            <w:vAlign w:val="bottom"/>
            <w:vMerge w:val="continue"/>
          </w:tcPr>
          <w:p>
            <w:pPr>
              <w:spacing w:after="0"/>
              <w:rPr>
                <w:sz w:val="16"/>
                <w:szCs w:val="16"/>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14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4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center"/>
              <w:ind w:right="39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11,970</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- 40 years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124,262</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 years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26,656</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and vehicles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- 7 years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57,754</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4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center"/>
              <w:ind w:right="58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40,898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42,223</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275,706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262,865</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(80,083)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(70,677)</w:t>
            </w:r>
          </w:p>
        </w:tc>
        <w:tc>
          <w:tcPr>
            <w:tcW w:w="0" w:type="dxa"/>
            <w:vAlign w:val="bottom"/>
          </w:tcPr>
          <w:p>
            <w:pPr>
              <w:spacing w:after="0"/>
              <w:rPr>
                <w:sz w:val="1"/>
                <w:szCs w:val="1"/>
                <w:color w:val="auto"/>
              </w:rPr>
            </w:pPr>
          </w:p>
        </w:tc>
      </w:tr>
      <w:tr>
        <w:trPr>
          <w:trHeight w:val="223"/>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195,623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192,188</w:t>
            </w:r>
          </w:p>
        </w:tc>
        <w:tc>
          <w:tcPr>
            <w:tcW w:w="0" w:type="dxa"/>
            <w:vAlign w:val="bottom"/>
          </w:tcPr>
          <w:p>
            <w:pPr>
              <w:spacing w:after="0"/>
              <w:rPr>
                <w:sz w:val="1"/>
                <w:szCs w:val="1"/>
                <w:color w:val="auto"/>
              </w:rPr>
            </w:pPr>
          </w:p>
        </w:tc>
      </w:tr>
      <w:tr>
        <w:trPr>
          <w:trHeight w:val="21"/>
        </w:trPr>
        <w:tc>
          <w:tcPr>
            <w:tcW w:w="6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Depreciation of $4.1 million and $3.3 million was recorded during the three months ended December 31, 2023 and 2022, respectively. Depreciation of $8.2 million and $6.5 million was recorded during the six months ended December 31, 2023 and December 31, 2022,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April 2019, the Financial Accounting Standards Board ("FASB") issued Accounting Standards Update ("ASU") 2019-04, </w:t>
      </w:r>
      <w:r>
        <w:rPr>
          <w:rFonts w:ascii="Times New Roman" w:cs="Times New Roman" w:eastAsia="Times New Roman" w:hAnsi="Times New Roman"/>
          <w:sz w:val="18"/>
          <w:szCs w:val="18"/>
          <w:i w:val="1"/>
          <w:iCs w:val="1"/>
          <w:color w:val="auto"/>
        </w:rPr>
        <w:t>Codification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Topic 326, Financial Instruments—Credit Losses, Topic 815, Derivatives and Hedging, and Topic 825, Financial Instruments (</w:t>
      </w:r>
      <w:r>
        <w:rPr>
          <w:rFonts w:ascii="Times New Roman" w:cs="Times New Roman" w:eastAsia="Times New Roman" w:hAnsi="Times New Roman"/>
          <w:sz w:val="18"/>
          <w:szCs w:val="18"/>
          <w:color w:val="auto"/>
        </w:rPr>
        <w:t>“ASU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2019-04”</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which requires entities to use a current expected credit loss (“CECL”) model to measure impairment for most financial assets that are not recorded at fair value through net income. Under the CECL model, an entity will estimate lifetime expected credit losses considering available relevant information about historical events, current conditions and supportable forecasts. The CECL model does not apply to available-for-sale debt securities. The CECL model is expected to result in more timely recognition of credit losses. The Company adopted the standard on July 1, 2023. Our adoption of the standard did not have a material impact to the condensed consolidated financial statements. The Company makes estimates of expected credit losses based on a combination of factors, including historical losses adjusted for current market conditions, delinquency trends, aging behaviors of receivables and credit and liquidity indicators, and future market and economic conditions and regularly reviews the adequacy of the allowance for credit losses.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27" w:lineRule="exact"/>
        <w:rPr>
          <w:sz w:val="20"/>
          <w:szCs w:val="20"/>
          <w:color w:val="auto"/>
        </w:rPr>
      </w:pPr>
    </w:p>
    <w:p>
      <w:pPr>
        <w:ind w:right="100"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ASU 2023-07 improves reportable segment disclosure requirements, primarily through enhanced disclosures about significant segment expenses that are regularly provided to the chief operating decision maker. Additionally, ASU 2023-07 requires that all existing annual segment disclosures be provided on an interim basis and clarifies that single reportable segment entities are subject to the disclosure requirement under Topic 280 in its entirety. ASU 2023-07 will be applied retrospectively and is effective for fiscal years beginning after December 15, 2023 and interim periods beginning after December 15, 2024. Early adoption is permitted. The Company is evaluating the impact of ASU 2023-07 on our condensed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7" w:lineRule="exact"/>
        <w:rPr>
          <w:sz w:val="20"/>
          <w:szCs w:val="20"/>
          <w:color w:val="auto"/>
        </w:rPr>
      </w:pPr>
    </w:p>
    <w:p>
      <w:pPr>
        <w:jc w:val="both"/>
        <w:ind w:right="500" w:firstLine="324"/>
        <w:spacing w:after="0" w:line="281" w:lineRule="auto"/>
        <w:rPr>
          <w:sz w:val="20"/>
          <w:szCs w:val="20"/>
          <w:color w:val="auto"/>
        </w:rPr>
      </w:pPr>
      <w:r>
        <w:rPr>
          <w:rFonts w:ascii="Times New Roman" w:cs="Times New Roman" w:eastAsia="Times New Roman" w:hAnsi="Times New Roman"/>
          <w:sz w:val="17"/>
          <w:szCs w:val="17"/>
          <w:color w:val="auto"/>
        </w:rPr>
        <w:t xml:space="preserve">In December 2023, the FASB issued ASU 2023-09, </w:t>
      </w:r>
      <w:r>
        <w:rPr>
          <w:rFonts w:ascii="Times New Roman" w:cs="Times New Roman" w:eastAsia="Times New Roman" w:hAnsi="Times New Roman"/>
          <w:sz w:val="17"/>
          <w:szCs w:val="17"/>
          <w:i w:val="1"/>
          <w:iCs w:val="1"/>
          <w:color w:val="auto"/>
        </w:rPr>
        <w:t>Income Taxes (Topic 740): Improvements to Income Tax Disclosures</w:t>
      </w:r>
      <w:r>
        <w:rPr>
          <w:rFonts w:ascii="Times New Roman" w:cs="Times New Roman" w:eastAsia="Times New Roman" w:hAnsi="Times New Roman"/>
          <w:sz w:val="17"/>
          <w:szCs w:val="17"/>
          <w:color w:val="auto"/>
        </w:rPr>
        <w:t>. ASU 2023-09 requires additional disclosures related to rate reconciliation, income taxes paid, and other disclosures. ASU 2023-09 requires public companies to annually (i) disclose specific categories in the rate reconciliation and (ii) provide additional information for reconciling items that meet a quantitative threshold. Additionally, ASU 2023-09 requires public companies to annually disclose the amount of income taxes paid, disaggregated by federal, state, and</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foreign taxes, as well as the amount of income taxes paid by individual jurisdiction. For public companies, ASU 2023-09 is effective for annual periods beginning after December 15, 2024. The Company is currently evaluating the impact of ASU 2023-09 on our condensed consolidated financial statements.</w:t>
      </w:r>
    </w:p>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do not expect that any other recently issued accounting guidance will have a significant effect on our condensed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Recognition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Revenue is recognized when a customer obtains control of promised goods or services, in an amount that reflects the consideration which the entity expects to receive in exchange for those goods or services. To determine revenue recognition,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as the entity satisfies a performance obligation.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Capitation Revenue and Accounts Receivable</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capitation revenue relates to contracts with participants in which our performance obligation is to provide healthcare services to the participants. Revenues are recorded during the period our obligations to provide healthcare services are satisfied as noted below within each service type. The Company contracts directly with Medicare and Medicaid on a per member, per month (“PMPM”) basis. We receive 100% of the pooled capitated payment to directly provide or manage the healthcare needs of our participants.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Fees are recorded gross in revenues because the Company is acting as a principal in providing for or overseeing comprehensive care provided to the participants. Neither the Company nor any of its affiliates is a registered insurance company because state law in the states in which it operates does not require such registration for risk-bearing providers.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general, a participant enrolls in the PACE program and is considered a customer of InnovAge. The Company considers all contracts with participants as a single performance obligation to provide comprehensive medical, health, and social services that integrate acute and long-term care. The Company identified that contracts with customers in the PACE program have similar performance obligations and therefore groups them into one portfolio. This performance obligation is satisfied as the Company provides comprehensive care to its participants.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revenues are based on the estimated PMPM amounts we expect to be entitled to receive from the capitated fees per participant that are paid monthly by Medicaid, Medicare, the VA, and private pay sources. Medicaid and Medicare capitation revenues are based on PMPM capitation rates under the PACE program. VA is included in “Private Pay and other” and is also capitated. Private pay includes direct payments from participants who do not qualify for the full capitated rate and have to pay all or a portion of the capitated rate. Costs to obtain contracts consist of sales commissions for new enrollees and are included in deposits and other on our condensed consolidated balance sheets. These costs are amortized over a three-year period which corresponds to the average time a participant is enrolled in the PACE program. As of December 31, 2023 and June 30, 2023, contract assets included within deposits and other were $1.9 million and $1.0 million, respectively.</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disaggregates capitation revenue from the following sources for the six months ended: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00" w:type="dxa"/>
            <w:vAlign w:val="bottom"/>
          </w:tcPr>
          <w:p>
            <w:pPr>
              <w:spacing w:after="0"/>
              <w:rPr>
                <w:sz w:val="16"/>
                <w:szCs w:val="16"/>
                <w:color w:val="auto"/>
              </w:rPr>
            </w:pPr>
          </w:p>
        </w:tc>
      </w:tr>
      <w:tr>
        <w:trPr>
          <w:trHeight w:val="203"/>
        </w:trPr>
        <w:tc>
          <w:tcPr>
            <w:tcW w:w="8960" w:type="dxa"/>
            <w:vAlign w:val="bottom"/>
            <w:gridSpan w:val="2"/>
          </w:tcPr>
          <w:p>
            <w:pPr>
              <w:ind w:left="86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79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Medicaid</w:t>
            </w: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29"/>
        </w:trPr>
        <w:tc>
          <w:tcPr>
            <w:tcW w:w="8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Medicare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pay and other</w:t>
            </w:r>
          </w:p>
        </w:tc>
        <w:tc>
          <w:tcPr>
            <w:tcW w:w="10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79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Less than 1%</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determined the transaction price for these contracts is the amount we expect to be entitled to, which is the most likely amount. For certain capitation payments, the Company is subject to retroactive premium risk adjustments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based on various factors. The Company estimates the amount of the adjustment and records it monthly on a straight-line basis. These adjustments are not expected to be material.</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capitation revenues are recognized based on the estimated PMPM transaction price to transfer the service for a distinct increment of the series (i.e. month). We recognize revenue in the month in which participants are entitled to receive comprehensive care benefits during the contract term. As the period between the time of service and time of payment is typically one year or less, the Company elected the practical expedient under ASC 606-10-32-18 and did not adjust for the effects of a significant financing component.</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also provides prescription drug benefits in accordance with Medicare Part D. Monthly payments received from CMS and the participants represent the bid amount for providing prescription drug coverage. The portion received from CMS is subject to risk sharing through Medicare Part D risk-sharing corridor provisions. These risk-sharing corridor provisions compare costs targeted in the Company’s bid to actual prescription drug costs. The Company estimates and records a monthly adjustment to Medicare Part D revenues associated with these risk-sharing corridor provisions. Medicare Part D comprised 12% of capitation revenues for each of the three months ended December 31, 2023 and 2022. Medicare Part D comprised of 12% of capitation revenues for each of the six months ended December 31, 2023 and 2022.</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accounts receivable as of December 31, 2023 and June 30, 2023 are primarily from capitation revenue arrangements. The concentration of net receivables from participants and third-party payers was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3"/>
                <w:szCs w:val="13"/>
                <w:color w:val="auto"/>
              </w:rPr>
            </w:pPr>
          </w:p>
        </w:tc>
        <w:tc>
          <w:tcPr>
            <w:tcW w:w="17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794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Medicaid</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Medicare</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pay and other</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3"/>
        </w:trPr>
        <w:tc>
          <w:tcPr>
            <w:tcW w:w="7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1"/>
        </w:trPr>
        <w:tc>
          <w:tcPr>
            <w:tcW w:w="79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records accounts receivable at net realizable value, which includes an allowance for estimated uncollectible accounts. The allowance for uncollectible accounts reflects the Company’s best estimate of probable losses considering eligibility, historical experience, and existing economic conditions. The balance of the allowance for uncollectible accounts was $5.1 million as of December 31, 2023, compared to $4.2 million as of June 30, 2023. Accounts are written off as bad debts when they are deemed uncollectible based upon individual credit evaluations and specific circumstances underlying the accounts.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Service Revenue and Accounts Receivable</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Other service revenue is comprised of rents earned related to Senior Housing and other fee for service revenue. Other service revenue was 0.2% of total revenue for each of the three months ended December 31, 2023 and 2022. Other service revenue was 0.2% of total revenue for each of the six months ended December 31, 2023 and 2022. Accounts receivable related to other service revenue was not significant as of both December 31, 2023 and June 30, 2023.</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Laws and regulations governing the Medicare and Medicaid programs are complex and subject to change, as well as government review. Failure to comply with these laws can expose the entity to significant regulatory action, including fines, penalties, and exclusion from the Medicare and Medicaid programs. See Note 9, “Commitments and Contingencies.”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Cost Method and Equity Method Investments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holds cost method and equity method investments as of:</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3"/>
                <w:szCs w:val="13"/>
                <w:color w:val="auto"/>
              </w:rPr>
            </w:pPr>
          </w:p>
        </w:tc>
        <w:tc>
          <w:tcPr>
            <w:tcW w:w="118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6"/>
        </w:trPr>
        <w:tc>
          <w:tcPr>
            <w:tcW w:w="3760" w:type="dxa"/>
            <w:vAlign w:val="bottom"/>
            <w:tcBorders>
              <w:bottom w:val="single" w:sz="8" w:color="CCEEFF"/>
            </w:tcBorders>
            <w:vMerge w:val="continue"/>
          </w:tcPr>
          <w:p>
            <w:pPr>
              <w:spacing w:after="0"/>
              <w:rPr>
                <w:sz w:val="17"/>
                <w:szCs w:val="17"/>
                <w:color w:val="auto"/>
              </w:rPr>
            </w:pPr>
          </w:p>
        </w:tc>
        <w:tc>
          <w:tcPr>
            <w:tcW w:w="44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method investments</w:t>
            </w:r>
          </w:p>
        </w:tc>
        <w:tc>
          <w:tcPr>
            <w:tcW w:w="44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w:t>
            </w:r>
          </w:p>
        </w:tc>
        <w:tc>
          <w:tcPr>
            <w:tcW w:w="0" w:type="dxa"/>
            <w:vAlign w:val="bottom"/>
          </w:tcPr>
          <w:p>
            <w:pPr>
              <w:spacing w:after="0"/>
              <w:rPr>
                <w:sz w:val="1"/>
                <w:szCs w:val="1"/>
                <w:color w:val="auto"/>
              </w:rPr>
            </w:pPr>
          </w:p>
        </w:tc>
      </w:tr>
      <w:tr>
        <w:trPr>
          <w:trHeight w:val="229"/>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44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23"/>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investments</w:t>
            </w:r>
          </w:p>
        </w:tc>
        <w:tc>
          <w:tcPr>
            <w:tcW w:w="44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0" w:type="dxa"/>
            <w:vAlign w:val="bottom"/>
          </w:tcPr>
          <w:p>
            <w:pPr>
              <w:spacing w:after="0"/>
              <w:rPr>
                <w:sz w:val="1"/>
                <w:szCs w:val="1"/>
                <w:color w:val="auto"/>
              </w:rPr>
            </w:pPr>
          </w:p>
        </w:tc>
      </w:tr>
      <w:tr>
        <w:trPr>
          <w:trHeight w:val="891"/>
        </w:trPr>
        <w:tc>
          <w:tcPr>
            <w:tcW w:w="3760" w:type="dxa"/>
            <w:vAlign w:val="bottom"/>
          </w:tcPr>
          <w:p>
            <w:pPr>
              <w:spacing w:after="0"/>
              <w:rPr>
                <w:sz w:val="24"/>
                <w:szCs w:val="24"/>
                <w:color w:val="auto"/>
              </w:rPr>
            </w:pPr>
          </w:p>
        </w:tc>
        <w:tc>
          <w:tcPr>
            <w:tcW w:w="4420" w:type="dxa"/>
            <w:vAlign w:val="bottom"/>
          </w:tcPr>
          <w:p>
            <w:pPr>
              <w:jc w:val="right"/>
              <w:ind w:right="2370"/>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60" w:type="dxa"/>
            <w:vAlign w:val="bottom"/>
            <w:tcBorders>
              <w:bottom w:val="single" w:sz="8" w:color="9A9A9A"/>
            </w:tcBorders>
          </w:tcPr>
          <w:p>
            <w:pPr>
              <w:spacing w:after="0"/>
              <w:rPr>
                <w:sz w:val="10"/>
                <w:szCs w:val="10"/>
                <w:color w:val="auto"/>
              </w:rPr>
            </w:pPr>
          </w:p>
        </w:tc>
        <w:tc>
          <w:tcPr>
            <w:tcW w:w="44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Nonconsolidated Entities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Method Investments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maintains two investments that are accounted for using the cost method. Our ownership interests are less than 20% of the voting stock of the investments and we do not have the ability to exercise significant influence over the operating and financial policies of the investments. The investments do not have a readily determinable fair value and the Company has elected to record the investments at cost, less impairment, if any, plus or minus any changes resulting from observable price changes in orderly transactions for the identical or similar investment of the same issuer. During the three and six months ended December 31, 2023 we noted indicators of impairment in one of our investments, and recognized impairment loss of $1.9 million, respectively, and is presented as other expense on our condensed consolidated Statements of Operation. During the three and six months ended December 31, 2022, there were no observable price changes or impairments recorded.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Jetdoc</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August 2021, the Company acquired a minority interest equal to 806,481 shares of the outstanding common stock of Jetdoc, Inc. (“Jetdoc”), a telehealth and virtual urgent care app dedicated to effectively connecting users with medical professionals, for cash consideration of $2.0 million. Subsequent to December 31, 2023, we noted indicators of impairment in our minority equity investment. We determined that indicators were present as of the reporting date and recognized impairment loss of $1.9 million during the three and six months ended December 31, 2023, which are presented as other expense on our condensed consolidated Statements of Operation. During the three and six months ended December 31, 2022, there were no observable price changes or impairment recorded. The balance of the Company’s investment in Jetdoc as of December 31, 2023 is $0.1 million, which represents the maximum exposure to loss.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DispatchHealth</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June 14, 2019, the Company invested $1.5 million in DispatchHealth Holdings, Inc. ("DispatchHealth"), through the purchase of a portion of its outstanding Series B Preferred Stock. On April 2, 2020, the Company invested an additional $1.1 million through the purchase of a portion of its outstanding Series C Preferred Stock. The balance of the Company’s investment as of December 31, 2023 is $2.6 million, which represents the maximum exposure to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Pinewood Lodge</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operations include a Senior Housing unit that primarily includes the accounts of Continental Community Housing (“CCH”), the general partner of Pinewood Lodge, LLP (“PWD”), which was organized to develop, construct, own, maintain, and operate certain apartment complexes intended for rental to low-income elderly individuals aged 62 or older.</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PWD is a VIE, but the Company is not the primary beneficiary. The Company does not have the power to direct the activities that most significantly impact the economic performance of PWD. Accordingly, the Company does not consolidate PWD. PWD is accounted for using the equity method of accounting. The equity earnings of PWD are insignificant. As of December 31, 2023, the balance of the Company’s investment in PWD was $0.8 million, which represents the maximum exposure to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Noncontrolling Interest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Housing</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Company’s operations include a 0.01% partnership interest in InnovAge Senior Housing Thornton, LLC (“SH1”), which was organized to develop, construct, own, maintain, and operate certain apartment complexes intended for rental to low-income elderly individuals aged 62 or older.</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SH1 is a VIE. The Company is the primary beneficiary of SH1 and consolidates SH1. The Company is the primary beneficiary of SH1 as it has the power to direct the activities that are most significant to SH1 and has an obligation to absorb losses or the right to receive benefits from SH1. The most significant activity of SH1 is the operation of the senior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housing facility. The Company has provided a subordinated loan to SH1 and has provided a guarantee for a convertible term loan held by SH1.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Redeemable Noncontrolling Interest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InnovAge Sacramento</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18, 2019, in connection with the formation of InnovAge Sacramento, the joint venture with Adventist Health System/West (“Adventist”) and Eskaton Properties, Incorporated (“Eskaton”), the Company contributed $9.0 million in cash and land valued at $4.2 million for a 59.9% membership interest in the joint venture. Further, Adventist contributed $5.8 million in cash and Eskaton contributed $3.0 million in cash for membership interests of 26.4% and 13.7%, respectively. In fiscal year 2021, the Company made an additional contribution of $52,000 and obtained an additional 0.1% membership interest in the joint venture, which resulted in the Company obtaining control and consolidating InnovAge Sacramento as of January 1, 2021.</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InnovAge California PACE-Sacramento LLC Limited Liability Company Agreement (the “JV Agreement”) includes numerous provisions whereby, if certain conditions are met, the joint venture may be required to purchase, at fair market value, certain members’ interests or certain members may be required to purchase, at fair market value, the interests of certain other members. As of December 31, 2023, none of the conditions specified in the JV Agreement had been met. At the time the Company became a publicly traded company these put rights held by the noncontrolling interests of the joint venture were required to be presented as temporary equity and are recorded as redeemable noncontrolling interests on our condensed consolidated Balance Sheets. Redeemable noncontrolling interest of $11.8 million and $12.7 million were recorded at carrying value as of December 31, 2023 and June 30, 2023,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Fair Value Measurements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from selling an asset or paid to transfer a liability (an exit price) in the principal or most advantageous market for the asset or liability in an orderly transaction between market participants, at the measurement date. A fair value hierarchy was established that requires an entity to maximize the use of observable inputs and minimize the use of unobservable inputs when measuring fair value. Observable inputs are inputs that reflect the assumptions market participants would use in pricing the asset or liability developed based on market data obtained from sources outside the reporting entity. Unobservable inputs are inputs that reflect the Company’s own assumptions based on market data and assumptions that market participants would use in pricing the asset or liability developed based on the best information available in the circumstances. The sensitivity to changes in inputs and their impact on fair value measurements can be significant.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three levels of inputs that may be used to measure fair value are:</w:t>
      </w:r>
    </w:p>
    <w:p>
      <w:pPr>
        <w:spacing w:after="0" w:line="221" w:lineRule="exact"/>
        <w:rPr>
          <w:sz w:val="20"/>
          <w:szCs w:val="20"/>
          <w:color w:val="auto"/>
        </w:rPr>
      </w:pPr>
    </w:p>
    <w:p>
      <w:pPr>
        <w:ind w:left="1620" w:right="20" w:hanging="809"/>
        <w:spacing w:after="0" w:line="282" w:lineRule="auto"/>
        <w:tabs>
          <w:tab w:leader="none" w:pos="1600" w:val="left"/>
        </w:tabs>
        <w:rPr>
          <w:sz w:val="20"/>
          <w:szCs w:val="20"/>
          <w:color w:val="auto"/>
        </w:rPr>
      </w:pPr>
      <w:r>
        <w:rPr>
          <w:rFonts w:ascii="Times New Roman" w:cs="Times New Roman" w:eastAsia="Times New Roman" w:hAnsi="Times New Roman"/>
          <w:sz w:val="18"/>
          <w:szCs w:val="18"/>
          <w:b w:val="1"/>
          <w:bCs w:val="1"/>
          <w:color w:val="auto"/>
        </w:rPr>
        <w:t>Level 1</w:t>
      </w:r>
      <w:r>
        <w:rPr>
          <w:sz w:val="20"/>
          <w:szCs w:val="20"/>
          <w:color w:val="auto"/>
        </w:rPr>
        <w:tab/>
      </w:r>
      <w:r>
        <w:rPr>
          <w:rFonts w:ascii="Times New Roman" w:cs="Times New Roman" w:eastAsia="Times New Roman" w:hAnsi="Times New Roman"/>
          <w:sz w:val="18"/>
          <w:szCs w:val="18"/>
          <w:color w:val="auto"/>
        </w:rPr>
        <w:t>Unadjusted quoted prices in active markets for identical assets or liabilities that the entity has the ability to access at the measurement date</w:t>
      </w:r>
    </w:p>
    <w:p>
      <w:pPr>
        <w:spacing w:after="0" w:line="162" w:lineRule="exact"/>
        <w:rPr>
          <w:sz w:val="20"/>
          <w:szCs w:val="20"/>
          <w:color w:val="auto"/>
        </w:rPr>
      </w:pPr>
    </w:p>
    <w:p>
      <w:pPr>
        <w:ind w:left="1620" w:right="20" w:hanging="809"/>
        <w:spacing w:after="0" w:line="282" w:lineRule="auto"/>
        <w:tabs>
          <w:tab w:leader="none" w:pos="1600" w:val="left"/>
        </w:tabs>
        <w:rPr>
          <w:sz w:val="20"/>
          <w:szCs w:val="20"/>
          <w:color w:val="auto"/>
        </w:rPr>
      </w:pPr>
      <w:r>
        <w:rPr>
          <w:rFonts w:ascii="Times New Roman" w:cs="Times New Roman" w:eastAsia="Times New Roman" w:hAnsi="Times New Roman"/>
          <w:sz w:val="18"/>
          <w:szCs w:val="18"/>
          <w:b w:val="1"/>
          <w:bCs w:val="1"/>
          <w:color w:val="auto"/>
        </w:rPr>
        <w:t>Level 2</w:t>
      </w:r>
      <w:r>
        <w:rPr>
          <w:sz w:val="20"/>
          <w:szCs w:val="20"/>
          <w:color w:val="auto"/>
        </w:rPr>
        <w:tab/>
      </w:r>
      <w:r>
        <w:rPr>
          <w:rFonts w:ascii="Times New Roman" w:cs="Times New Roman" w:eastAsia="Times New Roman" w:hAnsi="Times New Roman"/>
          <w:sz w:val="18"/>
          <w:szCs w:val="18"/>
          <w:color w:val="auto"/>
        </w:rPr>
        <w:t>Quoted prices in markets that are not active or inputs that are observable, either directly or indirectly, for substantially the full term of the assets or liabilities</w:t>
      </w:r>
    </w:p>
    <w:p>
      <w:pPr>
        <w:spacing w:after="0" w:line="162" w:lineRule="exact"/>
        <w:rPr>
          <w:sz w:val="20"/>
          <w:szCs w:val="20"/>
          <w:color w:val="auto"/>
        </w:rPr>
      </w:pPr>
    </w:p>
    <w:p>
      <w:pPr>
        <w:ind w:left="82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Level 3</w:t>
      </w:r>
      <w:r>
        <w:rPr>
          <w:sz w:val="20"/>
          <w:szCs w:val="20"/>
          <w:color w:val="auto"/>
        </w:rPr>
        <w:tab/>
      </w:r>
      <w:r>
        <w:rPr>
          <w:rFonts w:ascii="Times New Roman" w:cs="Times New Roman" w:eastAsia="Times New Roman" w:hAnsi="Times New Roman"/>
          <w:sz w:val="17"/>
          <w:szCs w:val="17"/>
          <w:color w:val="auto"/>
        </w:rPr>
        <w:t>Unobservable inputs to the valuation techniques that are significant to the fair value measurements of the assets or liabilities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the Company’s cash, cash equivalents and marketable securities by significant investment category as of December 31, 2023 and June 30, 2023:</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80" w:type="dxa"/>
            <w:vAlign w:val="bottom"/>
          </w:tcPr>
          <w:p>
            <w:pPr>
              <w:spacing w:after="0"/>
              <w:rPr>
                <w:sz w:val="11"/>
                <w:szCs w:val="11"/>
                <w:color w:val="auto"/>
              </w:rPr>
            </w:pPr>
          </w:p>
        </w:tc>
        <w:tc>
          <w:tcPr>
            <w:tcW w:w="10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Pr>
          <w:p>
            <w:pPr>
              <w:spacing w:after="0"/>
              <w:rPr>
                <w:sz w:val="11"/>
                <w:szCs w:val="11"/>
                <w:color w:val="auto"/>
              </w:rPr>
            </w:pPr>
          </w:p>
        </w:tc>
        <w:tc>
          <w:tcPr>
            <w:tcW w:w="116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Cash and</w:t>
            </w:r>
          </w:p>
        </w:tc>
        <w:tc>
          <w:tcPr>
            <w:tcW w:w="180" w:type="dxa"/>
            <w:vAlign w:val="bottom"/>
          </w:tcPr>
          <w:p>
            <w:pPr>
              <w:spacing w:after="0"/>
              <w:rPr>
                <w:sz w:val="11"/>
                <w:szCs w:val="11"/>
                <w:color w:val="auto"/>
              </w:rPr>
            </w:pPr>
          </w:p>
        </w:tc>
        <w:tc>
          <w:tcPr>
            <w:tcW w:w="1060" w:type="dxa"/>
            <w:vAlign w:val="bottom"/>
          </w:tcPr>
          <w:p>
            <w:pPr>
              <w:jc w:val="center"/>
              <w:ind w:right="98"/>
              <w:spacing w:after="0" w:line="131" w:lineRule="exact"/>
              <w:rPr>
                <w:sz w:val="20"/>
                <w:szCs w:val="20"/>
                <w:color w:val="auto"/>
              </w:rPr>
            </w:pPr>
            <w:r>
              <w:rPr>
                <w:rFonts w:ascii="Times New Roman" w:cs="Times New Roman" w:eastAsia="Times New Roman" w:hAnsi="Times New Roman"/>
                <w:sz w:val="14"/>
                <w:szCs w:val="14"/>
                <w:b w:val="1"/>
                <w:bCs w:val="1"/>
                <w:color w:val="auto"/>
              </w:rPr>
              <w:t>Short-</w:t>
            </w:r>
          </w:p>
        </w:tc>
        <w:tc>
          <w:tcPr>
            <w:tcW w:w="0" w:type="dxa"/>
            <w:vAlign w:val="bottom"/>
          </w:tcPr>
          <w:p>
            <w:pPr>
              <w:spacing w:after="0"/>
              <w:rPr>
                <w:sz w:val="1"/>
                <w:szCs w:val="1"/>
                <w:color w:val="auto"/>
              </w:rPr>
            </w:pPr>
          </w:p>
        </w:tc>
      </w:tr>
      <w:tr>
        <w:trPr>
          <w:trHeight w:val="146"/>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Cash</w:t>
            </w:r>
          </w:p>
        </w:tc>
        <w:tc>
          <w:tcPr>
            <w:tcW w:w="180" w:type="dxa"/>
            <w:vAlign w:val="bottom"/>
          </w:tcPr>
          <w:p>
            <w:pPr>
              <w:spacing w:after="0"/>
              <w:rPr>
                <w:sz w:val="12"/>
                <w:szCs w:val="12"/>
                <w:color w:val="auto"/>
              </w:rPr>
            </w:pPr>
          </w:p>
        </w:tc>
        <w:tc>
          <w:tcPr>
            <w:tcW w:w="1060" w:type="dxa"/>
            <w:vAlign w:val="bottom"/>
          </w:tcPr>
          <w:p>
            <w:pPr>
              <w:jc w:val="center"/>
              <w:ind w:right="98"/>
              <w:spacing w:after="0" w:line="146" w:lineRule="exact"/>
              <w:rPr>
                <w:sz w:val="20"/>
                <w:szCs w:val="20"/>
                <w:color w:val="auto"/>
              </w:rPr>
            </w:pPr>
            <w:r>
              <w:rPr>
                <w:rFonts w:ascii="Times New Roman" w:cs="Times New Roman" w:eastAsia="Times New Roman" w:hAnsi="Times New Roman"/>
                <w:sz w:val="14"/>
                <w:szCs w:val="14"/>
                <w:b w:val="1"/>
                <w:bCs w:val="1"/>
                <w:color w:val="auto"/>
                <w:w w:val="97"/>
              </w:rPr>
              <w:t>term</w:t>
            </w:r>
          </w:p>
        </w:tc>
        <w:tc>
          <w:tcPr>
            <w:tcW w:w="0" w:type="dxa"/>
            <w:vAlign w:val="bottom"/>
          </w:tcPr>
          <w:p>
            <w:pPr>
              <w:spacing w:after="0"/>
              <w:rPr>
                <w:sz w:val="1"/>
                <w:szCs w:val="1"/>
                <w:color w:val="auto"/>
              </w:rPr>
            </w:pPr>
          </w:p>
        </w:tc>
      </w:tr>
      <w:tr>
        <w:trPr>
          <w:trHeight w:val="198"/>
        </w:trPr>
        <w:tc>
          <w:tcPr>
            <w:tcW w:w="59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80" w:type="dxa"/>
            <w:vAlign w:val="bottom"/>
          </w:tcPr>
          <w:p>
            <w:pPr>
              <w:spacing w:after="0"/>
              <w:rPr>
                <w:sz w:val="17"/>
                <w:szCs w:val="17"/>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80" w:type="dxa"/>
            <w:vAlign w:val="bottom"/>
          </w:tcPr>
          <w:p>
            <w:pPr>
              <w:spacing w:after="0"/>
              <w:rPr>
                <w:sz w:val="17"/>
                <w:szCs w:val="17"/>
                <w:color w:val="auto"/>
              </w:rPr>
            </w:pPr>
          </w:p>
        </w:tc>
        <w:tc>
          <w:tcPr>
            <w:tcW w:w="106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0" w:type="dxa"/>
            <w:vAlign w:val="bottom"/>
          </w:tcPr>
          <w:p>
            <w:pPr>
              <w:spacing w:after="0"/>
              <w:rPr>
                <w:sz w:val="1"/>
                <w:szCs w:val="1"/>
                <w:color w:val="auto"/>
              </w:rPr>
            </w:pPr>
          </w:p>
        </w:tc>
      </w:tr>
      <w:tr>
        <w:trPr>
          <w:trHeight w:val="228"/>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8,038</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1</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Mutual funds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44,368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44,690</w:t>
            </w:r>
          </w:p>
        </w:tc>
        <w:tc>
          <w:tcPr>
            <w:tcW w:w="0" w:type="dxa"/>
            <w:vAlign w:val="bottom"/>
          </w:tcPr>
          <w:p>
            <w:pPr>
              <w:spacing w:after="0"/>
              <w:rPr>
                <w:sz w:val="1"/>
                <w:szCs w:val="1"/>
                <w:color w:val="auto"/>
              </w:rPr>
            </w:pPr>
          </w:p>
        </w:tc>
      </w:tr>
      <w:tr>
        <w:trPr>
          <w:trHeight w:val="248"/>
        </w:trPr>
        <w:tc>
          <w:tcPr>
            <w:tcW w:w="59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98,449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44,690</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5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80" w:type="dxa"/>
            <w:vAlign w:val="bottom"/>
          </w:tcPr>
          <w:p>
            <w:pPr>
              <w:spacing w:after="0"/>
              <w:rPr>
                <w:sz w:val="11"/>
                <w:szCs w:val="11"/>
                <w:color w:val="auto"/>
              </w:rPr>
            </w:pPr>
          </w:p>
        </w:tc>
        <w:tc>
          <w:tcPr>
            <w:tcW w:w="10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Pr>
          <w:p>
            <w:pPr>
              <w:spacing w:after="0"/>
              <w:rPr>
                <w:sz w:val="11"/>
                <w:szCs w:val="11"/>
                <w:color w:val="auto"/>
              </w:rPr>
            </w:pPr>
          </w:p>
        </w:tc>
        <w:tc>
          <w:tcPr>
            <w:tcW w:w="116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Cash and</w:t>
            </w:r>
          </w:p>
        </w:tc>
        <w:tc>
          <w:tcPr>
            <w:tcW w:w="180" w:type="dxa"/>
            <w:vAlign w:val="bottom"/>
          </w:tcPr>
          <w:p>
            <w:pPr>
              <w:spacing w:after="0"/>
              <w:rPr>
                <w:sz w:val="11"/>
                <w:szCs w:val="11"/>
                <w:color w:val="auto"/>
              </w:rPr>
            </w:pPr>
          </w:p>
        </w:tc>
        <w:tc>
          <w:tcPr>
            <w:tcW w:w="1060" w:type="dxa"/>
            <w:vAlign w:val="bottom"/>
          </w:tcPr>
          <w:p>
            <w:pPr>
              <w:jc w:val="center"/>
              <w:ind w:right="98"/>
              <w:spacing w:after="0" w:line="131" w:lineRule="exact"/>
              <w:rPr>
                <w:sz w:val="20"/>
                <w:szCs w:val="20"/>
                <w:color w:val="auto"/>
              </w:rPr>
            </w:pPr>
            <w:r>
              <w:rPr>
                <w:rFonts w:ascii="Times New Roman" w:cs="Times New Roman" w:eastAsia="Times New Roman" w:hAnsi="Times New Roman"/>
                <w:sz w:val="14"/>
                <w:szCs w:val="14"/>
                <w:b w:val="1"/>
                <w:bCs w:val="1"/>
                <w:color w:val="auto"/>
              </w:rPr>
              <w:t>Short-</w:t>
            </w:r>
          </w:p>
        </w:tc>
        <w:tc>
          <w:tcPr>
            <w:tcW w:w="0" w:type="dxa"/>
            <w:vAlign w:val="bottom"/>
          </w:tcPr>
          <w:p>
            <w:pPr>
              <w:spacing w:after="0"/>
              <w:rPr>
                <w:sz w:val="1"/>
                <w:szCs w:val="1"/>
                <w:color w:val="auto"/>
              </w:rPr>
            </w:pPr>
          </w:p>
        </w:tc>
      </w:tr>
      <w:tr>
        <w:trPr>
          <w:trHeight w:val="146"/>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Cash</w:t>
            </w:r>
          </w:p>
        </w:tc>
        <w:tc>
          <w:tcPr>
            <w:tcW w:w="180" w:type="dxa"/>
            <w:vAlign w:val="bottom"/>
          </w:tcPr>
          <w:p>
            <w:pPr>
              <w:spacing w:after="0"/>
              <w:rPr>
                <w:sz w:val="12"/>
                <w:szCs w:val="12"/>
                <w:color w:val="auto"/>
              </w:rPr>
            </w:pPr>
          </w:p>
        </w:tc>
        <w:tc>
          <w:tcPr>
            <w:tcW w:w="1060" w:type="dxa"/>
            <w:vAlign w:val="bottom"/>
          </w:tcPr>
          <w:p>
            <w:pPr>
              <w:jc w:val="center"/>
              <w:ind w:right="98"/>
              <w:spacing w:after="0" w:line="146" w:lineRule="exact"/>
              <w:rPr>
                <w:sz w:val="20"/>
                <w:szCs w:val="20"/>
                <w:color w:val="auto"/>
              </w:rPr>
            </w:pPr>
            <w:r>
              <w:rPr>
                <w:rFonts w:ascii="Times New Roman" w:cs="Times New Roman" w:eastAsia="Times New Roman" w:hAnsi="Times New Roman"/>
                <w:sz w:val="14"/>
                <w:szCs w:val="14"/>
                <w:b w:val="1"/>
                <w:bCs w:val="1"/>
                <w:color w:val="auto"/>
                <w:w w:val="97"/>
              </w:rPr>
              <w:t>term</w:t>
            </w:r>
          </w:p>
        </w:tc>
        <w:tc>
          <w:tcPr>
            <w:tcW w:w="0" w:type="dxa"/>
            <w:vAlign w:val="bottom"/>
          </w:tcPr>
          <w:p>
            <w:pPr>
              <w:spacing w:after="0"/>
              <w:rPr>
                <w:sz w:val="1"/>
                <w:szCs w:val="1"/>
                <w:color w:val="auto"/>
              </w:rPr>
            </w:pPr>
          </w:p>
        </w:tc>
      </w:tr>
      <w:tr>
        <w:trPr>
          <w:trHeight w:val="198"/>
        </w:trPr>
        <w:tc>
          <w:tcPr>
            <w:tcW w:w="59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80" w:type="dxa"/>
            <w:vAlign w:val="bottom"/>
          </w:tcPr>
          <w:p>
            <w:pPr>
              <w:spacing w:after="0"/>
              <w:rPr>
                <w:sz w:val="17"/>
                <w:szCs w:val="17"/>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80" w:type="dxa"/>
            <w:vAlign w:val="bottom"/>
          </w:tcPr>
          <w:p>
            <w:pPr>
              <w:spacing w:after="0"/>
              <w:rPr>
                <w:sz w:val="17"/>
                <w:szCs w:val="17"/>
                <w:color w:val="auto"/>
              </w:rPr>
            </w:pPr>
          </w:p>
        </w:tc>
        <w:tc>
          <w:tcPr>
            <w:tcW w:w="106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0" w:type="dxa"/>
            <w:vAlign w:val="bottom"/>
          </w:tcPr>
          <w:p>
            <w:pPr>
              <w:spacing w:after="0"/>
              <w:rPr>
                <w:sz w:val="1"/>
                <w:szCs w:val="1"/>
                <w:color w:val="auto"/>
              </w:rPr>
            </w:pPr>
          </w:p>
        </w:tc>
      </w:tr>
      <w:tr>
        <w:trPr>
          <w:trHeight w:val="228"/>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49,775</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49,775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49,775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1</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77,474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Mutual funds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46,170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46,213</w:t>
            </w:r>
          </w:p>
        </w:tc>
        <w:tc>
          <w:tcPr>
            <w:tcW w:w="0" w:type="dxa"/>
            <w:vAlign w:val="bottom"/>
          </w:tcPr>
          <w:p>
            <w:pPr>
              <w:spacing w:after="0"/>
              <w:rPr>
                <w:sz w:val="1"/>
                <w:szCs w:val="1"/>
                <w:color w:val="auto"/>
              </w:rPr>
            </w:pPr>
          </w:p>
        </w:tc>
      </w:tr>
      <w:tr>
        <w:trPr>
          <w:trHeight w:val="248"/>
        </w:trPr>
        <w:tc>
          <w:tcPr>
            <w:tcW w:w="59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173,419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46,213</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Measurements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investment in InnovAge Sacramento includes a put right for the noncontrolling interest holders to require the Company to repurchase the interest of the noncontrolling interest holders at fair value, after the initial term of the management services agreement in 2028. As a result, at each fiscal period end the Company reports this put right at the greater of (i) carrying value of the redeemable noncontrolling interest or (ii) fair value of the redeemable noncontrolling interest. Because this asset does not have observable inputs, Level 3 inputs are used to measure fair value. The fair value of the redeemable noncontrolling interest is determined utilizing a discounted cash flow model. As of December 31, 2023 and June 30, 2023, the Company’s redeemable noncontrolling interest was recorded at carrying value of $11.8 million and $12.7 million, respectively.</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transfers in and out of Level 3 during the six months ended December 31, 2023 or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Goodwill and Intangible Assets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cost over the fair value of net assets acquired. Goodwill amounted to $141.6 million and $124.2 million at each of December 31, 2023 and June 30, 2023. Goodwill is not amortized.</w:t>
      </w:r>
    </w:p>
    <w:p>
      <w:pPr>
        <w:spacing w:after="0" w:line="16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Pursuant to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we review the recoverability of goodwill annually as of April 1 or whenever significant events or changes occur which might impair the recovery of recorded amounts. For purposes of the annual goodwill impairment assessment, the Company has identified two reporting units. There were no indicators of impairment identified and no goodwill impairments recorded during the six months ended December 31, 2023 and 2022.</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Intangible assets consisted of the following as of:</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3"/>
                <w:szCs w:val="13"/>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3"/>
                <w:szCs w:val="13"/>
                <w:color w:val="auto"/>
              </w:rPr>
            </w:pPr>
          </w:p>
        </w:tc>
        <w:tc>
          <w:tcPr>
            <w:tcW w:w="118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5"/>
        </w:trPr>
        <w:tc>
          <w:tcPr>
            <w:tcW w:w="81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Definite-lived intangible assets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center"/>
              <w:ind w:left="615"/>
              <w:spacing w:after="0"/>
              <w:rPr>
                <w:sz w:val="20"/>
                <w:szCs w:val="20"/>
                <w:color w:val="auto"/>
              </w:rPr>
            </w:pPr>
            <w:r>
              <w:rPr>
                <w:rFonts w:ascii="Times New Roman" w:cs="Times New Roman" w:eastAsia="Times New Roman" w:hAnsi="Times New Roman"/>
                <w:sz w:val="18"/>
                <w:szCs w:val="18"/>
                <w:color w:val="auto"/>
                <w:w w:val="98"/>
              </w:rPr>
              <w:t>6,600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center"/>
              <w:ind w:left="535"/>
              <w:spacing w:after="0"/>
              <w:rPr>
                <w:sz w:val="20"/>
                <w:szCs w:val="20"/>
                <w:color w:val="auto"/>
              </w:rPr>
            </w:pPr>
            <w:r>
              <w:rPr>
                <w:rFonts w:ascii="Times New Roman" w:cs="Times New Roman" w:eastAsia="Times New Roman" w:hAnsi="Times New Roman"/>
                <w:sz w:val="18"/>
                <w:szCs w:val="18"/>
                <w:color w:val="auto"/>
                <w:w w:val="98"/>
              </w:rPr>
              <w:t>6,600</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615"/>
              <w:spacing w:after="0"/>
              <w:rPr>
                <w:sz w:val="20"/>
                <w:szCs w:val="20"/>
                <w:color w:val="auto"/>
              </w:rPr>
            </w:pPr>
            <w:r>
              <w:rPr>
                <w:rFonts w:ascii="Times New Roman" w:cs="Times New Roman" w:eastAsia="Times New Roman" w:hAnsi="Times New Roman"/>
                <w:sz w:val="18"/>
                <w:szCs w:val="18"/>
                <w:color w:val="auto"/>
                <w:w w:val="98"/>
              </w:rPr>
              <w:t>2,000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535"/>
              <w:spacing w:after="0"/>
              <w:rPr>
                <w:sz w:val="20"/>
                <w:szCs w:val="20"/>
                <w:color w:val="auto"/>
              </w:rPr>
            </w:pPr>
            <w:r>
              <w:rPr>
                <w:rFonts w:ascii="Times New Roman" w:cs="Times New Roman" w:eastAsia="Times New Roman" w:hAnsi="Times New Roman"/>
                <w:sz w:val="18"/>
                <w:szCs w:val="18"/>
                <w:color w:val="auto"/>
                <w:w w:val="98"/>
              </w:rPr>
              <w:t>2,000</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intangible assets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615"/>
              <w:spacing w:after="0"/>
              <w:rPr>
                <w:sz w:val="20"/>
                <w:szCs w:val="20"/>
                <w:color w:val="auto"/>
              </w:rPr>
            </w:pPr>
            <w:r>
              <w:rPr>
                <w:rFonts w:ascii="Times New Roman" w:cs="Times New Roman" w:eastAsia="Times New Roman" w:hAnsi="Times New Roman"/>
                <w:sz w:val="18"/>
                <w:szCs w:val="18"/>
                <w:color w:val="auto"/>
                <w:w w:val="98"/>
              </w:rPr>
              <w:t>8,600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535"/>
              <w:spacing w:after="0"/>
              <w:rPr>
                <w:sz w:val="20"/>
                <w:szCs w:val="20"/>
                <w:color w:val="auto"/>
              </w:rPr>
            </w:pPr>
            <w:r>
              <w:rPr>
                <w:rFonts w:ascii="Times New Roman" w:cs="Times New Roman" w:eastAsia="Times New Roman" w:hAnsi="Times New Roman"/>
                <w:sz w:val="18"/>
                <w:szCs w:val="18"/>
                <w:color w:val="auto"/>
                <w:w w:val="98"/>
              </w:rPr>
              <w:t>8,600</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Accumulated amortization</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595"/>
              <w:spacing w:after="0"/>
              <w:rPr>
                <w:sz w:val="20"/>
                <w:szCs w:val="20"/>
                <w:color w:val="auto"/>
              </w:rPr>
            </w:pPr>
            <w:r>
              <w:rPr>
                <w:rFonts w:ascii="Times New Roman" w:cs="Times New Roman" w:eastAsia="Times New Roman" w:hAnsi="Times New Roman"/>
                <w:sz w:val="18"/>
                <w:szCs w:val="18"/>
                <w:color w:val="auto"/>
              </w:rPr>
              <w:t>(3,732)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515"/>
              <w:spacing w:after="0"/>
              <w:rPr>
                <w:sz w:val="20"/>
                <w:szCs w:val="20"/>
                <w:color w:val="auto"/>
              </w:rPr>
            </w:pPr>
            <w:r>
              <w:rPr>
                <w:rFonts w:ascii="Times New Roman" w:cs="Times New Roman" w:eastAsia="Times New Roman" w:hAnsi="Times New Roman"/>
                <w:sz w:val="18"/>
                <w:szCs w:val="18"/>
                <w:color w:val="auto"/>
              </w:rPr>
              <w:t>(3,402)</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Balance as of 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center"/>
              <w:ind w:left="615"/>
              <w:spacing w:after="0"/>
              <w:rPr>
                <w:sz w:val="20"/>
                <w:szCs w:val="20"/>
                <w:color w:val="auto"/>
              </w:rPr>
            </w:pPr>
            <w:r>
              <w:rPr>
                <w:rFonts w:ascii="Times New Roman" w:cs="Times New Roman" w:eastAsia="Times New Roman" w:hAnsi="Times New Roman"/>
                <w:sz w:val="18"/>
                <w:szCs w:val="18"/>
                <w:color w:val="auto"/>
                <w:w w:val="98"/>
              </w:rPr>
              <w:t>4,868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center"/>
              <w:ind w:left="535"/>
              <w:spacing w:after="0"/>
              <w:rPr>
                <w:sz w:val="20"/>
                <w:szCs w:val="20"/>
                <w:color w:val="auto"/>
              </w:rPr>
            </w:pPr>
            <w:r>
              <w:rPr>
                <w:rFonts w:ascii="Times New Roman" w:cs="Times New Roman" w:eastAsia="Times New Roman" w:hAnsi="Times New Roman"/>
                <w:sz w:val="18"/>
                <w:szCs w:val="18"/>
                <w:color w:val="auto"/>
                <w:w w:val="98"/>
              </w:rPr>
              <w:t>5,198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Intangible assets consist primarily of customer relationships acquired through business acquisitions. The Company recorded amortization expense of $0.2 million for each of the three months ended December 31, 2023 and 2022. The Company recorded amortization expense of $0.3 million for each of the six months ended December 31, 2023 and 2022.</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review the recoverability of other intangible assets in conjunction with long-lived assets whenever events or changes in circumstances indicate the carrying amount of such assets may not be recoverable. There were no intangible asset impairments recorded during the six months ended December 31, 2023 and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Leases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Leasing Arrangements as Lessee</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leases certain property and equipment under various third-party operating and finance lease agreements. The Company determines if an arrangement is or contains a lease at the lease inception date by evaluating whether the arrangement conveys the right to use an identified asset and whether the Company obtains substantially all of the economic benefits from and has the ability to direct the use of the asset. The leases are noncancelable and expire on various terms from 2024 through 2032. We determine if an arrangement is a lease upon commencement of the contract. If an arrangement is determined to be a long-term lease (greater than 12 months), we recognize a right-of-use ("ROU") asset and lease liability based on the present value of the future minimum lease payments over the lease term at the commencement date. As most of our leases do not provide an implicit rate, we use our incremental borrowing rate based on the information available at commencement date in determining the present value of future payments. Our lease terms may also include options to extend or terminate the lease when it is reasonably certain that we will exercise those options. Lease expense for minimum lease payments is recognized on a straight-line basis over the lease term.</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elected to apply the short-term lease exception for contracts that have a lease term of twelve months or less and do not include an option to purchase the underlying asset. Therefore, we do not recognize an ROU asset or lease liability for such contracts. We recognize short-term lease payments as expense on a straight-line basis over the lease term. Variable lease payments that do not depend on an index or rate are recognized as expense. Certain leases include escalations based on inflation indexes and fair market value adjustments. Operating lease liabilities are calculated using the prevailing index or rate at lease commencement for such leases.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components of our ROU assets and their classification in our Balance Sheet at December 31, 2023:</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 of Lease Balances</w:t>
            </w:r>
          </w:p>
        </w:tc>
        <w:tc>
          <w:tcPr>
            <w:tcW w:w="502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Balance Sheet Line Items</w:t>
            </w:r>
          </w:p>
        </w:tc>
        <w:tc>
          <w:tcPr>
            <w:tcW w:w="18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Pr>
          <w:p>
            <w:pPr>
              <w:spacing w:after="0"/>
              <w:rPr>
                <w:sz w:val="18"/>
                <w:szCs w:val="18"/>
                <w:color w:val="auto"/>
              </w:rPr>
            </w:pPr>
          </w:p>
        </w:tc>
        <w:tc>
          <w:tcPr>
            <w:tcW w:w="1240" w:type="dxa"/>
            <w:vAlign w:val="bottom"/>
            <w:vMerge w:val="restart"/>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0" w:type="dxa"/>
            <w:vAlign w:val="bottom"/>
          </w:tcPr>
          <w:p>
            <w:pPr>
              <w:spacing w:after="0"/>
              <w:rPr>
                <w:sz w:val="1"/>
                <w:szCs w:val="1"/>
                <w:color w:val="auto"/>
              </w:rPr>
            </w:pPr>
          </w:p>
        </w:tc>
      </w:tr>
      <w:tr>
        <w:trPr>
          <w:trHeight w:val="115"/>
        </w:trPr>
        <w:tc>
          <w:tcPr>
            <w:tcW w:w="324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vMerge w:val="restart"/>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0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3240" w:type="dxa"/>
            <w:vAlign w:val="bottom"/>
            <w:vMerge w:val="continue"/>
          </w:tcPr>
          <w:p>
            <w:pPr>
              <w:spacing w:after="0"/>
              <w:rPr>
                <w:sz w:val="18"/>
                <w:szCs w:val="18"/>
                <w:color w:val="auto"/>
              </w:rPr>
            </w:pPr>
          </w:p>
        </w:tc>
        <w:tc>
          <w:tcPr>
            <w:tcW w:w="5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50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Operating lease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21,210</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50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16,378</w:t>
            </w:r>
          </w:p>
        </w:tc>
        <w:tc>
          <w:tcPr>
            <w:tcW w:w="0" w:type="dxa"/>
            <w:vAlign w:val="bottom"/>
          </w:tcPr>
          <w:p>
            <w:pPr>
              <w:spacing w:after="0"/>
              <w:rPr>
                <w:sz w:val="1"/>
                <w:szCs w:val="1"/>
                <w:color w:val="auto"/>
              </w:rPr>
            </w:pPr>
          </w:p>
        </w:tc>
      </w:tr>
      <w:tr>
        <w:trPr>
          <w:trHeight w:val="223"/>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leased assets</w:t>
            </w:r>
          </w:p>
        </w:tc>
        <w:tc>
          <w:tcPr>
            <w:tcW w:w="50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40,668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37,588</w:t>
            </w:r>
          </w:p>
        </w:tc>
        <w:tc>
          <w:tcPr>
            <w:tcW w:w="0" w:type="dxa"/>
            <w:vAlign w:val="bottom"/>
          </w:tcPr>
          <w:p>
            <w:pPr>
              <w:spacing w:after="0"/>
              <w:rPr>
                <w:sz w:val="1"/>
                <w:szCs w:val="1"/>
                <w:color w:val="auto"/>
              </w:rPr>
            </w:pPr>
          </w:p>
        </w:tc>
      </w:tr>
      <w:tr>
        <w:trPr>
          <w:trHeight w:val="21"/>
        </w:trPr>
        <w:tc>
          <w:tcPr>
            <w:tcW w:w="3240" w:type="dxa"/>
            <w:vAlign w:val="bottom"/>
          </w:tcPr>
          <w:p>
            <w:pPr>
              <w:spacing w:after="0" w:line="20" w:lineRule="exact"/>
              <w:rPr>
                <w:sz w:val="1"/>
                <w:szCs w:val="1"/>
                <w:color w:val="auto"/>
              </w:rPr>
            </w:pPr>
          </w:p>
        </w:tc>
        <w:tc>
          <w:tcPr>
            <w:tcW w:w="5020" w:type="dxa"/>
            <w:vAlign w:val="bottom"/>
            <w:vMerge w:val="restart"/>
          </w:tcPr>
          <w:p>
            <w:pPr>
              <w:jc w:val="right"/>
              <w:ind w:right="245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3240" w:type="dxa"/>
            <w:vAlign w:val="bottom"/>
          </w:tcPr>
          <w:p>
            <w:pPr>
              <w:spacing w:after="0"/>
              <w:rPr>
                <w:sz w:val="24"/>
                <w:szCs w:val="24"/>
                <w:color w:val="auto"/>
              </w:rPr>
            </w:pPr>
          </w:p>
        </w:tc>
        <w:tc>
          <w:tcPr>
            <w:tcW w:w="50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40" w:type="dxa"/>
            <w:vAlign w:val="bottom"/>
            <w:tcBorders>
              <w:bottom w:val="single" w:sz="8" w:color="9A9A9A"/>
            </w:tcBorders>
          </w:tcPr>
          <w:p>
            <w:pPr>
              <w:spacing w:after="0"/>
              <w:rPr>
                <w:sz w:val="10"/>
                <w:szCs w:val="10"/>
                <w:color w:val="auto"/>
              </w:rPr>
            </w:pPr>
          </w:p>
        </w:tc>
        <w:tc>
          <w:tcPr>
            <w:tcW w:w="5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of our lease cost and the classification of such costs in our Statements of Operations for the six months ended December 31: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 of Lease Cost</w:t>
            </w:r>
          </w:p>
        </w:tc>
        <w:tc>
          <w:tcPr>
            <w:tcW w:w="5140" w:type="dxa"/>
            <w:vAlign w:val="bottom"/>
            <w:vMerge w:val="restart"/>
          </w:tcPr>
          <w:p>
            <w:pPr>
              <w:ind w:left="1040"/>
              <w:spacing w:after="0"/>
              <w:rPr>
                <w:sz w:val="20"/>
                <w:szCs w:val="20"/>
                <w:color w:val="auto"/>
              </w:rPr>
            </w:pPr>
            <w:r>
              <w:rPr>
                <w:rFonts w:ascii="Times New Roman" w:cs="Times New Roman" w:eastAsia="Times New Roman" w:hAnsi="Times New Roman"/>
                <w:sz w:val="18"/>
                <w:szCs w:val="18"/>
                <w:b w:val="1"/>
                <w:bCs w:val="1"/>
                <w:color w:val="auto"/>
              </w:rPr>
              <w:t>Statements of Operations Line Items</w:t>
            </w:r>
          </w:p>
        </w:tc>
        <w:tc>
          <w:tcPr>
            <w:tcW w:w="260" w:type="dxa"/>
            <w:vAlign w:val="bottom"/>
          </w:tcPr>
          <w:p>
            <w:pPr>
              <w:spacing w:after="0"/>
              <w:rPr>
                <w:sz w:val="18"/>
                <w:szCs w:val="18"/>
                <w:color w:val="auto"/>
              </w:rPr>
            </w:pPr>
          </w:p>
        </w:tc>
        <w:tc>
          <w:tcPr>
            <w:tcW w:w="2780" w:type="dxa"/>
            <w:vAlign w:val="bottom"/>
            <w:gridSpan w:val="4"/>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c>
          <w:tcPr>
            <w:tcW w:w="0" w:type="dxa"/>
            <w:vAlign w:val="bottom"/>
          </w:tcPr>
          <w:p>
            <w:pPr>
              <w:spacing w:after="0"/>
              <w:rPr>
                <w:sz w:val="1"/>
                <w:szCs w:val="1"/>
                <w:color w:val="auto"/>
              </w:rPr>
            </w:pPr>
          </w:p>
        </w:tc>
      </w:tr>
      <w:tr>
        <w:trPr>
          <w:trHeight w:val="235"/>
        </w:trPr>
        <w:tc>
          <w:tcPr>
            <w:tcW w:w="3060" w:type="dxa"/>
            <w:vAlign w:val="bottom"/>
            <w:vMerge w:val="continue"/>
          </w:tcPr>
          <w:p>
            <w:pPr>
              <w:spacing w:after="0"/>
              <w:rPr>
                <w:sz w:val="20"/>
                <w:szCs w:val="20"/>
                <w:color w:val="auto"/>
              </w:rPr>
            </w:pPr>
          </w:p>
        </w:tc>
        <w:tc>
          <w:tcPr>
            <w:tcW w:w="5140" w:type="dxa"/>
            <w:vAlign w:val="bottom"/>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94"/>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5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060" w:type="dxa"/>
            <w:vAlign w:val="bottom"/>
            <w:shd w:val="clear" w:color="auto" w:fill="CCEEFF"/>
          </w:tcPr>
          <w:p>
            <w:pPr>
              <w:spacing w:after="0"/>
              <w:rPr>
                <w:sz w:val="15"/>
                <w:szCs w:val="15"/>
                <w:color w:val="auto"/>
              </w:rPr>
            </w:pPr>
          </w:p>
        </w:tc>
        <w:tc>
          <w:tcPr>
            <w:tcW w:w="5140" w:type="dxa"/>
            <w:vAlign w:val="bottom"/>
            <w:shd w:val="clear" w:color="auto" w:fill="CCEEFF"/>
          </w:tcPr>
          <w:p>
            <w:pPr>
              <w:ind w:left="1040"/>
              <w:spacing w:after="0" w:line="177" w:lineRule="exact"/>
              <w:rPr>
                <w:sz w:val="20"/>
                <w:szCs w:val="20"/>
                <w:color w:val="auto"/>
              </w:rPr>
            </w:pPr>
            <w:r>
              <w:rPr>
                <w:rFonts w:ascii="Times New Roman" w:cs="Times New Roman" w:eastAsia="Times New Roman" w:hAnsi="Times New Roman"/>
                <w:sz w:val="18"/>
                <w:szCs w:val="18"/>
                <w:color w:val="auto"/>
              </w:rPr>
              <w:t>Cost of care excluding depreciation and amortization</w:t>
            </w: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51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and Corporate, general and administrative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8"/>
          <w:szCs w:val="18"/>
          <w:color w:val="auto"/>
        </w:rPr>
        <w:t>Finance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3" w:lineRule="exact"/>
        <w:rPr>
          <w:sz w:val="20"/>
          <w:szCs w:val="20"/>
          <w:color w:val="auto"/>
        </w:rPr>
      </w:pPr>
    </w:p>
    <w:p>
      <w:pPr>
        <w:ind w:left="140" w:right="1140"/>
        <w:spacing w:after="0" w:line="323" w:lineRule="auto"/>
        <w:rPr>
          <w:sz w:val="20"/>
          <w:szCs w:val="20"/>
          <w:color w:val="auto"/>
        </w:rPr>
      </w:pPr>
      <w:r>
        <w:rPr>
          <w:rFonts w:ascii="Times New Roman" w:cs="Times New Roman" w:eastAsia="Times New Roman" w:hAnsi="Times New Roman"/>
          <w:sz w:val="17"/>
          <w:szCs w:val="17"/>
          <w:color w:val="auto"/>
        </w:rPr>
        <w:t>Amortization of leased assets Interest on lease liabilities</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Variable lease cost</w:t>
      </w:r>
    </w:p>
    <w:p>
      <w:pPr>
        <w:spacing w:after="0" w:line="212" w:lineRule="exact"/>
        <w:rPr>
          <w:sz w:val="20"/>
          <w:szCs w:val="20"/>
          <w:color w:val="auto"/>
        </w:rPr>
      </w:pPr>
    </w:p>
    <w:p>
      <w:pPr>
        <w:jc w:val="right"/>
        <w:ind w:right="1840"/>
        <w:spacing w:after="0"/>
        <w:rPr>
          <w:sz w:val="20"/>
          <w:szCs w:val="20"/>
          <w:color w:val="auto"/>
        </w:rPr>
      </w:pPr>
      <w:r>
        <w:rPr>
          <w:rFonts w:ascii="Times New Roman" w:cs="Times New Roman" w:eastAsia="Times New Roman" w:hAnsi="Times New Roman"/>
          <w:sz w:val="17"/>
          <w:szCs w:val="17"/>
          <w:color w:val="auto"/>
        </w:rPr>
        <w:t>Short-term lease cost</w:t>
      </w:r>
    </w:p>
    <w:p>
      <w:pPr>
        <w:spacing w:after="0" w:line="71" w:lineRule="exact"/>
        <w:rPr>
          <w:sz w:val="20"/>
          <w:szCs w:val="20"/>
          <w:color w:val="auto"/>
        </w:rPr>
      </w:pPr>
    </w:p>
    <w:p>
      <w:pPr>
        <w:jc w:val="right"/>
        <w:ind w:right="1800"/>
        <w:spacing w:after="0"/>
        <w:rPr>
          <w:sz w:val="20"/>
          <w:szCs w:val="20"/>
          <w:color w:val="auto"/>
        </w:rPr>
      </w:pPr>
      <w:r>
        <w:rPr>
          <w:rFonts w:ascii="Times New Roman" w:cs="Times New Roman" w:eastAsia="Times New Roman" w:hAnsi="Times New Roman"/>
          <w:sz w:val="18"/>
          <w:szCs w:val="18"/>
          <w:b w:val="1"/>
          <w:bCs w:val="1"/>
          <w:color w:val="auto"/>
        </w:rPr>
        <w:t>Total lease expense</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w:t>
            </w:r>
          </w:p>
        </w:tc>
      </w:tr>
      <w:tr>
        <w:trPr>
          <w:trHeight w:val="230"/>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r>
      <w:tr>
        <w:trPr>
          <w:trHeight w:val="180"/>
        </w:trPr>
        <w:tc>
          <w:tcPr>
            <w:tcW w:w="466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Cost of care excluding depreciation and amortization</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8"/>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Corporate, general and administrative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0"/>
        </w:trPr>
        <w:tc>
          <w:tcPr>
            <w:tcW w:w="466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Cost of care excluding depreciation and amortization</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3"/>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Corporate, general and administrative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4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4,829</w:t>
            </w:r>
          </w:p>
        </w:tc>
        <w:tc>
          <w:tcPr>
            <w:tcW w:w="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4,821</w:t>
            </w:r>
          </w:p>
        </w:tc>
      </w:tr>
      <w:tr>
        <w:trPr>
          <w:trHeight w:val="20"/>
        </w:trPr>
        <w:tc>
          <w:tcPr>
            <w:tcW w:w="4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-2597785</wp:posOffset>
            </wp:positionH>
            <wp:positionV relativeFrom="paragraph">
              <wp:posOffset>-719455</wp:posOffset>
            </wp:positionV>
            <wp:extent cx="7132320" cy="265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-187960</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80" w:space="720"/>
            <w:col w:w="7140"/>
          </w:cols>
          <w:pgMar w:left="320" w:top="121" w:right="339" w:bottom="1440" w:gutter="0" w:footer="0" w:header="0"/>
          <w:type w:val="continuous"/>
        </w:sectPr>
      </w:pPr>
    </w:p>
    <w:p>
      <w:pPr>
        <w:spacing w:after="0" w:line="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includes the weighted-average lease terms and discount rates for operating and finance leases as of December 31: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w:t>
            </w:r>
          </w:p>
        </w:tc>
        <w:tc>
          <w:tcPr>
            <w:tcW w:w="1580" w:type="dxa"/>
            <w:vAlign w:val="bottom"/>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8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3"/>
        </w:trPr>
        <w:tc>
          <w:tcPr>
            <w:tcW w:w="792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3"/>
        </w:trPr>
        <w:tc>
          <w:tcPr>
            <w:tcW w:w="8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14.7 years</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years</w:t>
            </w:r>
          </w:p>
        </w:tc>
      </w:tr>
      <w:tr>
        <w:trPr>
          <w:trHeight w:val="234"/>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15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3.5 years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years</w:t>
            </w:r>
          </w:p>
        </w:tc>
      </w:tr>
      <w:tr>
        <w:trPr>
          <w:trHeight w:val="495"/>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8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3"/>
        </w:trPr>
        <w:tc>
          <w:tcPr>
            <w:tcW w:w="79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23"/>
        </w:trPr>
        <w:tc>
          <w:tcPr>
            <w:tcW w:w="7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12.85 %</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6.61 %</w:t>
            </w:r>
          </w:p>
        </w:tc>
      </w:tr>
      <w:tr>
        <w:trPr>
          <w:trHeight w:val="234"/>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7.95 %</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8.53 %</w:t>
            </w:r>
          </w:p>
        </w:tc>
      </w:tr>
    </w:tbl>
    <w:p>
      <w:pPr>
        <w:spacing w:after="0" w:line="2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includes the future maturities of lease payments for operating leases and finance leases for periods subsequent to December 31, 2023:</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300" w:type="dxa"/>
            <w:vAlign w:val="bottom"/>
          </w:tcPr>
          <w:p>
            <w:pPr>
              <w:spacing w:after="0"/>
              <w:rPr>
                <w:sz w:val="13"/>
                <w:szCs w:val="13"/>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340" w:type="dxa"/>
            <w:vAlign w:val="bottom"/>
          </w:tcPr>
          <w:p>
            <w:pPr>
              <w:spacing w:after="0"/>
              <w:rPr>
                <w:sz w:val="13"/>
                <w:szCs w:val="13"/>
                <w:color w:val="auto"/>
              </w:rPr>
            </w:pPr>
          </w:p>
        </w:tc>
        <w:tc>
          <w:tcPr>
            <w:tcW w:w="114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260" w:type="dxa"/>
            <w:vAlign w:val="bottom"/>
            <w:vMerge w:val="continue"/>
          </w:tcPr>
          <w:p>
            <w:pPr>
              <w:spacing w:after="0"/>
              <w:rPr>
                <w:sz w:val="16"/>
                <w:szCs w:val="16"/>
                <w:color w:val="auto"/>
              </w:rPr>
            </w:pPr>
          </w:p>
        </w:tc>
        <w:tc>
          <w:tcPr>
            <w:tcW w:w="2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Lease</w:t>
            </w:r>
          </w:p>
        </w:tc>
        <w:tc>
          <w:tcPr>
            <w:tcW w:w="3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Lease</w:t>
            </w: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remaining in 2024</w:t>
            </w:r>
          </w:p>
        </w:tc>
        <w:tc>
          <w:tcPr>
            <w:tcW w:w="23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10,985</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9,914</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8,922</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6,312</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13,089</w:t>
            </w:r>
          </w:p>
        </w:tc>
        <w:tc>
          <w:tcPr>
            <w:tcW w:w="0" w:type="dxa"/>
            <w:vAlign w:val="bottom"/>
          </w:tcPr>
          <w:p>
            <w:pPr>
              <w:spacing w:after="0"/>
              <w:rPr>
                <w:sz w:val="1"/>
                <w:szCs w:val="1"/>
                <w:color w:val="auto"/>
              </w:rPr>
            </w:pPr>
          </w:p>
        </w:tc>
      </w:tr>
      <w:tr>
        <w:trPr>
          <w:trHeight w:val="223"/>
        </w:trPr>
        <w:tc>
          <w:tcPr>
            <w:tcW w:w="42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payments</w:t>
            </w:r>
          </w:p>
        </w:tc>
        <w:tc>
          <w:tcPr>
            <w:tcW w:w="23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55,798</w:t>
            </w:r>
          </w:p>
        </w:tc>
        <w:tc>
          <w:tcPr>
            <w:tcW w:w="0" w:type="dxa"/>
            <w:vAlign w:val="bottom"/>
          </w:tcPr>
          <w:p>
            <w:pPr>
              <w:spacing w:after="0"/>
              <w:rPr>
                <w:sz w:val="1"/>
                <w:szCs w:val="1"/>
                <w:color w:val="auto"/>
              </w:rPr>
            </w:pPr>
          </w:p>
        </w:tc>
      </w:tr>
      <w:tr>
        <w:trPr>
          <w:trHeight w:val="230"/>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liability accretion / imputed interest</w:t>
            </w:r>
          </w:p>
        </w:tc>
        <w:tc>
          <w:tcPr>
            <w:tcW w:w="23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(10,302)</w:t>
            </w:r>
          </w:p>
        </w:tc>
        <w:tc>
          <w:tcPr>
            <w:tcW w:w="0" w:type="dxa"/>
            <w:vAlign w:val="bottom"/>
          </w:tcPr>
          <w:p>
            <w:pPr>
              <w:spacing w:after="0"/>
              <w:rPr>
                <w:sz w:val="1"/>
                <w:szCs w:val="1"/>
                <w:color w:val="auto"/>
              </w:rPr>
            </w:pPr>
          </w:p>
        </w:tc>
      </w:tr>
      <w:tr>
        <w:trPr>
          <w:trHeight w:val="223"/>
        </w:trPr>
        <w:tc>
          <w:tcPr>
            <w:tcW w:w="4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liabilities</w:t>
            </w:r>
          </w:p>
        </w:tc>
        <w:tc>
          <w:tcPr>
            <w:tcW w:w="2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45,496</w:t>
            </w:r>
          </w:p>
        </w:tc>
        <w:tc>
          <w:tcPr>
            <w:tcW w:w="0" w:type="dxa"/>
            <w:vAlign w:val="bottom"/>
          </w:tcPr>
          <w:p>
            <w:pPr>
              <w:spacing w:after="0"/>
              <w:rPr>
                <w:sz w:val="1"/>
                <w:szCs w:val="1"/>
                <w:color w:val="auto"/>
              </w:rPr>
            </w:pPr>
          </w:p>
        </w:tc>
      </w:tr>
      <w:tr>
        <w:trPr>
          <w:trHeight w:val="230"/>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lease liabilities</w:t>
            </w:r>
          </w:p>
        </w:tc>
        <w:tc>
          <w:tcPr>
            <w:tcW w:w="23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8,242</w:t>
            </w:r>
          </w:p>
        </w:tc>
        <w:tc>
          <w:tcPr>
            <w:tcW w:w="0" w:type="dxa"/>
            <w:vAlign w:val="bottom"/>
          </w:tcPr>
          <w:p>
            <w:pPr>
              <w:spacing w:after="0"/>
              <w:rPr>
                <w:sz w:val="1"/>
                <w:szCs w:val="1"/>
                <w:color w:val="auto"/>
              </w:rPr>
            </w:pPr>
          </w:p>
        </w:tc>
      </w:tr>
      <w:tr>
        <w:trPr>
          <w:trHeight w:val="248"/>
        </w:trPr>
        <w:tc>
          <w:tcPr>
            <w:tcW w:w="42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long-term lease liabilities</w:t>
            </w:r>
          </w:p>
        </w:tc>
        <w:tc>
          <w:tcPr>
            <w:tcW w:w="2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37,254</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bottom w:val="single" w:sz="8" w:color="CCEEFF"/>
            </w:tcBorders>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26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6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Long-Term Debt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Long-term debt consisted of the following at December 31, 2023 and June 30, 2023: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00" w:type="dxa"/>
            <w:vAlign w:val="bottom"/>
          </w:tcPr>
          <w:p>
            <w:pPr>
              <w:spacing w:after="0"/>
              <w:rPr>
                <w:sz w:val="16"/>
                <w:szCs w:val="16"/>
                <w:color w:val="auto"/>
              </w:rPr>
            </w:pPr>
          </w:p>
        </w:tc>
        <w:tc>
          <w:tcPr>
            <w:tcW w:w="108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4"/>
        </w:trPr>
        <w:tc>
          <w:tcPr>
            <w:tcW w:w="8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6"/>
        </w:trPr>
        <w:tc>
          <w:tcPr>
            <w:tcW w:w="8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80" w:type="dxa"/>
            <w:vAlign w:val="bottom"/>
          </w:tcPr>
          <w:p>
            <w:pPr>
              <w:spacing w:after="0"/>
              <w:rPr>
                <w:sz w:val="17"/>
                <w:szCs w:val="17"/>
                <w:color w:val="auto"/>
              </w:rPr>
            </w:pPr>
          </w:p>
        </w:tc>
      </w:tr>
      <w:tr>
        <w:trPr>
          <w:trHeight w:val="234"/>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borrowings: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Term Loan Facility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67,500</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Convertible term loan</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2,284</w:t>
            </w:r>
          </w:p>
        </w:tc>
      </w:tr>
      <w:tr>
        <w:trPr>
          <w:trHeight w:val="223"/>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debt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69,784</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maturities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63,162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64,844</w:t>
            </w:r>
          </w:p>
        </w:tc>
      </w:tr>
      <w:tr>
        <w:trPr>
          <w:trHeight w:val="20"/>
        </w:trPr>
        <w:tc>
          <w:tcPr>
            <w:tcW w:w="8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Credit Agreement</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March 8, 2021, the Company entered into a credit agreement (as amended, the “2021 Credit Agreement”) that replaced its prior credit agreement. The 2021 Credit Agreement consists of a senior secured term loan (the “Term Loan Facility”) of $75.0 million principal amount and a revolving credit facility (the “Revolving Credit Facility”) of $100.0 million maximum borrowing capacity, each with a maturity date of March 8, 2026. Borrowing capacity under the Revolving Credit Facility is subject to (i) any issued amounts under our letters of credit, which as of December 31, 2023 was $3.1 million, and</w:t>
      </w:r>
    </w:p>
    <w:p>
      <w:pPr>
        <w:spacing w:after="0" w:line="3" w:lineRule="exact"/>
        <w:rPr>
          <w:sz w:val="20"/>
          <w:szCs w:val="20"/>
          <w:color w:val="auto"/>
        </w:rPr>
      </w:pPr>
    </w:p>
    <w:p>
      <w:pPr>
        <w:jc w:val="both"/>
        <w:ind w:firstLine="8"/>
        <w:spacing w:after="0" w:line="255" w:lineRule="auto"/>
        <w:tabs>
          <w:tab w:leader="none" w:pos="27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covenant compliance restrictions and any other conditions precedent to borrowing. Loans under the 2021 Credit Agreement are secured by substantially all of the Company’s assets. Principal on the Term Loan Facility is paid each calendar quarter in an amount equal to 1.25% of the initial term loan on closing date.</w:t>
      </w:r>
    </w:p>
    <w:p>
      <w:pPr>
        <w:spacing w:after="0" w:line="18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Outstanding principal amounts under the 2021 Credit Agreement accrue interest at a variable interest rate. As of December 31, 2023, the interest rate on the Term Loan Facility was 7.30%. Under the terms of the 2021 Credit Agreement, the Revolving Credit Facility fee accrues at 0.25% of the average daily unused amount and is paid quarterly. As of December 31, 2023, we had no borrowings outstanding, $3.1 million of letters of credit issued, and $96.9 million of remaining capacity under the Revolving Credit Facility.</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2021 Credit Agreement requires the Company to meet certain operational and reporting requirements, including, but not limited to, a secured net leverage ratio. Additionally, annual capital expenditures and permitted investments, including acquisitions, are limited to amounts specified in the 2021 Credit Agreement. The 2021 Credit Agreement also provides certain restrictions on dividend payments and other equity transactions and requires the Company to make prepayments under specified circumstances. As of December 31, 2023, the Company was in compliance with the covenants of the 2021 Credit Agreement.</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deferred financing costs of $2.0 million are amortized over the term of the underlying debt and unamortized amounts have been offset against long-term debt in the condensed consolidated balance sheets. Total amortization of deferred financing costs was $0.1 million for each of the three months ended December 31, 2023 and 2022. Total amortization of deferred financing costs was $0.2 million for each of the six months ended December 31, 2023 and 2022.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Term Loan</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June 29, 2015, SH1 entered into a convertible term loan. Monthly principal and interest payments of $0.02 million commenced on September 1, 2015. The loan bears interest at an annual rate of 6.68%, with the remaining principal balance due upon maturity at August 20, 2030. The loan is secured by a deed of trust to Public Trustee, assignment of leases and rents, security agreements, and SH1’s fixture filing.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Liability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pays fixed premiums for annual professional liability insurance coverage under a claims-made policy. Under such policy, only claims made and reported to the insurer are covered during the policy term, regardless of when the incident giving rise to the claim occurred. The Company records claim liabilities and expected recoveries, if any, at gross amounts. The Company is not currently aware of any unasserted claims or unreported incidents that are expected to exceed medical malpractice insurance coverage limits.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From time to time, in the normal course of business, the Company is involved in, or subject to, legal proceedings related to its business, including those described below. The Company regularly evaluates the status of claims and legal proceedings in which it is involved in order to assess whether a loss is probable or there is a reasonable possibility that a loss may have been incurred, and to determine whether accruals are appropriate. The Company expenses legal costs as such costs are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Civil Investigative Demands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July 2021, the Company received a civil investigative demand from the Attorney General for the State of Colorado under the Colorado Medicaid False Claims Act. The demand requests information and documents regarding Medicaid billing, patient services and referrals in connection with the Company’s PACE program in Colorado. We continue to fully cooperate with the Attorney General and produce the requested information and documentation. We are currently unable to predict the outcome of this investigation.</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February 2022, the Company received a civil investigative demand from the Department of Justice (“DOJ”) under the Federal False Claims Act on similar subject matter. The demand requests information and documents regarding audits, billing, orders tracking, and quality and timeliness of patient services in connection with the Company’s PACE programs in the states where the Company operates (California, Colorado, New Mexico, Pennsylvania, and Virginia). In December 2022, the Company received a supplemental civil investigative demand requesting supplemental information on the same matters. The Company continues to fully cooperate with the DOJ and produce the requested information and documentation. We are currently unable to predict the outcome of this investigation.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Lawsuits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October 14, 2021, and subsequently amended on June 21, 2022, the Company was named as a defendant in a putative class action complaint filed in the District Court for the District of Colorado on behalf of individuals who purchased or acquired shares of the Company’s common stock during a specified period (the "Securities Action"). Through the complaint, plaintiffs are asserting claims against the Company, certain of the Company’s officers and directors, Apax Partners, L.P., Welsh, Carson, Anderson &amp; Stowe and the underwriters in the Company’s IPO, alleging violations of Sections 11, 12(a)</w:t>
      </w:r>
    </w:p>
    <w:p>
      <w:pPr>
        <w:spacing w:after="0" w:line="3" w:lineRule="exact"/>
        <w:rPr>
          <w:sz w:val="20"/>
          <w:szCs w:val="20"/>
          <w:color w:val="auto"/>
        </w:rPr>
      </w:pPr>
    </w:p>
    <w:p>
      <w:pPr>
        <w:jc w:val="both"/>
        <w:ind w:firstLine="8"/>
        <w:spacing w:after="0" w:line="253" w:lineRule="auto"/>
        <w:tabs>
          <w:tab w:leader="none" w:pos="28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15 of the Securities Act of 1933 and Sections 10(b) and 20(a) of the Securities Exchange Act of 1934 for making allegedly inaccurate and misleading statements and omissions in connection with the Company’s IPO and subsequent earnings calls and public filings, and seeking compensatory damages, among other things. On September 13, 2022, the Company and the officer and director defendants and Apax Partners, L.P. and Welsh, Carson, Anderson &amp; Stowe filed a motion to dismiss the amended complaint for failure to state a claim upon which relief can be granted. On December 22, 2023, the District Court granted in part and denied in part the motion to dismiss. The action is now proceeding to discovery.</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April 20, 2022, the Board of Directors of the Company received a books and records demand pursuant to Section 220 of the Delaware General Corporation Law, from a purported stockholder of the Company, Brian Hall, in connection with the stockholder’s investigation of, among other matters, potential breaches of fiduciary duty, mismanagement, self-dealing, corporate waste or other violations of law by the Company’s Board with respect to these matters. On May 15, 2023, Mr. Hall filed a lawsuit in the Delaware Court of Chancery asserting derivative claims for breach of fiduciary duty against certain of the Company’s current and former officers and directors generally relating to alleged failures by the defendants to take remedial actions to address the matters that resulted in sanctions by CMS at certain of the Company’s centers, and alleged misstatements in the Company’s public filings relating to those matters. On June 28, 2023, upon stipulation of the parties, the court entered an order staying the litigation pending the resolution of the motion to dismiss in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Securities Action or upon fifteen days’ notice by any party to the litigation. On January 22, 2024, upon stipulation of the parties, the court entered an order further staying the litigation pending the close of fact discovery in the Securities Action.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currently unable to predict the outcome of these matters.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third fiscal quarter of 2023, the Company agreed to settle a wage and hour class action lawsuit in the State of California for a cash payment of $1.2 million. Subsequently, the Company was notified of certain additional individual claims and has agreed to include such claims within the class. As a result, in October 2023, the Company agreed to increase the settlement amount to a total of $1.3 million. The agreement is subject to court approval, which we expect to occur in the second half of fiscal 2024.</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Because the results of legal proceedings and claims are inherently unpredictable and uncertain, we are currently unable to predict whether the legal proceedings we are involved in will, either individually or in the aggregate, have a material adverse effect on our business, financial condition, or cash flows. The outcomes of legal proceedings and claims could be material to the Company’s operating results for any particular period, depending in part, upon the operating results of such period. Regardless of the outcome, litigation has the potential to have an adverse impact on us due to any related defense and settlement costs, diversion of management resources, and other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Stock-based Compensation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summary of our aggregate stock-based compensation expense is set forth below. Stock-based compensation expense is included in corporate, general and administrative expenses on our condensed consolidated Statements of Operations.</w:t>
      </w:r>
    </w:p>
    <w:p>
      <w:pPr>
        <w:sectPr>
          <w:pgSz w:w="11900" w:h="16838" w:orient="portrait"/>
          <w:cols w:equalWidth="0" w:num="1">
            <w:col w:w="11240"/>
          </w:cols>
          <w:pgMar w:left="320" w:top="121" w:right="339" w:bottom="1440" w:gutter="0" w:footer="0" w:header="0"/>
        </w:sectPr>
      </w:pPr>
    </w:p>
    <w:p>
      <w:pPr>
        <w:spacing w:after="0" w:line="205" w:lineRule="exact"/>
        <w:rPr>
          <w:sz w:val="20"/>
          <w:szCs w:val="20"/>
          <w:color w:val="auto"/>
        </w:rPr>
      </w:pPr>
    </w:p>
    <w:p>
      <w:pPr>
        <w:jc w:val="center"/>
        <w:ind w:left="454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21590</wp:posOffset>
            </wp:positionV>
            <wp:extent cx="21170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26" w:lineRule="exact"/>
        <w:rPr>
          <w:sz w:val="20"/>
          <w:szCs w:val="20"/>
          <w:color w:val="auto"/>
        </w:rPr>
      </w:pPr>
    </w:p>
    <w:p>
      <w:pPr>
        <w:ind w:left="5120"/>
        <w:spacing w:after="0"/>
        <w:tabs>
          <w:tab w:leader="none" w:pos="6820" w:val="left"/>
        </w:tabs>
        <w:rPr>
          <w:sz w:val="20"/>
          <w:szCs w:val="20"/>
          <w:color w:val="auto"/>
        </w:rPr>
      </w:pPr>
      <w:r>
        <w:rPr>
          <w:rFonts w:ascii="Times New Roman" w:cs="Times New Roman" w:eastAsia="Times New Roman" w:hAnsi="Times New Roman"/>
          <w:sz w:val="16"/>
          <w:szCs w:val="16"/>
          <w:b w:val="1"/>
          <w:bCs w:val="1"/>
          <w:color w:val="auto"/>
        </w:rPr>
        <w:t>2023</w:t>
      </w:r>
      <w:r>
        <w:rPr>
          <w:sz w:val="20"/>
          <w:szCs w:val="20"/>
          <w:color w:val="auto"/>
        </w:rPr>
        <w:tab/>
      </w:r>
      <w:r>
        <w:rPr>
          <w:rFonts w:ascii="Times New Roman" w:cs="Times New Roman" w:eastAsia="Times New Roman" w:hAnsi="Times New Roman"/>
          <w:sz w:val="16"/>
          <w:szCs w:val="16"/>
          <w:b w:val="1"/>
          <w:bCs w:val="1"/>
          <w:color w:val="auto"/>
        </w:rPr>
        <w:t>2022</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21590</wp:posOffset>
            </wp:positionV>
            <wp:extent cx="21170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26"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16"/>
          <w:szCs w:val="16"/>
          <w:b w:val="1"/>
          <w:bCs w:val="1"/>
          <w:color w:val="auto"/>
        </w:rPr>
        <w:t>2023</w:t>
      </w:r>
      <w:r>
        <w:rPr>
          <w:sz w:val="20"/>
          <w:szCs w:val="20"/>
          <w:color w:val="auto"/>
        </w:rPr>
        <w:tab/>
      </w:r>
      <w:r>
        <w:rPr>
          <w:rFonts w:ascii="Times New Roman" w:cs="Times New Roman" w:eastAsia="Times New Roman" w:hAnsi="Times New Roman"/>
          <w:sz w:val="16"/>
          <w:szCs w:val="16"/>
          <w:b w:val="1"/>
          <w:bCs w:val="1"/>
          <w:color w:val="auto"/>
        </w:rPr>
        <w:t>2022</w:t>
      </w:r>
    </w:p>
    <w:p>
      <w:pPr>
        <w:spacing w:after="0" w:line="28" w:lineRule="exact"/>
        <w:rPr>
          <w:sz w:val="20"/>
          <w:szCs w:val="20"/>
          <w:color w:val="auto"/>
        </w:rPr>
      </w:pPr>
    </w:p>
    <w:p>
      <w:pPr>
        <w:sectPr>
          <w:pgSz w:w="11900" w:h="16838" w:orient="portrait"/>
          <w:cols w:equalWidth="0" w:num="2">
            <w:col w:w="7740" w:space="720"/>
            <w:col w:w="27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44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860" w:type="dxa"/>
            <w:vAlign w:val="bottom"/>
            <w:tcBorders>
              <w:top w:val="single" w:sz="8" w:color="auto"/>
            </w:tcBorders>
          </w:tcPr>
          <w:p>
            <w:pPr>
              <w:spacing w:after="0"/>
              <w:rPr>
                <w:sz w:val="18"/>
                <w:szCs w:val="18"/>
                <w:color w:val="auto"/>
              </w:rPr>
            </w:pPr>
          </w:p>
        </w:tc>
      </w:tr>
      <w:tr>
        <w:trPr>
          <w:trHeight w:val="273"/>
        </w:trPr>
        <w:tc>
          <w:tcPr>
            <w:tcW w:w="4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3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Profits interests units</w:t>
            </w:r>
          </w:p>
        </w:tc>
        <w:tc>
          <w:tcPr>
            <w:tcW w:w="6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3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6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r>
      <w:tr>
        <w:trPr>
          <w:trHeight w:val="223"/>
        </w:trPr>
        <w:tc>
          <w:tcPr>
            <w:tcW w:w="4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8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w:t>
            </w:r>
          </w:p>
        </w:tc>
      </w:tr>
      <w:tr>
        <w:trPr>
          <w:trHeight w:val="20"/>
        </w:trPr>
        <w:tc>
          <w:tcPr>
            <w:tcW w:w="44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Equity Incentive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Profits Interests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TCO Group Holdings, L.P. (the “LP”), the Company’s largest shareholder and prior to the IPO, the Company’s parent, maintains the TCO Group Holdings, L.P. Equity Incentive Plan (the "2020 Equity Incentive Plan") pursuant to which interests in the LP in the form of Class B Units (profits interests) can be granted to employees, directors, consultants, advisers, and other service providers (including partners) of the LP or any of its affiliates, including the Company. A maximum number of 16,162,177 Class B Units are authorized for grant under the 2020 Equity Incentive Plan, and both performance-based and time-based units have been issued under the plan. As of December 31, 2023, a total of 15,222,837 profits interests units had been granted under the 2020 Equity Incentive Plan.</w:t>
      </w:r>
    </w:p>
    <w:p>
      <w:pPr>
        <w:spacing w:after="0" w:line="187"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Company used the Monte Carlo option model to determine the fair value of the profits interests units at the time of the grant. A total of 2,213,700 Class B Units were awarded during the six months ended December 31, 2023 to the Company's Chief Executive Officer, Chief Financial Officer, and Chief Legal Officer. The assumptions under the Monte Carlo model related to the profits interests units, presented on a weighted-average basis, are provided below:</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8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74.0-76.0</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life (years) - time vesting units</w:t>
            </w: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3.0 - 3.1</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w:t>
            </w:r>
          </w:p>
        </w:tc>
        <w:tc>
          <w:tcPr>
            <w:tcW w:w="8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4.52 - 4.57 %</w:t>
            </w:r>
          </w:p>
        </w:tc>
        <w:tc>
          <w:tcPr>
            <w:tcW w:w="0" w:type="dxa"/>
            <w:vAlign w:val="bottom"/>
          </w:tcPr>
          <w:p>
            <w:pPr>
              <w:spacing w:after="0"/>
              <w:rPr>
                <w:sz w:val="1"/>
                <w:szCs w:val="1"/>
                <w:color w:val="auto"/>
              </w:rPr>
            </w:pP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fair value</w:t>
            </w:r>
          </w:p>
        </w:tc>
        <w:tc>
          <w:tcPr>
            <w:tcW w:w="800" w:type="dxa"/>
            <w:vAlign w:val="bottom"/>
            <w:shd w:val="clear" w:color="auto" w:fill="CCEEFF"/>
          </w:tcPr>
          <w:p>
            <w:pPr>
              <w:jc w:val="center"/>
              <w:ind w:left="57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1.95 - 2.17</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of underlying stock</w:t>
            </w:r>
          </w:p>
        </w:tc>
        <w:tc>
          <w:tcPr>
            <w:tcW w:w="80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5.53 - 7.27</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8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 summary of profits interests activity for the six months ended December 31, 2023 is as follows:</w:t>
            </w: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Time-based unit awards</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214"/>
        </w:trPr>
        <w:tc>
          <w:tcPr>
            <w:tcW w:w="8180" w:type="dxa"/>
            <w:vAlign w:val="bottom"/>
            <w:gridSpan w:val="2"/>
            <w:vMerge w:val="continue"/>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00" w:type="dxa"/>
            <w:vAlign w:val="bottom"/>
          </w:tcPr>
          <w:p>
            <w:pPr>
              <w:spacing w:after="0"/>
              <w:rPr>
                <w:sz w:val="18"/>
                <w:szCs w:val="18"/>
                <w:color w:val="auto"/>
              </w:rPr>
            </w:pP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grant date fair value</w:t>
            </w:r>
          </w:p>
        </w:tc>
        <w:tc>
          <w:tcPr>
            <w:tcW w:w="0" w:type="dxa"/>
            <w:vAlign w:val="bottom"/>
          </w:tcPr>
          <w:p>
            <w:pPr>
              <w:spacing w:after="0"/>
              <w:rPr>
                <w:sz w:val="1"/>
                <w:szCs w:val="1"/>
                <w:color w:val="auto"/>
              </w:rPr>
            </w:pPr>
          </w:p>
        </w:tc>
      </w:tr>
      <w:tr>
        <w:trPr>
          <w:trHeight w:val="252"/>
        </w:trPr>
        <w:tc>
          <w:tcPr>
            <w:tcW w:w="8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June 30, 2023</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1,264,337</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30"/>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1,106,850</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(380,679)</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(703,395)</w:t>
            </w:r>
          </w:p>
        </w:tc>
        <w:tc>
          <w:tcPr>
            <w:tcW w:w="2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December 31, 2023</w:t>
            </w:r>
          </w:p>
        </w:tc>
        <w:tc>
          <w:tcPr>
            <w:tcW w:w="1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1,287,113</w:t>
            </w:r>
          </w:p>
        </w:tc>
        <w:tc>
          <w:tcPr>
            <w:tcW w:w="2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Performance-based unit awards</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30"/>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214"/>
        </w:trPr>
        <w:tc>
          <w:tcPr>
            <w:tcW w:w="8180" w:type="dxa"/>
            <w:vAlign w:val="bottom"/>
            <w:gridSpan w:val="2"/>
            <w:vMerge w:val="continue"/>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00" w:type="dxa"/>
            <w:vAlign w:val="bottom"/>
          </w:tcPr>
          <w:p>
            <w:pPr>
              <w:spacing w:after="0"/>
              <w:rPr>
                <w:sz w:val="18"/>
                <w:szCs w:val="18"/>
                <w:color w:val="auto"/>
              </w:rPr>
            </w:pP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grant date fair value</w:t>
            </w:r>
          </w:p>
        </w:tc>
        <w:tc>
          <w:tcPr>
            <w:tcW w:w="0" w:type="dxa"/>
            <w:vAlign w:val="bottom"/>
          </w:tcPr>
          <w:p>
            <w:pPr>
              <w:spacing w:after="0"/>
              <w:rPr>
                <w:sz w:val="1"/>
                <w:szCs w:val="1"/>
                <w:color w:val="auto"/>
              </w:rPr>
            </w:pPr>
          </w:p>
        </w:tc>
      </w:tr>
      <w:tr>
        <w:trPr>
          <w:trHeight w:val="252"/>
        </w:trPr>
        <w:tc>
          <w:tcPr>
            <w:tcW w:w="8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June 30, 2023</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2,118,558</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0" w:type="dxa"/>
            <w:vAlign w:val="bottom"/>
          </w:tcPr>
          <w:p>
            <w:pPr>
              <w:spacing w:after="0"/>
              <w:rPr>
                <w:sz w:val="1"/>
                <w:szCs w:val="1"/>
                <w:color w:val="auto"/>
              </w:rPr>
            </w:pPr>
          </w:p>
        </w:tc>
      </w:tr>
      <w:tr>
        <w:trPr>
          <w:trHeight w:val="230"/>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1,106,850</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(1,853,737)</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8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December 31, 2023</w:t>
            </w:r>
          </w:p>
        </w:tc>
        <w:tc>
          <w:tcPr>
            <w:tcW w:w="1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1,371,671</w:t>
            </w:r>
          </w:p>
        </w:tc>
        <w:tc>
          <w:tcPr>
            <w:tcW w:w="2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total unrecognized compensation cost related to profits interests units outstanding as of December 31, 2023 was $4.0 million, comprised (i) $1.8 million related to time-based unit awards expected to be recognized over a weighted-average period of 2.9 years and (ii) $2.2 million related to performance-based unit awards, which will be recorded when it is probable that the performance-based criteria will be met.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Omnibus Incentive Plan</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March 2021, the compensation committee of our Board of Directors approved the InnovAge Holding Corp. 2021 Omnibus Incentive Plan (the “2021 Omnibus Incentive Plan”), pursuant to which various stock-based awards may be granted to employees, directors, consultants, and advisers. The total number of shares of the Company’s common stock authorized under the 2021 Omnibus Incentive Plan is 14,700,000. The Company has issued time-based restricted stock units under this plan to its employees which generally vest (i) on March 4, 2023, the second anniversary of the grant date, or (ii) over a three-year period with one-third vesting on each anniversary of the date of grant. Certain other vesting periods have also been used. The grant date fair value of restricted stock units with time based vesting is based on the closing market price of our common stock on the date of grant. Certain awards under this plan vest upon achieving specific share price performance criteria and are determined to have performance-based vesting conditions. The Company has also issued time-based stock options under this plan to its employees which generally vest at various intervals over a three-year period.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time-based vesting restricted stock units activity for the six months ended December 31, 2023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8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vMerge w:val="restart"/>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260" w:type="dxa"/>
            <w:vAlign w:val="bottom"/>
          </w:tcPr>
          <w:p>
            <w:pPr>
              <w:spacing w:after="0"/>
              <w:rPr>
                <w:sz w:val="14"/>
                <w:szCs w:val="14"/>
                <w:color w:val="auto"/>
              </w:rPr>
            </w:pPr>
          </w:p>
        </w:tc>
        <w:tc>
          <w:tcPr>
            <w:tcW w:w="1320" w:type="dxa"/>
            <w:vAlign w:val="bottom"/>
          </w:tcPr>
          <w:p>
            <w:pPr>
              <w:jc w:val="center"/>
              <w:ind w:right="94"/>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Restricted stock units - time based</w:t>
            </w:r>
          </w:p>
        </w:tc>
        <w:tc>
          <w:tcPr>
            <w:tcW w:w="14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center"/>
              <w:ind w:right="94"/>
              <w:spacing w:after="0" w:line="162" w:lineRule="exact"/>
              <w:rPr>
                <w:sz w:val="20"/>
                <w:szCs w:val="20"/>
                <w:color w:val="auto"/>
              </w:rPr>
            </w:pPr>
            <w:r>
              <w:rPr>
                <w:rFonts w:ascii="Times New Roman" w:cs="Times New Roman" w:eastAsia="Times New Roman" w:hAnsi="Times New Roman"/>
                <w:sz w:val="16"/>
                <w:szCs w:val="16"/>
                <w:b w:val="1"/>
                <w:bCs w:val="1"/>
                <w:color w:val="auto"/>
              </w:rPr>
              <w:t>grant-date fair</w:t>
            </w:r>
          </w:p>
        </w:tc>
        <w:tc>
          <w:tcPr>
            <w:tcW w:w="0" w:type="dxa"/>
            <w:vAlign w:val="bottom"/>
          </w:tcPr>
          <w:p>
            <w:pPr>
              <w:spacing w:after="0"/>
              <w:rPr>
                <w:sz w:val="1"/>
                <w:szCs w:val="1"/>
                <w:color w:val="auto"/>
              </w:rPr>
            </w:pPr>
          </w:p>
        </w:tc>
      </w:tr>
      <w:tr>
        <w:trPr>
          <w:trHeight w:val="214"/>
        </w:trPr>
        <w:tc>
          <w:tcPr>
            <w:tcW w:w="8180" w:type="dxa"/>
            <w:vAlign w:val="bottom"/>
            <w:gridSpan w:val="2"/>
            <w:vMerge w:val="continue"/>
          </w:tcPr>
          <w:p>
            <w:pPr>
              <w:spacing w:after="0"/>
              <w:rPr>
                <w:sz w:val="18"/>
                <w:szCs w:val="18"/>
                <w:color w:val="auto"/>
              </w:rPr>
            </w:pPr>
          </w:p>
        </w:tc>
        <w:tc>
          <w:tcPr>
            <w:tcW w:w="148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260" w:type="dxa"/>
            <w:vAlign w:val="bottom"/>
          </w:tcPr>
          <w:p>
            <w:pPr>
              <w:spacing w:after="0"/>
              <w:rPr>
                <w:sz w:val="18"/>
                <w:szCs w:val="18"/>
                <w:color w:val="auto"/>
              </w:rPr>
            </w:pPr>
          </w:p>
        </w:tc>
        <w:tc>
          <w:tcPr>
            <w:tcW w:w="132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rPr>
              <w:t>value per share</w:t>
            </w:r>
          </w:p>
        </w:tc>
        <w:tc>
          <w:tcPr>
            <w:tcW w:w="0" w:type="dxa"/>
            <w:vAlign w:val="bottom"/>
          </w:tcPr>
          <w:p>
            <w:pPr>
              <w:spacing w:after="0"/>
              <w:rPr>
                <w:sz w:val="1"/>
                <w:szCs w:val="1"/>
                <w:color w:val="auto"/>
              </w:rPr>
            </w:pPr>
          </w:p>
        </w:tc>
      </w:tr>
      <w:tr>
        <w:trPr>
          <w:trHeight w:val="252"/>
        </w:trPr>
        <w:tc>
          <w:tcPr>
            <w:tcW w:w="8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June 30, 2023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1,873,794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29"/>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437,248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(329,707)</w:t>
            </w:r>
          </w:p>
        </w:tc>
        <w:tc>
          <w:tcPr>
            <w:tcW w:w="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December 31, 2023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1,957,842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total unrecognized compensation cost related to time based restricted stock units outstanding as of December 31, 2023 was $7.6 million and is expected to be recognized over a weighted-average period of 1.9 years.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performance based vesting restricted stock units activity for the six months ended December 31, 2023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8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vMerge w:val="restart"/>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94"/>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Restricted stock units - performance based</w:t>
            </w: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94"/>
              <w:spacing w:after="0" w:line="162" w:lineRule="exact"/>
              <w:rPr>
                <w:sz w:val="20"/>
                <w:szCs w:val="20"/>
                <w:color w:val="auto"/>
              </w:rPr>
            </w:pPr>
            <w:r>
              <w:rPr>
                <w:rFonts w:ascii="Times New Roman" w:cs="Times New Roman" w:eastAsia="Times New Roman" w:hAnsi="Times New Roman"/>
                <w:sz w:val="16"/>
                <w:szCs w:val="16"/>
                <w:b w:val="1"/>
                <w:bCs w:val="1"/>
                <w:color w:val="auto"/>
              </w:rPr>
              <w:t>grant-date fair</w:t>
            </w:r>
          </w:p>
        </w:tc>
        <w:tc>
          <w:tcPr>
            <w:tcW w:w="0" w:type="dxa"/>
            <w:vAlign w:val="bottom"/>
          </w:tcPr>
          <w:p>
            <w:pPr>
              <w:spacing w:after="0"/>
              <w:rPr>
                <w:sz w:val="1"/>
                <w:szCs w:val="1"/>
                <w:color w:val="auto"/>
              </w:rPr>
            </w:pPr>
          </w:p>
        </w:tc>
      </w:tr>
      <w:tr>
        <w:trPr>
          <w:trHeight w:val="214"/>
        </w:trPr>
        <w:tc>
          <w:tcPr>
            <w:tcW w:w="8180" w:type="dxa"/>
            <w:vAlign w:val="bottom"/>
            <w:gridSpan w:val="2"/>
            <w:vMerge w:val="continue"/>
          </w:tcPr>
          <w:p>
            <w:pPr>
              <w:spacing w:after="0"/>
              <w:rPr>
                <w:sz w:val="18"/>
                <w:szCs w:val="18"/>
                <w:color w:val="auto"/>
              </w:rPr>
            </w:pPr>
          </w:p>
        </w:tc>
        <w:tc>
          <w:tcPr>
            <w:tcW w:w="148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rPr>
              <w:t>value per share</w:t>
            </w:r>
          </w:p>
        </w:tc>
        <w:tc>
          <w:tcPr>
            <w:tcW w:w="0" w:type="dxa"/>
            <w:vAlign w:val="bottom"/>
          </w:tcPr>
          <w:p>
            <w:pPr>
              <w:spacing w:after="0"/>
              <w:rPr>
                <w:sz w:val="1"/>
                <w:szCs w:val="1"/>
                <w:color w:val="auto"/>
              </w:rPr>
            </w:pPr>
          </w:p>
        </w:tc>
      </w:tr>
      <w:tr>
        <w:trPr>
          <w:trHeight w:val="252"/>
        </w:trPr>
        <w:tc>
          <w:tcPr>
            <w:tcW w:w="8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June 30, 2023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258,767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30"/>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December 31, 2023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258,767</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total unrecognized compensation cost related to performance based vesting restricted stock units outstanding as of December 31, 2023 was $0.6 million and is expected to be recognized over a weighted-average period of 1.9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Nonqualified Stock Options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time-based vesting stock option activity for the six months ended December 31, 2023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6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42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vMerge w:val="restart"/>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93"/>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42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Stock options - time based</w:t>
            </w:r>
          </w:p>
        </w:tc>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93"/>
              <w:spacing w:after="0" w:line="162" w:lineRule="exact"/>
              <w:rPr>
                <w:sz w:val="20"/>
                <w:szCs w:val="20"/>
                <w:color w:val="auto"/>
              </w:rPr>
            </w:pPr>
            <w:r>
              <w:rPr>
                <w:rFonts w:ascii="Times New Roman" w:cs="Times New Roman" w:eastAsia="Times New Roman" w:hAnsi="Times New Roman"/>
                <w:sz w:val="16"/>
                <w:szCs w:val="16"/>
                <w:b w:val="1"/>
                <w:bCs w:val="1"/>
                <w:color w:val="auto"/>
              </w:rPr>
              <w:t>grant-date fair</w:t>
            </w:r>
          </w:p>
        </w:tc>
        <w:tc>
          <w:tcPr>
            <w:tcW w:w="0" w:type="dxa"/>
            <w:vAlign w:val="bottom"/>
          </w:tcPr>
          <w:p>
            <w:pPr>
              <w:spacing w:after="0"/>
              <w:rPr>
                <w:sz w:val="1"/>
                <w:szCs w:val="1"/>
                <w:color w:val="auto"/>
              </w:rPr>
            </w:pPr>
          </w:p>
        </w:tc>
      </w:tr>
      <w:tr>
        <w:trPr>
          <w:trHeight w:val="214"/>
        </w:trPr>
        <w:tc>
          <w:tcPr>
            <w:tcW w:w="4260" w:type="dxa"/>
            <w:vAlign w:val="bottom"/>
            <w:tcBorders>
              <w:bottom w:val="single" w:sz="8" w:color="auto"/>
            </w:tcBorders>
            <w:vMerge w:val="continue"/>
          </w:tcPr>
          <w:p>
            <w:pPr>
              <w:spacing w:after="0"/>
              <w:rPr>
                <w:sz w:val="18"/>
                <w:szCs w:val="18"/>
                <w:color w:val="auto"/>
              </w:rPr>
            </w:pPr>
          </w:p>
        </w:tc>
        <w:tc>
          <w:tcPr>
            <w:tcW w:w="3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value per share</w:t>
            </w:r>
          </w:p>
        </w:tc>
        <w:tc>
          <w:tcPr>
            <w:tcW w:w="0" w:type="dxa"/>
            <w:vAlign w:val="bottom"/>
          </w:tcPr>
          <w:p>
            <w:pPr>
              <w:spacing w:after="0"/>
              <w:rPr>
                <w:sz w:val="1"/>
                <w:szCs w:val="1"/>
                <w:color w:val="auto"/>
              </w:rPr>
            </w:pPr>
          </w:p>
        </w:tc>
      </w:tr>
      <w:tr>
        <w:trPr>
          <w:trHeight w:val="252"/>
        </w:trPr>
        <w:tc>
          <w:tcPr>
            <w:tcW w:w="426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June 30, 2023</w:t>
            </w:r>
          </w:p>
        </w:tc>
        <w:tc>
          <w:tcPr>
            <w:tcW w:w="5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716,661</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3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3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3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3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balance, December 31, 2023</w:t>
            </w:r>
          </w:p>
        </w:tc>
        <w:tc>
          <w:tcPr>
            <w:tcW w:w="5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716,661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60" w:type="dxa"/>
            <w:vAlign w:val="bottom"/>
            <w:shd w:val="clear" w:color="auto" w:fill="CCEEFF"/>
          </w:tcPr>
          <w:p>
            <w:pPr>
              <w:spacing w:after="0"/>
              <w:rPr>
                <w:sz w:val="20"/>
                <w:szCs w:val="20"/>
                <w:color w:val="auto"/>
              </w:rPr>
            </w:pPr>
          </w:p>
        </w:tc>
        <w:tc>
          <w:tcPr>
            <w:tcW w:w="3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balance, December 31, 2023</w:t>
            </w:r>
          </w:p>
        </w:tc>
        <w:tc>
          <w:tcPr>
            <w:tcW w:w="5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330,761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900"/>
        </w:trPr>
        <w:tc>
          <w:tcPr>
            <w:tcW w:w="4260" w:type="dxa"/>
            <w:vAlign w:val="bottom"/>
          </w:tcPr>
          <w:p>
            <w:pPr>
              <w:spacing w:after="0"/>
              <w:rPr>
                <w:sz w:val="24"/>
                <w:szCs w:val="24"/>
                <w:color w:val="auto"/>
              </w:rPr>
            </w:pPr>
          </w:p>
        </w:tc>
        <w:tc>
          <w:tcPr>
            <w:tcW w:w="3820" w:type="dxa"/>
            <w:vAlign w:val="bottom"/>
          </w:tcPr>
          <w:p>
            <w:pPr>
              <w:jc w:val="right"/>
              <w:ind w:right="227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60" w:type="dxa"/>
            <w:vAlign w:val="bottom"/>
            <w:tcBorders>
              <w:bottom w:val="single" w:sz="8" w:color="9A9A9A"/>
            </w:tcBorders>
          </w:tcPr>
          <w:p>
            <w:pPr>
              <w:spacing w:after="0"/>
              <w:rPr>
                <w:sz w:val="10"/>
                <w:szCs w:val="10"/>
                <w:color w:val="auto"/>
              </w:rPr>
            </w:pPr>
          </w:p>
        </w:tc>
        <w:tc>
          <w:tcPr>
            <w:tcW w:w="3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total unrecognized compensation cost related to time-based vesting stock options outstanding as of December 31, 2023 was $0.2 million and is expected to be recognized over a weighted-average period of 1.8 years.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performance-based vesting stock option activity for the six months ended December 31, 2023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8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vMerge w:val="restart"/>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94"/>
              <w:spacing w:after="0" w:line="162" w:lineRule="exact"/>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Stock options - performance based</w:t>
            </w: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94"/>
              <w:spacing w:after="0" w:line="162" w:lineRule="exact"/>
              <w:rPr>
                <w:sz w:val="20"/>
                <w:szCs w:val="20"/>
                <w:color w:val="auto"/>
              </w:rPr>
            </w:pPr>
            <w:r>
              <w:rPr>
                <w:rFonts w:ascii="Times New Roman" w:cs="Times New Roman" w:eastAsia="Times New Roman" w:hAnsi="Times New Roman"/>
                <w:sz w:val="16"/>
                <w:szCs w:val="16"/>
                <w:b w:val="1"/>
                <w:bCs w:val="1"/>
                <w:color w:val="auto"/>
              </w:rPr>
              <w:t>grant-date fair</w:t>
            </w:r>
          </w:p>
        </w:tc>
        <w:tc>
          <w:tcPr>
            <w:tcW w:w="0" w:type="dxa"/>
            <w:vAlign w:val="bottom"/>
          </w:tcPr>
          <w:p>
            <w:pPr>
              <w:spacing w:after="0"/>
              <w:rPr>
                <w:sz w:val="1"/>
                <w:szCs w:val="1"/>
                <w:color w:val="auto"/>
              </w:rPr>
            </w:pPr>
          </w:p>
        </w:tc>
      </w:tr>
      <w:tr>
        <w:trPr>
          <w:trHeight w:val="214"/>
        </w:trPr>
        <w:tc>
          <w:tcPr>
            <w:tcW w:w="8180" w:type="dxa"/>
            <w:vAlign w:val="bottom"/>
            <w:gridSpan w:val="2"/>
            <w:vMerge w:val="continue"/>
          </w:tcPr>
          <w:p>
            <w:pPr>
              <w:spacing w:after="0"/>
              <w:rPr>
                <w:sz w:val="18"/>
                <w:szCs w:val="18"/>
                <w:color w:val="auto"/>
              </w:rPr>
            </w:pPr>
          </w:p>
        </w:tc>
        <w:tc>
          <w:tcPr>
            <w:tcW w:w="148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rPr>
              <w:t>value per share</w:t>
            </w:r>
          </w:p>
        </w:tc>
        <w:tc>
          <w:tcPr>
            <w:tcW w:w="0" w:type="dxa"/>
            <w:vAlign w:val="bottom"/>
          </w:tcPr>
          <w:p>
            <w:pPr>
              <w:spacing w:after="0"/>
              <w:rPr>
                <w:sz w:val="1"/>
                <w:szCs w:val="1"/>
                <w:color w:val="auto"/>
              </w:rPr>
            </w:pPr>
          </w:p>
        </w:tc>
      </w:tr>
      <w:tr>
        <w:trPr>
          <w:trHeight w:val="252"/>
        </w:trPr>
        <w:tc>
          <w:tcPr>
            <w:tcW w:w="8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June 30, 2023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776,299</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29"/>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balance, December 31, 2023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776,299</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total unrecognized compensation cost related to performance-based vesting stock options outstanding as of December 31, 2023 was $1.1 million and is expected to be recognized over a weighted-average period of 2.0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Acquisitions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December 1, 2023, the Company acquired all of the issued and outstanding membership interests of two California-based PACE programs,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ConcertoCare PACE of Bakersfield, LLC and ConcertoHealth PACE of Los Angeles, LLC (collectively "Concerto"), from Perfect Health, Inc. d/b/a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ConcertoCare, a tech-enabled, value-based provider of at-home, comprehensive care for seniors and other adults with unmet health and social needs,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$23.9 million. We believe the Concerto acquisition compliments our California PACE centers. The acquisition was funded through cash on hand. Results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from the acquisition are included in our condensed consolidated Statements of Operations for the three and six months ended December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and were not significant to our results. We incurred costs related to the acquisition of approximately $0.1 million during the six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Acquisition related costs were expensed as incurred and have been recorded in corporate, general and administrative expenses in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p>
      <w:pPr>
        <w:spacing w:after="0" w:line="20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Concerto acquisition was accounted for using the purchase method of accounting. The purchase price has been preliminarily allocated to the assets acquired and liabilities assumed based on their estimated fair values at the date of acquisition. The fair values of assets acquired and liabilities assumed may change as the valuation of intangible assets and overall purchase price allocation is being finalized. Goodwill represents the excess of the purchase price over the fair value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of net assets acquired. Goodwill recognized represents the estimated future economic benefits arising from expected growth opportunities for the Company and is not deductible for income tax purposes.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a preliminary allocation of the purchase price to the assets acquired and liabilities assumed as of the acquisition date:</w:t>
      </w:r>
    </w:p>
    <w:p>
      <w:pPr>
        <w:spacing w:after="0" w:line="248" w:lineRule="exact"/>
        <w:rPr>
          <w:sz w:val="20"/>
          <w:szCs w:val="20"/>
          <w:color w:val="auto"/>
        </w:rPr>
      </w:pPr>
    </w:p>
    <w:tbl>
      <w:tblPr>
        <w:tblLayout w:type="fixed"/>
        <w:tblInd w:w="340" w:type="dxa"/>
        <w:tblCellMar>
          <w:top w:w="0" w:type="dxa"/>
          <w:left w:w="0" w:type="dxa"/>
          <w:bottom w:w="0" w:type="dxa"/>
          <w:right w:w="0" w:type="dxa"/>
        </w:tblCellMar>
      </w:tblPr>
      <w:tr>
        <w:trPr>
          <w:trHeight w:val="184"/>
        </w:trPr>
        <w:tc>
          <w:tcPr>
            <w:tcW w:w="9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rPr>
              <w:t>December 1,</w:t>
            </w:r>
          </w:p>
        </w:tc>
      </w:tr>
      <w:tr>
        <w:trPr>
          <w:trHeight w:val="214"/>
        </w:trPr>
        <w:tc>
          <w:tcPr>
            <w:tcW w:w="9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09"/>
        </w:trPr>
        <w:tc>
          <w:tcPr>
            <w:tcW w:w="9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92"/>
              <w:spacing w:after="0"/>
              <w:rPr>
                <w:sz w:val="20"/>
                <w:szCs w:val="20"/>
                <w:color w:val="auto"/>
              </w:rPr>
            </w:pPr>
            <w:r>
              <w:rPr>
                <w:rFonts w:ascii="Times New Roman" w:cs="Times New Roman" w:eastAsia="Times New Roman" w:hAnsi="Times New Roman"/>
                <w:sz w:val="16"/>
                <w:szCs w:val="16"/>
                <w:i w:val="1"/>
                <w:iCs w:val="1"/>
                <w:color w:val="auto"/>
              </w:rPr>
              <w:t>in thousands</w:t>
            </w:r>
          </w:p>
        </w:tc>
      </w:tr>
      <w:tr>
        <w:trPr>
          <w:trHeight w:val="231"/>
        </w:trPr>
        <w:tc>
          <w:tcPr>
            <w:tcW w:w="9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Consideration</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23,916</w:t>
            </w:r>
          </w:p>
        </w:tc>
      </w:tr>
      <w:tr>
        <w:trPr>
          <w:trHeight w:val="223"/>
        </w:trPr>
        <w:tc>
          <w:tcPr>
            <w:tcW w:w="9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Consideration</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23,916</w:t>
            </w:r>
          </w:p>
        </w:tc>
      </w:tr>
      <w:tr>
        <w:trPr>
          <w:trHeight w:val="20"/>
        </w:trPr>
        <w:tc>
          <w:tcPr>
            <w:tcW w:w="93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9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9"/>
        </w:trPr>
        <w:tc>
          <w:tcPr>
            <w:tcW w:w="9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r>
      <w:tr>
        <w:trPr>
          <w:trHeight w:val="229"/>
        </w:trPr>
        <w:tc>
          <w:tcPr>
            <w:tcW w:w="9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30"/>
        </w:trPr>
        <w:tc>
          <w:tcPr>
            <w:tcW w:w="9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7,969</w:t>
            </w:r>
          </w:p>
        </w:tc>
      </w:tr>
      <w:tr>
        <w:trPr>
          <w:trHeight w:val="229"/>
        </w:trPr>
        <w:tc>
          <w:tcPr>
            <w:tcW w:w="9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6,892</w:t>
            </w:r>
          </w:p>
        </w:tc>
      </w:tr>
      <w:tr>
        <w:trPr>
          <w:trHeight w:val="229"/>
        </w:trPr>
        <w:tc>
          <w:tcPr>
            <w:tcW w:w="9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17,348</w:t>
            </w:r>
          </w:p>
        </w:tc>
      </w:tr>
      <w:tr>
        <w:trPr>
          <w:trHeight w:val="230"/>
        </w:trPr>
        <w:tc>
          <w:tcPr>
            <w:tcW w:w="9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 and other</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29"/>
        </w:trPr>
        <w:tc>
          <w:tcPr>
            <w:tcW w:w="9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30"/>
        </w:trPr>
        <w:tc>
          <w:tcPr>
            <w:tcW w:w="9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and estimated claims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9"/>
        </w:trPr>
        <w:tc>
          <w:tcPr>
            <w:tcW w:w="9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(8,941)</w:t>
            </w:r>
          </w:p>
        </w:tc>
      </w:tr>
      <w:tr>
        <w:trPr>
          <w:trHeight w:val="229"/>
        </w:trPr>
        <w:tc>
          <w:tcPr>
            <w:tcW w:w="9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3"/>
        </w:trPr>
        <w:tc>
          <w:tcPr>
            <w:tcW w:w="9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Fair value of assets and liabilities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23,916</w:t>
            </w:r>
          </w:p>
        </w:tc>
      </w:tr>
      <w:tr>
        <w:trPr>
          <w:trHeight w:val="20"/>
        </w:trPr>
        <w:tc>
          <w:tcPr>
            <w:tcW w:w="9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Income Taxes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recorded an income tax expense of $0.1 million and an income tax benefit of $2.9 million for the three months ended December 31, 2023 and 2022, respectively. The Company recorded an income tax expense of $0.3 million and an income tax benefit of $6.4 million for the six months ended December 31, 2023 and 2022, respectively. This represents an effective tax rate of (2.5)% and 20.9% for the three months ended December 31, 2023 and 2022, respectively. This represents an effective tax rate of (2.2)% and 20.9% for the six months ended December 31, 2023 and 2022, respectively.</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effective rate for the six months ended December 31, 2023 was different from the federal statutory rate primarily due to the Company’s book loss offset partially by disallowed officers’ compensation under Internal Revenue Code (“IRC”) Section 162(m), disallowed stock options related to the profit interest units, exclusion of losses from entities not subject to tax, lobbying expenses, and the increase in the Company's valuation allowance against Net operating losses which occurred during the three-month period.</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assesses the valuation allowance recorded against deferred tax assets at each reporting date. The determination of whether a valuation allowance for deferred tax assets is appropriate requires the evaluation of positive and negative evidence that can be objectively verified. Consideration must be given to all sources of taxable income available to realize deferred tax assets, including, as applicable, the future reversal of existing temporary differences, future taxable income forecasts exclusive of the reversal of temporary differences and carryforwards, taxable income in carryback years and tax planning strategies. In estimating income taxes, the Company assesses the relative merits and risks of the appropriate income tax treatment of transactions taking into account statutory, judicial, and regulatory guidance. As of the six-month period ended December 31, 2023, the Company determined that it is not “more likely than not” that the deferred tax assets associated with certain state net operating losses will be realized and as such continues to maintain a valuation allowance against these state deferred tax assets. The Company also determined it is not "more likely than not" that the deferred tax assets associated with certain federal net operating losses will be realized and as such has included a valuation allowance against these federal deferred tax assets. The Company has provided $16.8 million at December 31, 2023 and $8.3 million at June 30, 2023, as a valuation allowance against its deferred tax assets for federal and state net operating losses where there is not sufficient positive evidence to substantiate that these deferred tax assets will be realized at a more-likely-than-not level of assurance.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Earnings per Share</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Basic earnings (loss) per share (“EPS”) is computed using the weighted-average number of common shares outstanding during the period. Diluted earnings per share is computed using the weighted-average number of common shares outstanding during the period, plus the dilutive effect of outstanding options, using the treasury stock method and the average market price of the Company’s common stock during the applicable period. When a loss from continuing operations exists, all dilutive securities and potentially dilutive securities are anti-dilutive and are therefore excluded from the computation of diluted EPS. When net income from continuing operations exists, performance-based units, are omitted from the calculation of diluted EPS until it is determined that the performance criteria has been met at the end of the reporting period. For the three and six months ended December 31, 2023, 391,598 and 377,025 potentially diluted securities were excluded from the weighted-average shares used to calculate the diluted net loss per common share, respectively, as they would have an anti-dilutive effect. During the three and six months ended December 31, 2022, 424,316 and 14,076 potentially dilutive securities were excluded from the weighted average shares used to calculate the diluted net loss per common share, respectively, as they would have an anti-dilutive effect.</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common share: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20" w:type="dxa"/>
            <w:vAlign w:val="bottom"/>
          </w:tcPr>
          <w:p>
            <w:pPr>
              <w:spacing w:after="0"/>
              <w:rPr>
                <w:sz w:val="16"/>
                <w:szCs w:val="16"/>
                <w:color w:val="auto"/>
              </w:rPr>
            </w:pPr>
          </w:p>
        </w:tc>
        <w:tc>
          <w:tcPr>
            <w:tcW w:w="2680" w:type="dxa"/>
            <w:vAlign w:val="bottom"/>
            <w:gridSpan w:val="4"/>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0" w:type="dxa"/>
            <w:vAlign w:val="bottom"/>
          </w:tcPr>
          <w:p>
            <w:pPr>
              <w:spacing w:after="0"/>
              <w:rPr>
                <w:sz w:val="1"/>
                <w:szCs w:val="1"/>
                <w:color w:val="auto"/>
              </w:rPr>
            </w:pPr>
          </w:p>
        </w:tc>
      </w:tr>
      <w:tr>
        <w:trPr>
          <w:trHeight w:val="23"/>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values</w:t>
            </w: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6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InnovAge Holding Corp.</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(22,866)</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135,887,613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135,578,888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135,839,007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135,572,503</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EPS (basic)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shares</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135,887,613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135,578,888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135,839,007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135,572,503</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EPS (diluted)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Segment Reporting</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applies ASC Topic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which establishes requirements to report selected segment information quarterly and to report annually entity-wide disclosures about operations, major customers and the geographies in which the entity holds material assets and reports revenue. An operating segment is defined as a component that engages in business activities whose operating results are reviewed by the Company’s chief executive officer, who is the chief operating decision maker (“CODM”), and for which discrete financial information is available. The Company has determined that it has three operating segments, two of which are related to the Company’s PACE offering. The PACE-related operating segments are based on two geographic divisions, which are East and West. Due to the similar economic characteristics, nature of services, and customers, we have aggregated our East and West operating segments into one reportable segment for PACE. The Company’s remaining operating segment primarily relates to Senior Housing, which is an immaterial operating segment, and shown below as "Other" along with certain corporate unallocated expenses.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evaluates performance and allocates capital resources to each segment based on an operating model that is designed to maximize the quality of care provided and profitability. The Company does not review assets by segment and therefore assets by segment are not disclosed below. For the periods presented, all of the Company’s long-lived assets were located in the United States and all revenue was earned in the United States.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management uses Center-level Contribution Margin as the measure for assessing performance of its operating segments. Center-level Contribution Margin is defined as total segment revenues less external provider costs and cost of care (excluding depreciation and amortization). The Company allocates corporate level expenses to its segments with a majority of the allocation going to the PACE segment.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operating results regularly provided to the CODM by reportable segment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2022:</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360" w:type="dxa"/>
            <w:vAlign w:val="bottom"/>
            <w:vMerge w:val="continue"/>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PACE</w:t>
            </w: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ind w:left="100"/>
              <w:spacing w:after="0" w:line="196" w:lineRule="exact"/>
              <w:rPr>
                <w:sz w:val="20"/>
                <w:szCs w:val="20"/>
                <w:color w:val="auto"/>
              </w:rPr>
            </w:pPr>
            <w:r>
              <w:rPr>
                <w:rFonts w:ascii="Times New Roman" w:cs="Times New Roman" w:eastAsia="Times New Roman" w:hAnsi="Times New Roman"/>
                <w:sz w:val="14"/>
                <w:szCs w:val="14"/>
                <w:b w:val="1"/>
                <w:bCs w:val="1"/>
                <w:color w:val="auto"/>
              </w:rPr>
              <w:t>All other</w:t>
            </w:r>
            <w:r>
              <w:rPr>
                <w:rFonts w:ascii="Times New Roman" w:cs="Times New Roman" w:eastAsia="Times New Roman" w:hAnsi="Times New Roman"/>
                <w:sz w:val="18"/>
                <w:szCs w:val="18"/>
                <w:b w:val="1"/>
                <w:bCs w:val="1"/>
                <w:color w:val="auto"/>
                <w:vertAlign w:val="superscript"/>
              </w:rPr>
              <w:t>(1)</w:t>
            </w: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PACE</w:t>
            </w: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ind w:left="80"/>
              <w:spacing w:after="0" w:line="196" w:lineRule="exact"/>
              <w:rPr>
                <w:sz w:val="20"/>
                <w:szCs w:val="20"/>
                <w:color w:val="auto"/>
              </w:rPr>
            </w:pPr>
            <w:r>
              <w:rPr>
                <w:rFonts w:ascii="Times New Roman" w:cs="Times New Roman" w:eastAsia="Times New Roman" w:hAnsi="Times New Roman"/>
                <w:sz w:val="14"/>
                <w:szCs w:val="14"/>
                <w:b w:val="1"/>
                <w:bCs w:val="1"/>
                <w:color w:val="auto"/>
              </w:rPr>
              <w:t>All other</w:t>
            </w:r>
            <w:r>
              <w:rPr>
                <w:rFonts w:ascii="Times New Roman" w:cs="Times New Roman" w:eastAsia="Times New Roman" w:hAnsi="Times New Roman"/>
                <w:sz w:val="18"/>
                <w:szCs w:val="18"/>
                <w:b w:val="1"/>
                <w:bCs w:val="1"/>
                <w:color w:val="auto"/>
                <w:vertAlign w:val="superscript"/>
              </w:rPr>
              <w:t>(1)</w:t>
            </w: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Capitation revenue</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188,561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188,561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167,140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167,140</w:t>
            </w:r>
          </w:p>
        </w:tc>
        <w:tc>
          <w:tcPr>
            <w:tcW w:w="0" w:type="dxa"/>
            <w:vAlign w:val="bottom"/>
          </w:tcPr>
          <w:p>
            <w:pPr>
              <w:spacing w:after="0"/>
              <w:rPr>
                <w:sz w:val="1"/>
                <w:szCs w:val="1"/>
                <w:color w:val="auto"/>
              </w:rPr>
            </w:pPr>
          </w:p>
        </w:tc>
      </w:tr>
      <w:tr>
        <w:trPr>
          <w:trHeight w:val="229"/>
        </w:trPr>
        <w:tc>
          <w:tcPr>
            <w:tcW w:w="3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service revenue</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167,456</w:t>
            </w:r>
          </w:p>
        </w:tc>
        <w:tc>
          <w:tcPr>
            <w:tcW w:w="0" w:type="dxa"/>
            <w:vAlign w:val="bottom"/>
          </w:tcPr>
          <w:p>
            <w:pPr>
              <w:spacing w:after="0"/>
              <w:rPr>
                <w:sz w:val="1"/>
                <w:szCs w:val="1"/>
                <w:color w:val="auto"/>
              </w:rPr>
            </w:pPr>
          </w:p>
        </w:tc>
      </w:tr>
      <w:tr>
        <w:trPr>
          <w:trHeight w:val="229"/>
        </w:trPr>
        <w:tc>
          <w:tcPr>
            <w:tcW w:w="3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External provider costs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93,507</w:t>
            </w:r>
          </w:p>
        </w:tc>
        <w:tc>
          <w:tcPr>
            <w:tcW w:w="0" w:type="dxa"/>
            <w:vAlign w:val="bottom"/>
          </w:tcPr>
          <w:p>
            <w:pPr>
              <w:spacing w:after="0"/>
              <w:rPr>
                <w:sz w:val="1"/>
                <w:szCs w:val="1"/>
                <w:color w:val="auto"/>
              </w:rPr>
            </w:pPr>
          </w:p>
        </w:tc>
      </w:tr>
      <w:tr>
        <w:trPr>
          <w:trHeight w:val="176"/>
        </w:trPr>
        <w:tc>
          <w:tcPr>
            <w:tcW w:w="33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Cost of care, excluding depreciation and</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54,171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54,321</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51,184</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51,376</w:t>
            </w:r>
          </w:p>
        </w:tc>
        <w:tc>
          <w:tcPr>
            <w:tcW w:w="0" w:type="dxa"/>
            <w:vAlign w:val="bottom"/>
          </w:tcPr>
          <w:p>
            <w:pPr>
              <w:spacing w:after="0"/>
              <w:rPr>
                <w:sz w:val="1"/>
                <w:szCs w:val="1"/>
                <w:color w:val="auto"/>
              </w:rPr>
            </w:pPr>
          </w:p>
        </w:tc>
      </w:tr>
      <w:tr>
        <w:trPr>
          <w:trHeight w:val="223"/>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Center-Level Contribution Margin</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33,494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33,613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22,573</w:t>
            </w: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140"/>
              <w:spacing w:after="0" w:line="223" w:lineRule="exact"/>
              <w:rPr>
                <w:sz w:val="20"/>
                <w:szCs w:val="20"/>
                <w:color w:val="auto"/>
              </w:rPr>
            </w:pPr>
            <w:r>
              <w:rPr>
                <w:rFonts w:ascii="Times New Roman" w:cs="Times New Roman" w:eastAsia="Times New Roman" w:hAnsi="Times New Roman"/>
                <w:sz w:val="18"/>
                <w:szCs w:val="18"/>
                <w:color w:val="auto"/>
              </w:rPr>
              <w:t>Overhead costs</w:t>
            </w:r>
            <w:r>
              <w:rPr>
                <w:rFonts w:ascii="Times New Roman" w:cs="Times New Roman" w:eastAsia="Times New Roman" w:hAnsi="Times New Roman"/>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32,591</w:t>
            </w:r>
          </w:p>
        </w:tc>
        <w:tc>
          <w:tcPr>
            <w:tcW w:w="0" w:type="dxa"/>
            <w:vAlign w:val="bottom"/>
          </w:tcPr>
          <w:p>
            <w:pPr>
              <w:spacing w:after="0"/>
              <w:rPr>
                <w:sz w:val="1"/>
                <w:szCs w:val="1"/>
                <w:color w:val="auto"/>
              </w:rPr>
            </w:pPr>
          </w:p>
        </w:tc>
      </w:tr>
      <w:tr>
        <w:trPr>
          <w:trHeight w:val="230"/>
        </w:trPr>
        <w:tc>
          <w:tcPr>
            <w:tcW w:w="3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29"/>
        </w:trPr>
        <w:tc>
          <w:tcPr>
            <w:tcW w:w="3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(13,459)</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operating results regularly provided to the CODM by reportable segment for the six months ended December 31, 2023 and 2022:</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160" w:type="dxa"/>
            <w:vAlign w:val="bottom"/>
            <w:vMerge w:val="continue"/>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PACE</w:t>
            </w: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center"/>
              <w:ind w:right="300"/>
              <w:spacing w:after="0" w:line="196" w:lineRule="exact"/>
              <w:rPr>
                <w:sz w:val="20"/>
                <w:szCs w:val="20"/>
                <w:color w:val="auto"/>
              </w:rPr>
            </w:pPr>
            <w:r>
              <w:rPr>
                <w:rFonts w:ascii="Times New Roman" w:cs="Times New Roman" w:eastAsia="Times New Roman" w:hAnsi="Times New Roman"/>
                <w:sz w:val="14"/>
                <w:szCs w:val="14"/>
                <w:b w:val="1"/>
                <w:bCs w:val="1"/>
                <w:color w:val="auto"/>
                <w:w w:val="98"/>
              </w:rPr>
              <w:t>All other</w:t>
            </w:r>
            <w:r>
              <w:rPr>
                <w:rFonts w:ascii="Times New Roman" w:cs="Times New Roman" w:eastAsia="Times New Roman" w:hAnsi="Times New Roman"/>
                <w:sz w:val="18"/>
                <w:szCs w:val="18"/>
                <w:b w:val="1"/>
                <w:bCs w:val="1"/>
                <w:color w:val="auto"/>
                <w:w w:val="98"/>
                <w:vertAlign w:val="superscript"/>
              </w:rPr>
              <w:t>(1)</w:t>
            </w: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PACE</w:t>
            </w:r>
          </w:p>
        </w:tc>
        <w:tc>
          <w:tcPr>
            <w:tcW w:w="2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center"/>
              <w:ind w:right="300"/>
              <w:spacing w:after="0" w:line="196" w:lineRule="exact"/>
              <w:rPr>
                <w:sz w:val="20"/>
                <w:szCs w:val="20"/>
                <w:color w:val="auto"/>
              </w:rPr>
            </w:pPr>
            <w:r>
              <w:rPr>
                <w:rFonts w:ascii="Times New Roman" w:cs="Times New Roman" w:eastAsia="Times New Roman" w:hAnsi="Times New Roman"/>
                <w:sz w:val="14"/>
                <w:szCs w:val="14"/>
                <w:b w:val="1"/>
                <w:bCs w:val="1"/>
                <w:color w:val="auto"/>
                <w:w w:val="98"/>
              </w:rPr>
              <w:t>All other</w:t>
            </w:r>
            <w:r>
              <w:rPr>
                <w:rFonts w:ascii="Times New Roman" w:cs="Times New Roman" w:eastAsia="Times New Roman" w:hAnsi="Times New Roman"/>
                <w:sz w:val="18"/>
                <w:szCs w:val="18"/>
                <w:b w:val="1"/>
                <w:bCs w:val="1"/>
                <w:color w:val="auto"/>
                <w:w w:val="98"/>
                <w:vertAlign w:val="superscript"/>
              </w:rPr>
              <w:t>(1)</w:t>
            </w: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Capitation revenue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370,734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370,734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338,071</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338,071</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service revenue</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23"/>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338,247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338,674</w:t>
            </w:r>
          </w:p>
        </w:tc>
        <w:tc>
          <w:tcPr>
            <w:tcW w:w="0" w:type="dxa"/>
            <w:vAlign w:val="bottom"/>
          </w:tcPr>
          <w:p>
            <w:pPr>
              <w:spacing w:after="0"/>
              <w:rPr>
                <w:sz w:val="1"/>
                <w:szCs w:val="1"/>
                <w:color w:val="auto"/>
              </w:rPr>
            </w:pPr>
          </w:p>
        </w:tc>
      </w:tr>
      <w:tr>
        <w:trPr>
          <w:trHeight w:val="229"/>
        </w:trPr>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External provider costs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189,744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189,744</w:t>
            </w: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Cost of care, excluding depreciation and</w:t>
            </w: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109,267</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109,570</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104,595</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104,933</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Center-Level Contribution Margin</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61,298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61,490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43,908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43,997</w:t>
            </w:r>
          </w:p>
        </w:tc>
        <w:tc>
          <w:tcPr>
            <w:tcW w:w="0" w:type="dxa"/>
            <w:vAlign w:val="bottom"/>
          </w:tcPr>
          <w:p>
            <w:pPr>
              <w:spacing w:after="0"/>
              <w:rPr>
                <w:sz w:val="1"/>
                <w:szCs w:val="1"/>
                <w:color w:val="auto"/>
              </w:rPr>
            </w:pPr>
          </w:p>
        </w:tc>
      </w:tr>
      <w:tr>
        <w:trPr>
          <w:trHeight w:val="223"/>
        </w:trPr>
        <w:tc>
          <w:tcPr>
            <w:tcW w:w="3160" w:type="dxa"/>
            <w:vAlign w:val="bottom"/>
            <w:shd w:val="clear" w:color="auto" w:fill="CCEEFF"/>
          </w:tcPr>
          <w:p>
            <w:pPr>
              <w:ind w:left="140"/>
              <w:spacing w:after="0" w:line="223" w:lineRule="exact"/>
              <w:rPr>
                <w:sz w:val="20"/>
                <w:szCs w:val="20"/>
                <w:color w:val="auto"/>
              </w:rPr>
            </w:pPr>
            <w:r>
              <w:rPr>
                <w:rFonts w:ascii="Times New Roman" w:cs="Times New Roman" w:eastAsia="Times New Roman" w:hAnsi="Times New Roman"/>
                <w:sz w:val="18"/>
                <w:szCs w:val="18"/>
                <w:color w:val="auto"/>
              </w:rPr>
              <w:t>Overhead costs</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67,107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67,186</w:t>
            </w:r>
          </w:p>
        </w:tc>
        <w:tc>
          <w:tcPr>
            <w:tcW w:w="0" w:type="dxa"/>
            <w:vAlign w:val="bottom"/>
          </w:tcPr>
          <w:p>
            <w:pPr>
              <w:spacing w:after="0"/>
              <w:rPr>
                <w:sz w:val="1"/>
                <w:szCs w:val="1"/>
                <w:color w:val="auto"/>
              </w:rPr>
            </w:pPr>
          </w:p>
        </w:tc>
      </w:tr>
      <w:tr>
        <w:trPr>
          <w:trHeight w:val="230"/>
        </w:trPr>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7,095</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29"/>
        </w:trPr>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(30,335)</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(30,630)</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27" w:lineRule="exact"/>
        <w:rPr>
          <w:sz w:val="20"/>
          <w:szCs w:val="20"/>
          <w:color w:val="auto"/>
        </w:rPr>
      </w:pPr>
    </w:p>
    <w:p>
      <w:pPr>
        <w:ind w:left="660" w:hanging="652"/>
        <w:spacing w:after="0" w:line="258" w:lineRule="auto"/>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Center-level Contribution Margin from segments below the quantitative thresholds are primarily attributable to the Senior Housing operating segment of the Company. This segment has never met any of the quantitative thresholds for determining reportable segments.</w:t>
      </w:r>
    </w:p>
    <w:p>
      <w:pPr>
        <w:ind w:left="660" w:hanging="652"/>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Overhead consists of the Sales and marketing and Corporate, general and administrative financial statement line items.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Related Party Transactions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PWD Amended and Restated Agreement of Limited Partnership, the general partner, which is a subsidiary of the Company (the “General Partner”), funds operating deficits and shortfalls of PWD in the form of a loan. At each of December 31, 2023 and June 30, 2023, $0.7 million was recorded in Deposits and other. Additionally, the General Partner is paid an administration fee of $35,000 per year.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Subsequent Events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Company has evaluated subsequent events through the date on which the condensed consolidated financial statements were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20" w:top="121" w:right="11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consolidated financial statements and the related notes included elsewhere in this Quarterly Report on Form 10-Q. The discussion contains forward-looking statements that are based on the beliefs of management, as well as assumptions made by, and information currently available to our management. Readers are cautioned not to place undue reliance on any forward-looking statements, as forward-looking statements are not guarantees of future performance and the Company’s actual results may differ significantly due to numerous known and unknown risks and uncertainties, including those discussed below and in the section entitled “Cautionary Note on Forward-Looking Statements.” Those known risks and uncertainties include, but are not limited to, the risk factors identified in the section titled “Risk Factors” in this Quarterly Report on Form 10-Q and in our Annual Report on Form 10-K for the fiscal year ended June 30, 2023 (“2023 10-K”).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InnovAge Holding Corp. (“InnovAge”) became a public company in March 2021. As of December 31, 2023, the Company served approximately 6,780 PACE participants, and operated 18 PACE centers across California, Colorado, New Mexico, Pennsylvania, and Virginia.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Uncertainties Affecting the Company</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Macroeconomic conditions. </w:t>
      </w:r>
      <w:r>
        <w:rPr>
          <w:rFonts w:ascii="Times New Roman" w:cs="Times New Roman" w:eastAsia="Times New Roman" w:hAnsi="Times New Roman"/>
          <w:sz w:val="18"/>
          <w:szCs w:val="18"/>
          <w:color w:val="auto"/>
        </w:rPr>
        <w:t>During fiscal year 2024, the U.S. continued to wrestle with inflation and increased wages due to labor shortages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competition among healthcare professionals. In fiscal year 2022 and 2023, in response to high levels of inflation, we implemented various mitigation strategies to reduce costs of operation, including, consolidating services, price negotiations with providers and vendors and limiting corporate staffing, effecting a reduction in workforce in December 2022. For example, in fiscal year 2023, we launched and conducted several initiatives intended to lower certain of our costs, including limiting corporate staffing, effecting a reduction in workforce in December 2022, and optimizing working capital. The Company has continued these mitigation strategies during the six months ended December 31, 2023. For example, in October 2023, we conducted an additional planned reduction in workforce involving approximately 1.6% of our workforce. In connection with the planned reduction, we incurred approximately $0.3 million of charges associated with employee severance and benefits costs during the three months ended December 31, 2023. The effects of inflation, after accounting for these mitigation strategies, were immaterial to our financial results for the three and six months ended December 31, 2023. We expect to continue to experience elevated operating expenses for the remainder of fiscal 2024 for similar reasons. Although we expect to continue mitigation efforts, there can be no assurance that our strategies will be sufficient.</w:t>
      </w:r>
    </w:p>
    <w:p>
      <w:pPr>
        <w:spacing w:after="0" w:line="19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Increased cost of care. </w:t>
      </w:r>
      <w:r>
        <w:rPr>
          <w:rFonts w:ascii="Times New Roman" w:cs="Times New Roman" w:eastAsia="Times New Roman" w:hAnsi="Times New Roman"/>
          <w:sz w:val="18"/>
          <w:szCs w:val="18"/>
          <w:color w:val="auto"/>
        </w:rPr>
        <w:t>Cost of care and related cost per participant increased for the six months ended December 31, 2023 compared to 2022, partially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 result of increased salaries, wages and benefits associated with increased headcount and higher wage rates and increased fleet and contract transportation costs due to an increase in center attendance and external appointments as well as increased costs related to growing census. Additionally, external provider costs have increased in the six month period ended December 31, 2023 compared to 2022 associated with annual increases in assisted living and nursing facility unit cost and general medical inflation. We will continue to evaluate increased costs and methods to mitigate or offset such increases.</w:t>
      </w:r>
    </w:p>
    <w:p>
      <w:pPr>
        <w:spacing w:after="0" w:line="18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Census and capitation revenue. </w:t>
      </w:r>
      <w:r>
        <w:rPr>
          <w:rFonts w:ascii="Times New Roman" w:cs="Times New Roman" w:eastAsia="Times New Roman" w:hAnsi="Times New Roman"/>
          <w:sz w:val="18"/>
          <w:szCs w:val="18"/>
          <w:color w:val="auto"/>
        </w:rPr>
        <w:t>On May 11, 2023 the President allowed the national emergency and public health emergency declarations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COVID-19 pandemic to expire. While states have resumed processing new Medicaid applications and redeterminations of beneficiary eligibility, the healthcare industry has experienced increased delays in the processing of such applications. The Company completes annual Medicaid redeterminations, which enables the Company to monitor ongoing eligibility status, assist Participant’s through the redetermination process, address potential issues with eligibility in real time, and track future renewal dates. However, as a result of the aforementioned delays, the Company has experienced an increase in gaps of eligibility with redetermination applications. While the participants continue to receive care and remain enrolled with the Company during this time, the effect of such delays temporarily halts Medicaid revenue related to any closed application and simultaneously increases our risk of revenue recovery. In an effort to mitigate these risks, the Company continues to utilize State approved third-party eligibility partners to expedite applications, escalate delayed cases to State administrators, and pursue safe discharges for individuals who are truly ineligible. Being eight months into the public health emergency unwind period, there has not been a material effect on the Company’s financial statements or operations. The Company is seeing trends of aging report accounts and financial losses normalizing to pre-public health emergency levels. We expect these trends to continue for the remainder of fiscal year 2024.</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Labor market</w:t>
      </w:r>
      <w:r>
        <w:rPr>
          <w:rFonts w:ascii="Times New Roman" w:cs="Times New Roman" w:eastAsia="Times New Roman" w:hAnsi="Times New Roman"/>
          <w:sz w:val="18"/>
          <w:szCs w:val="18"/>
          <w:color w:val="auto"/>
        </w:rPr>
        <w:t>. The healthcare sector is currently experiencing a complex set of challenges in hiring additional professionals. We believe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challenges are a result of a combination of factors beyond the direct impact of the COVID-19 pandemic. Specifically, the demand for healthcare services has been steadily increasing due to an aging population and a greater focus on health and wellness in society. In addition, there are systemic challenges related to workforce training and the pipeline of qualified professionals, which have not kept pace with this growing demand. Furthermore, high inflation experienced during fiscal year 2023 and which has continued through fiscal year 2024 has increased the cost of living, and subsequently, wage pressure for healthcare professionals, with a shift towards an employee-centric market with an emphasis on competitive compensation, flexibility and professional growth opportunities, which has contributed to an increasingly competitive labor market. In an effort to mitigate the effects of these challenges, we have adopted strategies to offer competitive compensation packages. Partially as a result of increased competition and other market trends, in conjunction with increased staffing related to compliance and remediation efforts in our centers, there has been an increase in the cost of care for the six months ended December 31, 2023 compared to the comparable period last year, as discussed in "Results of Operations" below.</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on October 13, 2023, California passed into law California Senate Bill No. 525 ("SB 525"), which raises the minimum wage for many California healthcare workers, effective as of June 1, 2024. Although PACE centers are not covered by SB 525, many of our contractors and other third-party providers are impacted by SB 525, and they may renegotiate agreements with our centers to cover their increased labor costs. Additionally, competition with other healthcare providers who are required to increase wages under SB 525 could materially increase our labor costs. We will continue to evaluate the impact of this legislation on our business.</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Finally, on October 27, 2023, following a demand from a labor union for the Company to recognize it as the collective bargaining representative of the nurses and certified nurse assistants in our Pennsylvania centers, we filed a petition with the National Labor Relations Board to conduct two elections. The National Labor Relations Board conducted the elections on December 6, 2023, at which the nurses and certified nurse assistants in our Pennsylvania centers voted to unionize. These employees represent approximately 1% of our total workforce. Collective bargaining has not yet commenced. While we cannot predict the terms or timing of any resulting collective bargaining agreement, we currently do not expect the impact from any such future negotiated collective bargaining agreements and costs for unionized employees to have a material effect on our costs of labor or operations. However, we cannot predict whether other employees will follow a similar course of action.</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additional information on the various risks posed by macroeconomic events, regulation, and employee matters, please see the section entitled “Risk Factors” included in Part I, Item 1A of our 2023 10-K and in Part II, Item 1A of this Form 10-Q.</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Key Factors Affecting Our Performance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historical financial performance has been, and we expect our financial performance in the future to be, driven by the following factors:</w:t>
      </w:r>
    </w:p>
    <w:p>
      <w:pPr>
        <w:spacing w:after="0" w:line="223" w:lineRule="exact"/>
        <w:rPr>
          <w:sz w:val="20"/>
          <w:szCs w:val="20"/>
          <w:color w:val="auto"/>
        </w:rPr>
      </w:pPr>
    </w:p>
    <w:p>
      <w:pPr>
        <w:jc w:val="both"/>
        <w:ind w:left="980" w:hanging="324"/>
        <w:spacing w:after="0" w:line="256"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ability to effectively implement post-sanction remediation efforts in our centers as a result of our recent audits and maintain high quality of regulatory compliance. </w:t>
      </w:r>
      <w:r>
        <w:rPr>
          <w:rFonts w:ascii="Times New Roman" w:cs="Times New Roman" w:eastAsia="Times New Roman" w:hAnsi="Times New Roman"/>
          <w:sz w:val="18"/>
          <w:szCs w:val="18"/>
          <w:color w:val="auto"/>
        </w:rPr>
        <w:t>The Company’s priority is to continue to remediate the deficiencies raised in audit processes (including recent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audits) and to implement post-sanction corrective actions, where required, as well as maintain high quality of regulatory compliance in all its centers. As part of its actions to do so, the Company has worked with the appropriate authorities to make the necessary changes within the Company to improve care coordination and care documentation among our centers, including working to fill critical personnel gaps at our centers, standardizing the process of our Interdisciplinary Care Teams (“IDTs”), strengthening our home care network and reliability, improving timelines of scheduling and coordinating care with providers outside our centers, among others.</w:t>
      </w:r>
    </w:p>
    <w:p>
      <w:pPr>
        <w:spacing w:after="0" w:line="182"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participants. </w:t>
      </w:r>
      <w:r>
        <w:rPr>
          <w:rFonts w:ascii="Times New Roman" w:cs="Times New Roman" w:eastAsia="Times New Roman" w:hAnsi="Times New Roman"/>
          <w:sz w:val="18"/>
          <w:szCs w:val="18"/>
          <w:color w:val="auto"/>
        </w:rPr>
        <w:t>We focus on providing all-inclusive care to frail, high-cost, dual-eligible seniors. We directly contract with government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payors, such as Medicare and Medicaid, through PACE and receive a capitated risk-adjusted payment to manage the totality of a participant’s medical care across all settings. InnovAge manages participants that are, on average, more complex and medically fragile than other Medicare-eligible patients, including those in Medicare Advantage (“MA”) programs. As a result, we receive larger payments for our participants compared to MA participants. This is driven by two factors: (i) we manage a higher acuity population, with an average risk adjustment factor (“RAF”) score of 2.42 based on InnovAge data as of December 31, 2023; and (ii) we manage Medicaid spend in addition to Medicare. Our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participants are managed on a capitated, or at-risk basis, where InnovAge is financially responsible for all of participant medical costs. Our comprehensive care model and globally capitated payments are designed to cover participants from enrollment until the end of life, including coverage for participants requiring hospice and palliative care. For dual-eligible participants, we receive per member, per month (“PMPM”) payments directly from Medicare and Medicaid, which provides recurring revenue streams and significant visibility into our revenue. The Medicare portion of our capitated payment is risk-based, taking into account the underlying medical conditions and frailty of each participant. We continue to work on expanding payer capabilities so that our revenue more accurately reflects the acuity of the populations we serve.</w:t>
      </w:r>
    </w:p>
    <w:p>
      <w:pPr>
        <w:spacing w:after="0" w:line="185" w:lineRule="exact"/>
        <w:rPr>
          <w:sz w:val="20"/>
          <w:szCs w:val="20"/>
          <w:color w:val="auto"/>
        </w:rPr>
      </w:pPr>
    </w:p>
    <w:p>
      <w:pPr>
        <w:jc w:val="both"/>
        <w:ind w:left="980" w:right="20" w:hanging="324"/>
        <w:spacing w:after="0" w:line="267"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ability to grow enrollment and capacity within existing centers. </w:t>
      </w:r>
      <w:r>
        <w:rPr>
          <w:rFonts w:ascii="Times New Roman" w:cs="Times New Roman" w:eastAsia="Times New Roman" w:hAnsi="Times New Roman"/>
          <w:sz w:val="18"/>
          <w:szCs w:val="18"/>
          <w:color w:val="auto"/>
        </w:rPr>
        <w:t>We believe all seniors should have access to the type of all-inclusive 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offered by the PACE model. Several factors can affect our ability to grow enrollment and capacity within existing centers, including sanctions issued by regulators, such as the ones we were subject to in our Sacramento, California and Colorado centers.</w:t>
      </w:r>
    </w:p>
    <w:p>
      <w:pPr>
        <w:spacing w:after="0" w:line="173" w:lineRule="exact"/>
        <w:rPr>
          <w:rFonts w:ascii="Times New Roman" w:cs="Times New Roman" w:eastAsia="Times New Roman" w:hAnsi="Times New Roman"/>
          <w:sz w:val="18"/>
          <w:szCs w:val="18"/>
          <w:color w:val="auto"/>
        </w:rPr>
      </w:pPr>
    </w:p>
    <w:p>
      <w:pPr>
        <w:jc w:val="both"/>
        <w:ind w:left="980" w:hanging="324"/>
        <w:spacing w:after="0" w:line="257"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ability to maintain high participant satisfaction and retention. </w:t>
      </w:r>
      <w:r>
        <w:rPr>
          <w:rFonts w:ascii="Times New Roman" w:cs="Times New Roman" w:eastAsia="Times New Roman" w:hAnsi="Times New Roman"/>
          <w:sz w:val="18"/>
          <w:szCs w:val="18"/>
          <w:color w:val="auto"/>
        </w:rPr>
        <w:t>We achieved a 86% participant satisfaction rating as of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measured as composite of participant satisfaction across ten categories, and average participant tenure was 3.2 years as of December 31, 2023, measured as tenure from enrollment to disenrollment, among our centers that have been operated by us for at least five years. Furthermore, we experience low levels of voluntary disenrollment, averaging 5.9% annually over the last three fiscal years. Approximately 71% of our historical disenrollments have been involuntary, due primarily to participant death or otherwise due to participants moving out of our service areas.</w:t>
      </w:r>
    </w:p>
    <w:p>
      <w:pPr>
        <w:spacing w:after="0" w:line="182"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Effectively managing the cost of care for our participants</w:t>
      </w:r>
      <w:r>
        <w:rPr>
          <w:rFonts w:ascii="Times New Roman" w:cs="Times New Roman" w:eastAsia="Times New Roman" w:hAnsi="Times New Roman"/>
          <w:sz w:val="18"/>
          <w:szCs w:val="18"/>
          <w:color w:val="auto"/>
        </w:rPr>
        <w:t>. We receive capitated payments to manage the totality of a participant’s medical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care across all settings. Our participants are among the most frail and medically complex individuals in the U.S. healthcare system, and average acuity rises with the passage of time. The risk pool of our population became more acute in fiscal year 2023 as we were not able to replenish our population mix with newer, lower-acuity participants as a result of State sanctions, and as a result, our external provider costs and cost of care, excluding depreciation and amortization, represented approximately 84% of our revenue in the six months ended December 31, 2023. While we are liable for potentially large medical claims, our care model focuses on delivering high-quality medical care in cost efficient, community-based settings as a means of avoiding costly inpatient and outpatient services. However, our participants retain the freedom to seek care at sites of their choice, including hospitals and emergency rooms; we do not restrict participant access to care.</w:t>
      </w:r>
    </w:p>
    <w:p>
      <w:pPr>
        <w:spacing w:after="0" w:line="184" w:lineRule="exact"/>
        <w:rPr>
          <w:rFonts w:ascii="Times New Roman" w:cs="Times New Roman" w:eastAsia="Times New Roman" w:hAnsi="Times New Roman"/>
          <w:sz w:val="18"/>
          <w:szCs w:val="18"/>
          <w:color w:val="auto"/>
        </w:rPr>
      </w:pPr>
    </w:p>
    <w:p>
      <w:pPr>
        <w:jc w:val="both"/>
        <w:ind w:left="980" w:hanging="324"/>
        <w:spacing w:after="0" w:line="257"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Center-level Contribution Margin</w:t>
      </w:r>
      <w:r>
        <w:rPr>
          <w:rFonts w:ascii="Times New Roman" w:cs="Times New Roman" w:eastAsia="Times New Roman" w:hAnsi="Times New Roman"/>
          <w:sz w:val="18"/>
          <w:szCs w:val="18"/>
          <w:color w:val="auto"/>
        </w:rPr>
        <w:t>. As we serve more participants in existing centers, we leverage our fixed cost base at those centers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a center to our business increases over time. The enrollment sanctions in Sacramento, California and Colorado limited our ability to grow our participant census and impacted Center-level Contribution Margin in fiscal 2022 and the first half of fiscal 2023. We were fully released from those sanctions in Colorado in January 2023 and in California in May 2023. The Company continues post-sanction monitoring, and is currently able to enroll new participants at all of its centers. For the six months ended December 31, 2023, census has grown 1.2% compared to the six months ended December 31, 2022.</w:t>
      </w:r>
    </w:p>
    <w:p>
      <w:pPr>
        <w:spacing w:after="0" w:line="182" w:lineRule="exact"/>
        <w:rPr>
          <w:rFonts w:ascii="Times New Roman" w:cs="Times New Roman" w:eastAsia="Times New Roman" w:hAnsi="Times New Roman"/>
          <w:sz w:val="18"/>
          <w:szCs w:val="18"/>
          <w:color w:val="auto"/>
        </w:rPr>
      </w:pPr>
    </w:p>
    <w:p>
      <w:pPr>
        <w:jc w:val="both"/>
        <w:ind w:left="980" w:hanging="324"/>
        <w:spacing w:after="0" w:line="267"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ability to expand via de novo centers within existing and new markets. </w:t>
      </w:r>
      <w:r>
        <w:rPr>
          <w:rFonts w:ascii="Times New Roman" w:cs="Times New Roman" w:eastAsia="Times New Roman" w:hAnsi="Times New Roman"/>
          <w:sz w:val="18"/>
          <w:szCs w:val="18"/>
          <w:color w:val="auto"/>
        </w:rPr>
        <w:t>Several factors can affect our ability to open de novo centers,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sanctions issued by regulators, such as the ones imposed on our Sacramento, California and Colorado centers in 2021. As a result of such sanctions, we were precluded from, or voluntarily suspended efforts to, open de novo centers.</w:t>
      </w:r>
    </w:p>
    <w:p>
      <w:pPr>
        <w:spacing w:after="0" w:line="175" w:lineRule="exact"/>
        <w:rPr>
          <w:rFonts w:ascii="Times New Roman" w:cs="Times New Roman" w:eastAsia="Times New Roman" w:hAnsi="Times New Roman"/>
          <w:sz w:val="18"/>
          <w:szCs w:val="18"/>
          <w:color w:val="auto"/>
        </w:rPr>
      </w:pPr>
    </w:p>
    <w:p>
      <w:pPr>
        <w:ind w:left="98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 2024, we opened a PACE center in Tampa, Florida, which has opened enrollment to various surrounding counties, and continue our efforts to obtain the licensure required to open a PACE center in Orlando, Florida.</w:t>
      </w:r>
    </w:p>
    <w:p>
      <w:pPr>
        <w:spacing w:after="0" w:line="161" w:lineRule="exact"/>
        <w:rPr>
          <w:rFonts w:ascii="Times New Roman" w:cs="Times New Roman" w:eastAsia="Times New Roman" w:hAnsi="Times New Roman"/>
          <w:sz w:val="18"/>
          <w:szCs w:val="18"/>
          <w:color w:val="auto"/>
        </w:rPr>
      </w:pPr>
    </w:p>
    <w:p>
      <w:pPr>
        <w:jc w:val="both"/>
        <w:ind w:left="9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new PACE centers are subject to annual federal and state audits for the first three years after opening. In October 2023, CMS and the California Department of Health Care Services (“DHCS) conducted a joint routine audit of our Sacramento center. On December 27, 2023, we received the final audit report from CMS for which we submitted a routine corrective action plan (CAP) that follows every audit. On January 22, 2024, CMS approved that CAP. On January 23, 2024, DHCS notified us of their preliminary audit findings at our Sacramento center and that, based on concerns that it had been alerted to, it will be conducting a medical</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80"/>
        <w:spacing w:after="0" w:line="254" w:lineRule="auto"/>
        <w:rPr>
          <w:sz w:val="20"/>
          <w:szCs w:val="20"/>
          <w:color w:val="auto"/>
        </w:rPr>
      </w:pPr>
      <w:r>
        <w:rPr>
          <w:rFonts w:ascii="Times New Roman" w:cs="Times New Roman" w:eastAsia="Times New Roman" w:hAnsi="Times New Roman"/>
          <w:sz w:val="18"/>
          <w:szCs w:val="18"/>
          <w:color w:val="auto"/>
        </w:rPr>
        <w:t>review of our San Bernardino center. In response to both of these matters, DHCS notified us that it is suspending its attestations in support of the planned de novo center in Downey and the recently acquired planned de novo center in Bakersfield. On February 1, 2024, we received the final audit results from DHCS notifying us of identified deficiencies at our Sacramento center, some of which fall under the same categories as those that formed the basis of the enrollment freeze in 2021. While these de novo centers are precluded from opening at this time, DHCS notified us that it would consider restoring the State Attestations upon our successful remediation of the deficiencies raised in our Sacramento center and its completion of the medical review (and any potential resultant remediation that may be required) in our San Bernardino center. We believe we have in place the policies, processes and systems to correct the identified deficiencies as we did in connection with the 2021 enrollment freeze.</w:t>
      </w:r>
    </w:p>
    <w:p>
      <w:pPr>
        <w:spacing w:after="0" w:line="190" w:lineRule="exact"/>
        <w:rPr>
          <w:sz w:val="20"/>
          <w:szCs w:val="20"/>
          <w:color w:val="auto"/>
        </w:rPr>
      </w:pPr>
    </w:p>
    <w:p>
      <w:pPr>
        <w:jc w:val="both"/>
        <w:ind w:left="980" w:hanging="324"/>
        <w:spacing w:after="0" w:line="256"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Execute tuck-in acquisitions. </w:t>
      </w:r>
      <w:r>
        <w:rPr>
          <w:rFonts w:ascii="Times New Roman" w:cs="Times New Roman" w:eastAsia="Times New Roman" w:hAnsi="Times New Roman"/>
          <w:sz w:val="18"/>
          <w:szCs w:val="18"/>
          <w:color w:val="auto"/>
        </w:rPr>
        <w:t>From fiscal year 2019 through fiscal year 2021, we acquired and integrated three PACE organizations,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expanding our InnovAge Platform to one new state and four new markets through those acquisitions. Additionally, in the second fiscal quarter of 2024, we completed an acquisition of two PACE programs in California from ConcertoCare, which included one operating center in the Crenshaw neighborhood of Los Angeles and a second program in the process of its application for licensure in Bakersfield, California. We remain disciplined in our approach to acquisitions and in the past have executed multiple types of transactions, including turnarounds and non-profit conversions. When integrating acquired programs, we work closely with key constituencies, including local governments, health systems and senior housing providers, to enable continuity of high-quality care for participants.</w:t>
      </w:r>
    </w:p>
    <w:p>
      <w:pPr>
        <w:spacing w:after="0" w:line="182"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Contracting with government payors</w:t>
      </w:r>
      <w:r>
        <w:rPr>
          <w:rFonts w:ascii="Times New Roman" w:cs="Times New Roman" w:eastAsia="Times New Roman" w:hAnsi="Times New Roman"/>
          <w:sz w:val="18"/>
          <w:szCs w:val="18"/>
          <w:color w:val="auto"/>
        </w:rPr>
        <w:t>. Our economic model relies on our capitated arrangements with government payors, namely Medicare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Medicaid. We view the government not only as a payor but also as a key partner in our efforts to expand into new geographies and access more participants in our existing markets. Maintaining, supporting and growing these relationships in existing markets as well as new geographies, is critical to our long-term success.</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Investing to support growth</w:t>
      </w:r>
      <w:r>
        <w:rPr>
          <w:rFonts w:ascii="Times New Roman" w:cs="Times New Roman" w:eastAsia="Times New Roman" w:hAnsi="Times New Roman"/>
          <w:sz w:val="18"/>
          <w:szCs w:val="18"/>
          <w:color w:val="auto"/>
        </w:rPr>
        <w:t>. We intend to continue investing in our centers, value-based care model, and sales and marketing organization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 long-term growth. We expect our expenses to increase in absolute dollars for the foreseeable future to support our growth and due to additional costs we are incurring or expect to incur in connection with our current and future audits to our centers, our post-audit remediation plans and current and potential legal and regulatory proceedings. We plan to invest in future growth judiciously and maintain focus on managing our results of operations. We are building capabilities to increase our sophistication as a payor to drive clinical value, improve outcomes, and manage cost trends. Accordingly, in the short term, we expect the activities noted above to increase our expenses as a percentage of revenue, but in the longer term, we anticipate that these investments will positively impact our business and results of operations.</w:t>
      </w:r>
    </w:p>
    <w:p>
      <w:pPr>
        <w:spacing w:after="0" w:line="184" w:lineRule="exact"/>
        <w:rPr>
          <w:rFonts w:ascii="Times New Roman" w:cs="Times New Roman" w:eastAsia="Times New Roman" w:hAnsi="Times New Roman"/>
          <w:sz w:val="18"/>
          <w:szCs w:val="18"/>
          <w:color w:val="auto"/>
        </w:rPr>
      </w:pPr>
    </w:p>
    <w:p>
      <w:pPr>
        <w:jc w:val="both"/>
        <w:ind w:left="980" w:hanging="324"/>
        <w:spacing w:after="0" w:line="253"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Seasonality of our business</w:t>
      </w:r>
      <w:r>
        <w:rPr>
          <w:rFonts w:ascii="Times New Roman" w:cs="Times New Roman" w:eastAsia="Times New Roman" w:hAnsi="Times New Roman"/>
          <w:sz w:val="18"/>
          <w:szCs w:val="18"/>
          <w:color w:val="auto"/>
        </w:rPr>
        <w:t>. Our operational and financial results, including medical costs and per-participant revenue true-ups, experience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some variability depending upon the time of year in which they are measured. Medical costs vary most significantly as a result of (i) the weather, with certain illnesses, such as the influenza virus, being more prevalent during colder months of the year, which generally increases per-participant costs, specifically in 2024, we expect to see some increase in inpatient and short stay nursing home utilization as well as increased acuity of our participant mix; and (ii) the number of business days in a period, with shorter periods generally having lower medical costs, all else equal. Per-participant revenue true-ups represent the difference between our estimate of per-participant capitation revenue to be received and actual revenue received by CMS, which is based on CMS’s determination of a participant’s RAF score as measured twice per year and is based on the evolving acuity of a participant. Where there is a difference between our estimate and the final determination from CMS, we may receive incremental true-up revenue or be required to repay certain amounts. Historically, these true-up payments typically occur between May and August, but the timing of these payments is determined by CMS, and we have neither visibility into nor control over the timing of such payments.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7"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Capitation Revenue</w:t>
      </w:r>
      <w:r>
        <w:rPr>
          <w:rFonts w:ascii="Times New Roman" w:cs="Times New Roman" w:eastAsia="Times New Roman" w:hAnsi="Times New Roman"/>
          <w:sz w:val="18"/>
          <w:szCs w:val="18"/>
          <w:color w:val="auto"/>
        </w:rPr>
        <w:t>. In order to provide comprehensive services to manage the totality of a participant’s medical care across all settings, we receive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fixed or capitated fees per participant that are paid monthly by Medicare, Medicaid, Veterans Affairs (“VA”) and private pay sources.</w:t>
      </w:r>
    </w:p>
    <w:p>
      <w:pPr>
        <w:spacing w:after="0" w:line="16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Medicaid and Medicare capitation revenues are based on PMPM capitation rates under the PACE program. The PACE state contracts between us and the respective state Medicaid administering agency are amended annually each June 30 in all states other than California and Pennsylvania, which contract on a calendar-year basis. We are currently operating in good standing under each of our PACE state contracts. For a discussion of our revenue recognition policies, please see </w:t>
      </w:r>
      <w:r>
        <w:rPr>
          <w:rFonts w:ascii="Times New Roman" w:cs="Times New Roman" w:eastAsia="Times New Roman" w:hAnsi="Times New Roman"/>
          <w:sz w:val="18"/>
          <w:szCs w:val="18"/>
          <w:i w:val="1"/>
          <w:iCs w:val="1"/>
          <w:color w:val="auto"/>
        </w:rPr>
        <w:t>Critical Accounting Estimates</w:t>
      </w:r>
      <w:r>
        <w:rPr>
          <w:rFonts w:ascii="Times New Roman" w:cs="Times New Roman" w:eastAsia="Times New Roman" w:hAnsi="Times New Roman"/>
          <w:sz w:val="18"/>
          <w:szCs w:val="18"/>
          <w:color w:val="auto"/>
        </w:rPr>
        <w:t xml:space="preserve"> below and Note 2 “Summary of Significant Accounting Policies” to our consolidated financial statements included in our 2023 10-K.</w:t>
      </w:r>
    </w:p>
    <w:p>
      <w:pPr>
        <w:spacing w:after="0" w:line="1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Service Revenue. </w:t>
      </w:r>
      <w:r>
        <w:rPr>
          <w:rFonts w:ascii="Times New Roman" w:cs="Times New Roman" w:eastAsia="Times New Roman" w:hAnsi="Times New Roman"/>
          <w:sz w:val="18"/>
          <w:szCs w:val="18"/>
          <w:color w:val="auto"/>
        </w:rPr>
        <w:t>Other service revenue primarily consists of revenues derived from fee-for-service arrangements, state food grants, 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revenues and management fees. Prior to June 30, 2022, we generated fee-for-service revenue from providing home-care services to non-PACE patients in their homes, for which we billed the patient or their insurance plan on a fee-for-service basis. We no longer offer in-home care services to non-PACE participants. For a discussion of our revenue recognition policies, please see </w:t>
      </w:r>
      <w:r>
        <w:rPr>
          <w:rFonts w:ascii="Times New Roman" w:cs="Times New Roman" w:eastAsia="Times New Roman" w:hAnsi="Times New Roman"/>
          <w:sz w:val="18"/>
          <w:szCs w:val="18"/>
          <w:i w:val="1"/>
          <w:iCs w:val="1"/>
          <w:color w:val="auto"/>
        </w:rPr>
        <w:t>Critical Accounting Estimates</w:t>
      </w:r>
      <w:r>
        <w:rPr>
          <w:rFonts w:ascii="Times New Roman" w:cs="Times New Roman" w:eastAsia="Times New Roman" w:hAnsi="Times New Roman"/>
          <w:sz w:val="18"/>
          <w:szCs w:val="18"/>
          <w:color w:val="auto"/>
        </w:rPr>
        <w:t xml:space="preserve"> below and Note 2, “Summary of Significant Accounting Policies” to our consolidated financial statements included in our 2023 10-K.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External Provider Costs. </w:t>
      </w:r>
      <w:r>
        <w:rPr>
          <w:rFonts w:ascii="Times New Roman" w:cs="Times New Roman" w:eastAsia="Times New Roman" w:hAnsi="Times New Roman"/>
          <w:sz w:val="18"/>
          <w:szCs w:val="18"/>
          <w:color w:val="auto"/>
        </w:rPr>
        <w:t>External provider costs consist primarily of the costs for medical care provided by non-InnovAge providers. We separate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external provider costs into four categories: inpatient (e.g., hospital), housing (e.g., assisted living and skilled nursing facility), outpatient and pharmacy. In aggregate, external provider costs represent the largest portion of our expenses.</w:t>
      </w:r>
    </w:p>
    <w:p>
      <w:pPr>
        <w:spacing w:after="0" w:line="17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Cost of Care, Excluding Depreciation and Amortization. </w:t>
      </w:r>
      <w:r>
        <w:rPr>
          <w:rFonts w:ascii="Times New Roman" w:cs="Times New Roman" w:eastAsia="Times New Roman" w:hAnsi="Times New Roman"/>
          <w:sz w:val="18"/>
          <w:szCs w:val="18"/>
          <w:color w:val="auto"/>
        </w:rPr>
        <w:t>Cost of care, excluding depreciation and amortization, includes the costs we incur to operate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care delivery model. This includes costs related to salaries, wages and benefits for IDT and other center-level staff, participant transportation, medical supplies, occupancy, insurance and other operating costs. IDT employees include medical doctors, registered nurses, social workers, physical, occupational, and speech therapists, nursing assistants, and transportation workers. Other center-level employees include clinic managers, dieticians, activity assistants and certified nursing assistants. Cost of care excludes any expenses associated with sales and marketing activities incurred at a local level as well as any allocation of our corporate, general and administrative expenses. A portion of our cost of care, including our employee-related costs, is directly related to the number of participants cared for in a center. The remainder of our cost of care is fixed relative to the number of participants we serve, such as occupancy and insurance expenses. As a result, as revenue increases due to census growth, cost of care, excluding depreciation and amortization, moderately decreases as a percentage of revenue. As we open new centers, we expect cost of care, excluding depreciation and amortization, to increase in absolute dollars due to higher census and facility related costs.</w:t>
      </w:r>
    </w:p>
    <w:p>
      <w:pPr>
        <w:spacing w:after="0" w:line="18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consist of employee-related expenses, including salaries, commissions, and employee benefits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for all employees engaged in marketing, sales, community outreach and sales support. These employee-related expenses capture all costs for both our field-based and corporate sales and marketing teams. Sales and marketing expenses also include local and centralized advertising costs, as well as the infrastructure required to support our marketing efforts. We expect these costs to increase in absolute dollars over time as we grow our participant census. We evaluate our sales and marketing expenses relative to our participant growth and will invest more heavily in sales and marketing from time-to-time to the extent we believe such investment can accelerate our growth without negatively affecting profitability.</w:t>
      </w:r>
    </w:p>
    <w:p>
      <w:pPr>
        <w:spacing w:after="0" w:line="18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Corporate, General and Administrative. </w:t>
      </w:r>
      <w:r>
        <w:rPr>
          <w:rFonts w:ascii="Times New Roman" w:cs="Times New Roman" w:eastAsia="Times New Roman" w:hAnsi="Times New Roman"/>
          <w:sz w:val="18"/>
          <w:szCs w:val="18"/>
          <w:color w:val="auto"/>
        </w:rPr>
        <w:t>Corporate, general and administrative expenses include employee-related expenses, including salaries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costs. In addition, general and administrative expenses include all corporate technology and occupancy costs associated with our corporate office. We expect our general and administrative expenses to increase in absolute dollars due to the additional legal, accounting, insurance, investor relations and other costs that we incur as a public company, as well as other costs associated with compliance and continuing to grow our business. However, we anticipate general and administrative expenses to decrease as a percentage of revenue over the long term,</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although such expenses may fluctuate as a percentage of revenue from period to period due to the timing and amount of these expenses.</w:t>
      </w:r>
    </w:p>
    <w:p>
      <w:pPr>
        <w:spacing w:after="0" w:line="22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expenses are primarily attributable to our buildings and leasehold improvements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equipment and vehicles. Depreciation and amortization are recorded using the straight-line method over the shorter of estimated useful life or lease terms, to the extent the assets are being leased.</w:t>
      </w:r>
    </w:p>
    <w:p>
      <w:pPr>
        <w:spacing w:after="0" w:line="173"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color w:val="auto"/>
        </w:rPr>
        <w:t xml:space="preserve">For more information relating to the components of our results of operations, see </w:t>
      </w:r>
      <w:r>
        <w:rPr>
          <w:rFonts w:ascii="Times New Roman" w:cs="Times New Roman" w:eastAsia="Times New Roman" w:hAnsi="Times New Roman"/>
          <w:sz w:val="18"/>
          <w:szCs w:val="18"/>
          <w:i w:val="1"/>
          <w:iCs w:val="1"/>
          <w:color w:val="auto"/>
        </w:rPr>
        <w:t>Results of Operations</w:t>
      </w:r>
      <w:r>
        <w:rPr>
          <w:rFonts w:ascii="Times New Roman" w:cs="Times New Roman" w:eastAsia="Times New Roman" w:hAnsi="Times New Roman"/>
          <w:sz w:val="18"/>
          <w:szCs w:val="18"/>
          <w:color w:val="auto"/>
        </w:rPr>
        <w:t xml:space="preserve"> below and Note 2 “Summary of Significant Accounting Policies” to our consolidated financial statements included in our 2023 10-K.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consolidated results of operations for the periods presented: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60" w:type="dxa"/>
            <w:vAlign w:val="bottom"/>
            <w:gridSpan w:val="10"/>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60" w:type="dxa"/>
            <w:vAlign w:val="bottom"/>
            <w:gridSpan w:val="9"/>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0" w:type="dxa"/>
            <w:vAlign w:val="bottom"/>
          </w:tcPr>
          <w:p>
            <w:pPr>
              <w:spacing w:after="0"/>
              <w:rPr>
                <w:sz w:val="1"/>
                <w:szCs w:val="1"/>
                <w:color w:val="auto"/>
              </w:rPr>
            </w:pPr>
          </w:p>
        </w:tc>
      </w:tr>
      <w:tr>
        <w:trPr>
          <w:trHeight w:val="230"/>
        </w:trPr>
        <w:tc>
          <w:tcPr>
            <w:tcW w:w="1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1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Capitation revenue</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188,561</w:t>
            </w:r>
          </w:p>
        </w:tc>
        <w:tc>
          <w:tcPr>
            <w:tcW w:w="420" w:type="dxa"/>
            <w:vAlign w:val="bottom"/>
            <w:gridSpan w:val="2"/>
          </w:tcPr>
          <w:p>
            <w:pPr>
              <w:jc w:val="center"/>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167,140</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370,734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jc w:val="center"/>
              <w:ind w:right="159"/>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338,071</w:t>
            </w:r>
          </w:p>
        </w:tc>
        <w:tc>
          <w:tcPr>
            <w:tcW w:w="0" w:type="dxa"/>
            <w:vAlign w:val="bottom"/>
          </w:tcPr>
          <w:p>
            <w:pPr>
              <w:spacing w:after="0"/>
              <w:rPr>
                <w:sz w:val="1"/>
                <w:szCs w:val="1"/>
                <w:color w:val="auto"/>
              </w:rPr>
            </w:pPr>
          </w:p>
        </w:tc>
      </w:tr>
      <w:tr>
        <w:trPr>
          <w:trHeight w:val="243"/>
        </w:trPr>
        <w:tc>
          <w:tcPr>
            <w:tcW w:w="1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service revenue</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316</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37"/>
        </w:trPr>
        <w:tc>
          <w:tcPr>
            <w:tcW w:w="19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revenues</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188,898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167,456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371,382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338,674</w:t>
            </w:r>
          </w:p>
        </w:tc>
        <w:tc>
          <w:tcPr>
            <w:tcW w:w="0" w:type="dxa"/>
            <w:vAlign w:val="bottom"/>
          </w:tcPr>
          <w:p>
            <w:pPr>
              <w:spacing w:after="0"/>
              <w:rPr>
                <w:sz w:val="1"/>
                <w:szCs w:val="1"/>
                <w:color w:val="auto"/>
              </w:rPr>
            </w:pPr>
          </w:p>
        </w:tc>
      </w:tr>
      <w:tr>
        <w:trPr>
          <w:trHeight w:val="223"/>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External provider costs</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93,507</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200,322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189,744</w:t>
            </w:r>
          </w:p>
        </w:tc>
        <w:tc>
          <w:tcPr>
            <w:tcW w:w="0" w:type="dxa"/>
            <w:vAlign w:val="bottom"/>
          </w:tcPr>
          <w:p>
            <w:pPr>
              <w:spacing w:after="0"/>
              <w:rPr>
                <w:sz w:val="1"/>
                <w:szCs w:val="1"/>
                <w:color w:val="auto"/>
              </w:rPr>
            </w:pPr>
          </w:p>
        </w:tc>
      </w:tr>
      <w:tr>
        <w:trPr>
          <w:trHeight w:val="243"/>
        </w:trPr>
        <w:tc>
          <w:tcPr>
            <w:tcW w:w="4200" w:type="dxa"/>
            <w:vAlign w:val="bottom"/>
            <w:gridSpan w:val="7"/>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Cost of care, excluding depreciation and amortization</w:t>
            </w:r>
          </w:p>
        </w:tc>
        <w:tc>
          <w:tcPr>
            <w:tcW w:w="3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54,321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51,376</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109,570</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104,933</w:t>
            </w:r>
          </w:p>
        </w:tc>
        <w:tc>
          <w:tcPr>
            <w:tcW w:w="0" w:type="dxa"/>
            <w:vAlign w:val="bottom"/>
          </w:tcPr>
          <w:p>
            <w:pPr>
              <w:spacing w:after="0"/>
              <w:rPr>
                <w:sz w:val="1"/>
                <w:szCs w:val="1"/>
                <w:color w:val="auto"/>
              </w:rPr>
            </w:pPr>
          </w:p>
        </w:tc>
      </w:tr>
      <w:tr>
        <w:trPr>
          <w:trHeight w:val="243"/>
        </w:trPr>
        <w:tc>
          <w:tcPr>
            <w:tcW w:w="1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Sales and marketing</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3,774</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11,237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8,187</w:t>
            </w:r>
          </w:p>
        </w:tc>
        <w:tc>
          <w:tcPr>
            <w:tcW w:w="0" w:type="dxa"/>
            <w:vAlign w:val="bottom"/>
          </w:tcPr>
          <w:p>
            <w:pPr>
              <w:spacing w:after="0"/>
              <w:rPr>
                <w:sz w:val="1"/>
                <w:szCs w:val="1"/>
                <w:color w:val="auto"/>
              </w:rPr>
            </w:pPr>
          </w:p>
        </w:tc>
      </w:tr>
      <w:tr>
        <w:trPr>
          <w:trHeight w:val="243"/>
        </w:trPr>
        <w:tc>
          <w:tcPr>
            <w:tcW w:w="304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Corporate, general and administrative</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25,249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28,817</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54,197</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58,999</w:t>
            </w:r>
          </w:p>
        </w:tc>
        <w:tc>
          <w:tcPr>
            <w:tcW w:w="0" w:type="dxa"/>
            <w:vAlign w:val="bottom"/>
          </w:tcPr>
          <w:p>
            <w:pPr>
              <w:spacing w:after="0"/>
              <w:rPr>
                <w:sz w:val="1"/>
                <w:szCs w:val="1"/>
                <w:color w:val="auto"/>
              </w:rPr>
            </w:pPr>
          </w:p>
        </w:tc>
      </w:tr>
      <w:tr>
        <w:trPr>
          <w:trHeight w:val="243"/>
        </w:trPr>
        <w:tc>
          <w:tcPr>
            <w:tcW w:w="3040" w:type="dxa"/>
            <w:vAlign w:val="bottom"/>
            <w:tcBorders>
              <w:bottom w:val="single" w:sz="8" w:color="CCEEFF"/>
            </w:tcBorders>
            <w:gridSpan w:val="4"/>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4,290</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3,662</w:t>
            </w: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8,559</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7,095</w:t>
            </w:r>
          </w:p>
        </w:tc>
        <w:tc>
          <w:tcPr>
            <w:tcW w:w="0" w:type="dxa"/>
            <w:vAlign w:val="bottom"/>
          </w:tcPr>
          <w:p>
            <w:pPr>
              <w:spacing w:after="0"/>
              <w:rPr>
                <w:sz w:val="1"/>
                <w:szCs w:val="1"/>
                <w:color w:val="auto"/>
              </w:rPr>
            </w:pPr>
          </w:p>
        </w:tc>
      </w:tr>
      <w:tr>
        <w:trPr>
          <w:trHeight w:val="237"/>
        </w:trPr>
        <w:tc>
          <w:tcPr>
            <w:tcW w:w="1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expenses</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190,683</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181,136</w:t>
            </w:r>
          </w:p>
        </w:tc>
        <w:tc>
          <w:tcPr>
            <w:tcW w:w="6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383,885</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368,958</w:t>
            </w:r>
          </w:p>
        </w:tc>
        <w:tc>
          <w:tcPr>
            <w:tcW w:w="0" w:type="dxa"/>
            <w:vAlign w:val="bottom"/>
          </w:tcPr>
          <w:p>
            <w:pPr>
              <w:spacing w:after="0"/>
              <w:rPr>
                <w:sz w:val="1"/>
                <w:szCs w:val="1"/>
                <w:color w:val="auto"/>
              </w:rPr>
            </w:pPr>
          </w:p>
        </w:tc>
      </w:tr>
      <w:tr>
        <w:trPr>
          <w:trHeight w:val="236"/>
        </w:trPr>
        <w:tc>
          <w:tcPr>
            <w:tcW w:w="1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(1,785)</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(13,680)</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(12,503)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(30,284)</w:t>
            </w:r>
          </w:p>
        </w:tc>
        <w:tc>
          <w:tcPr>
            <w:tcW w:w="0" w:type="dxa"/>
            <w:vAlign w:val="bottom"/>
          </w:tcPr>
          <w:p>
            <w:pPr>
              <w:spacing w:after="0"/>
              <w:rPr>
                <w:sz w:val="1"/>
                <w:szCs w:val="1"/>
                <w:color w:val="auto"/>
              </w:rPr>
            </w:pPr>
          </w:p>
        </w:tc>
      </w:tr>
      <w:tr>
        <w:trPr>
          <w:trHeight w:val="250"/>
        </w:trPr>
        <w:tc>
          <w:tcPr>
            <w:tcW w:w="1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1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 expense, net</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43"/>
        </w:trPr>
        <w:tc>
          <w:tcPr>
            <w:tcW w:w="1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income</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444</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43"/>
        </w:trPr>
        <w:tc>
          <w:tcPr>
            <w:tcW w:w="1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expense</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19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Total other expense</w:t>
            </w: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221</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37"/>
        </w:trPr>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Before Income Taxes</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(30,630)</w:t>
            </w:r>
          </w:p>
        </w:tc>
        <w:tc>
          <w:tcPr>
            <w:tcW w:w="0" w:type="dxa"/>
            <w:vAlign w:val="bottom"/>
          </w:tcPr>
          <w:p>
            <w:pPr>
              <w:spacing w:after="0"/>
              <w:rPr>
                <w:sz w:val="1"/>
                <w:szCs w:val="1"/>
                <w:color w:val="auto"/>
              </w:rPr>
            </w:pPr>
          </w:p>
        </w:tc>
      </w:tr>
      <w:tr>
        <w:trPr>
          <w:trHeight w:val="243"/>
        </w:trPr>
        <w:tc>
          <w:tcPr>
            <w:tcW w:w="304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Provision (Benefit) for Income Taxes</w:t>
            </w:r>
          </w:p>
        </w:tc>
        <w:tc>
          <w:tcPr>
            <w:tcW w:w="24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(2,912)</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(6,383)</w:t>
            </w:r>
          </w:p>
        </w:tc>
        <w:tc>
          <w:tcPr>
            <w:tcW w:w="0" w:type="dxa"/>
            <w:vAlign w:val="bottom"/>
          </w:tcPr>
          <w:p>
            <w:pPr>
              <w:spacing w:after="0"/>
              <w:rPr>
                <w:sz w:val="1"/>
                <w:szCs w:val="1"/>
                <w:color w:val="auto"/>
              </w:rPr>
            </w:pPr>
          </w:p>
        </w:tc>
      </w:tr>
      <w:tr>
        <w:trPr>
          <w:trHeight w:val="217"/>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center"/>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(10,547)</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(14,783)</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center"/>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(24,247)</w:t>
            </w:r>
          </w:p>
        </w:tc>
        <w:tc>
          <w:tcPr>
            <w:tcW w:w="0" w:type="dxa"/>
            <w:vAlign w:val="bottom"/>
          </w:tcPr>
          <w:p>
            <w:pPr>
              <w:spacing w:after="0"/>
              <w:rPr>
                <w:sz w:val="1"/>
                <w:szCs w:val="1"/>
                <w:color w:val="auto"/>
              </w:rPr>
            </w:pPr>
          </w:p>
        </w:tc>
      </w:tr>
      <w:tr>
        <w:trPr>
          <w:trHeight w:val="210"/>
        </w:trPr>
        <w:tc>
          <w:tcPr>
            <w:tcW w:w="4200" w:type="dxa"/>
            <w:vAlign w:val="bottom"/>
            <w:gridSpan w:val="7"/>
          </w:tcPr>
          <w:p>
            <w:pPr>
              <w:ind w:left="100"/>
              <w:spacing w:after="0"/>
              <w:rPr>
                <w:sz w:val="20"/>
                <w:szCs w:val="20"/>
                <w:color w:val="auto"/>
              </w:rPr>
            </w:pPr>
            <w:r>
              <w:rPr>
                <w:rFonts w:ascii="Times New Roman" w:cs="Times New Roman" w:eastAsia="Times New Roman" w:hAnsi="Times New Roman"/>
                <w:sz w:val="16"/>
                <w:szCs w:val="16"/>
                <w:color w:val="auto"/>
              </w:rPr>
              <w:t>Less: net loss attributable to noncontrolling interests</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(1,381)</w:t>
            </w:r>
          </w:p>
        </w:tc>
        <w:tc>
          <w:tcPr>
            <w:tcW w:w="0" w:type="dxa"/>
            <w:vAlign w:val="bottom"/>
          </w:tcPr>
          <w:p>
            <w:pPr>
              <w:spacing w:after="0"/>
              <w:rPr>
                <w:sz w:val="1"/>
                <w:szCs w:val="1"/>
                <w:color w:val="auto"/>
              </w:rPr>
            </w:pPr>
          </w:p>
        </w:tc>
      </w:tr>
      <w:tr>
        <w:trPr>
          <w:trHeight w:val="33"/>
        </w:trPr>
        <w:tc>
          <w:tcPr>
            <w:tcW w:w="2960" w:type="dxa"/>
            <w:vAlign w:val="bottom"/>
            <w:tcBorders>
              <w:bottom w:val="single" w:sz="8" w:color="CCEEFF"/>
            </w:tcBorders>
            <w:gridSpan w:val="3"/>
          </w:tcPr>
          <w:p>
            <w:pPr>
              <w:spacing w:after="0"/>
              <w:rPr>
                <w:sz w:val="2"/>
                <w:szCs w:val="2"/>
                <w:color w:val="auto"/>
              </w:rPr>
            </w:pPr>
          </w:p>
        </w:tc>
        <w:tc>
          <w:tcPr>
            <w:tcW w:w="1140" w:type="dxa"/>
            <w:vAlign w:val="bottom"/>
            <w:tcBorders>
              <w:bottom w:val="single" w:sz="8" w:color="CCEEFF"/>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200" w:type="dxa"/>
            <w:vAlign w:val="bottom"/>
            <w:tcBorders>
              <w:bottom w:val="single" w:sz="8" w:color="CCEE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Attributable to InnovAge Holding Corp.</w:t>
            </w:r>
          </w:p>
        </w:tc>
        <w:tc>
          <w:tcPr>
            <w:tcW w:w="3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center"/>
              <w:ind w:right="119"/>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(9,793)</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center"/>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(22,866)</w:t>
            </w: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19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December</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31,</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4"/>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7"/>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3"/>
          </w:tcPr>
          <w:p>
            <w:pPr>
              <w:jc w:val="right"/>
              <w:ind w:right="83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vMerge w:val="restart"/>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vMerge w:val="restart"/>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gridSpan w:val="2"/>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1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Capitation revenue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188,561</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167,140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21,421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3"/>
            <w:shd w:val="clear" w:color="auto" w:fill="CCEEFF"/>
          </w:tcPr>
          <w:p>
            <w:pPr>
              <w:jc w:val="center"/>
              <w:ind w:left="459"/>
              <w:spacing w:after="0"/>
              <w:rPr>
                <w:sz w:val="20"/>
                <w:szCs w:val="20"/>
                <w:color w:val="auto"/>
              </w:rPr>
            </w:pPr>
            <w:r>
              <w:rPr>
                <w:rFonts w:ascii="Times New Roman" w:cs="Times New Roman" w:eastAsia="Times New Roman" w:hAnsi="Times New Roman"/>
                <w:sz w:val="16"/>
                <w:szCs w:val="16"/>
                <w:color w:val="auto"/>
              </w:rPr>
              <w:t>12.8 %</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370,734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338,071</w:t>
            </w:r>
          </w:p>
        </w:tc>
        <w:tc>
          <w:tcPr>
            <w:tcW w:w="4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gridSpan w:val="2"/>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32,663</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0" w:type="dxa"/>
            <w:vAlign w:val="bottom"/>
          </w:tcPr>
          <w:p>
            <w:pPr>
              <w:spacing w:after="0"/>
              <w:rPr>
                <w:sz w:val="1"/>
                <w:szCs w:val="1"/>
                <w:color w:val="auto"/>
              </w:rPr>
            </w:pPr>
          </w:p>
        </w:tc>
      </w:tr>
      <w:tr>
        <w:trPr>
          <w:trHeight w:val="236"/>
        </w:trPr>
        <w:tc>
          <w:tcPr>
            <w:tcW w:w="1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service revenue</w:t>
            </w: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64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10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0" w:type="dxa"/>
            <w:vAlign w:val="bottom"/>
          </w:tcPr>
          <w:p>
            <w:pPr>
              <w:spacing w:after="0"/>
              <w:rPr>
                <w:sz w:val="1"/>
                <w:szCs w:val="1"/>
                <w:color w:val="auto"/>
              </w:rPr>
            </w:pPr>
          </w:p>
        </w:tc>
      </w:tr>
      <w:tr>
        <w:trPr>
          <w:trHeight w:val="265"/>
        </w:trPr>
        <w:tc>
          <w:tcPr>
            <w:tcW w:w="19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Total revenues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188,898</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167,456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21,442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center"/>
              <w:ind w:left="459"/>
              <w:spacing w:after="0"/>
              <w:rPr>
                <w:sz w:val="20"/>
                <w:szCs w:val="20"/>
                <w:color w:val="auto"/>
              </w:rPr>
            </w:pPr>
            <w:r>
              <w:rPr>
                <w:rFonts w:ascii="Times New Roman" w:cs="Times New Roman" w:eastAsia="Times New Roman" w:hAnsi="Times New Roman"/>
                <w:sz w:val="16"/>
                <w:szCs w:val="16"/>
                <w:color w:val="auto"/>
              </w:rPr>
              <w:t>12.8 %</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371,382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338,674</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32,708</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CCEEFF"/>
            </w:tcBorders>
            <w:vMerge w:val="restart"/>
          </w:tcPr>
          <w:p>
            <w:pPr>
              <w:jc w:val="right"/>
              <w:ind w:right="299"/>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8"/>
        </w:trPr>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Capitation revenue. </w:t>
      </w:r>
      <w:r>
        <w:rPr>
          <w:rFonts w:ascii="Times New Roman" w:cs="Times New Roman" w:eastAsia="Times New Roman" w:hAnsi="Times New Roman"/>
          <w:sz w:val="18"/>
          <w:szCs w:val="18"/>
          <w:color w:val="auto"/>
        </w:rPr>
        <w:t>Capitation revenue was $188.6 million for the three months ended December 31, 2023 an increase of $21.4 million, or 12.8%,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$167.1 million for the three months ended December 31, 2022. This increase was driven by a $15.8 million, or 9.1%, increase in capitation rates coupled with $5.6 million, or 3.4%, increase in member months. The increase in capitation rates was primarily driven by (i) a 7.0% annual increase in Medicaid capitation rates as determined by the States and (ii) an 11.8% increase in Medicare capitation rates as a result of increased risk score and county rates coupled with a one-time true up outside of the regular payment cycle. The increase in member months is primarily due to the release from sanctions at our Colorado and Sacramento centers.</w:t>
      </w:r>
    </w:p>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Capitation revenue was $370.7 million for the six months ended December 31, 2023, an increase of $32.7 million, or 9.7% compared to $338.1 million for the six months ended December 31, 2022. This increase was driven by a $28.7 million, or 8.4%, increase in capitation rates coupled with a $3.9 million, or 1.2%, increase in member months. The increase in capitation rates include a 6.9% annual increase in Medicaid rates and a 10.3% increase in Medicare rates.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December</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6"/>
                <w:szCs w:val="16"/>
                <w:color w:val="auto"/>
              </w:rPr>
            </w:pPr>
          </w:p>
        </w:tc>
        <w:tc>
          <w:tcPr>
            <w:tcW w:w="108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31,</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32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External provider costs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100,964</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93,507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200,322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189,744</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10,578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02"/>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care (excluding depreciation and</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104,933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33"/>
        </w:trPr>
        <w:tc>
          <w:tcPr>
            <w:tcW w:w="3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5,859</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2,085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55.2 %</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8,187</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37.3 %</w:t>
            </w:r>
          </w:p>
        </w:tc>
        <w:tc>
          <w:tcPr>
            <w:tcW w:w="0" w:type="dxa"/>
            <w:vAlign w:val="bottom"/>
          </w:tcPr>
          <w:p>
            <w:pPr>
              <w:spacing w:after="0"/>
              <w:rPr>
                <w:sz w:val="1"/>
                <w:szCs w:val="1"/>
                <w:color w:val="auto"/>
              </w:rPr>
            </w:pPr>
          </w:p>
        </w:tc>
      </w:tr>
      <w:tr>
        <w:trPr>
          <w:trHeight w:val="233"/>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Corporate, general, and administrative</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25,249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54,197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58,999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46"/>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4,290</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3,662</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8,559</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7,095</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240"/>
        </w:trPr>
        <w:tc>
          <w:tcPr>
            <w:tcW w:w="3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190,683</w:t>
            </w:r>
          </w:p>
        </w:tc>
        <w:tc>
          <w:tcPr>
            <w:tcW w:w="8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181,136</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9,547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383,885</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368,958</w:t>
            </w:r>
          </w:p>
        </w:tc>
        <w:tc>
          <w:tcPr>
            <w:tcW w:w="80" w:type="dxa"/>
            <w:vAlign w:val="bottom"/>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14,927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3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both"/>
        <w:ind w:right="20" w:firstLine="324"/>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External provider costs. </w:t>
      </w:r>
      <w:r>
        <w:rPr>
          <w:rFonts w:ascii="Times New Roman" w:cs="Times New Roman" w:eastAsia="Times New Roman" w:hAnsi="Times New Roman"/>
          <w:sz w:val="18"/>
          <w:szCs w:val="18"/>
          <w:color w:val="auto"/>
        </w:rPr>
        <w:t>External provider costs were $101.0 million for the three months ended December 31, 2023, an increase of $7.5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8.0%, compared to $93.5 million for the three months ended December 31, 2022. The increase was primarily driven by an increase of $4.3 million, or</w:t>
      </w:r>
    </w:p>
    <w:p>
      <w:pPr>
        <w:jc w:val="both"/>
        <w:spacing w:after="0" w:line="255" w:lineRule="auto"/>
        <w:rPr>
          <w:sz w:val="20"/>
          <w:szCs w:val="20"/>
          <w:color w:val="auto"/>
        </w:rPr>
      </w:pPr>
      <w:r>
        <w:rPr>
          <w:rFonts w:ascii="Times New Roman" w:cs="Times New Roman" w:eastAsia="Times New Roman" w:hAnsi="Times New Roman"/>
          <w:sz w:val="18"/>
          <w:szCs w:val="18"/>
          <w:color w:val="auto"/>
        </w:rPr>
        <w:t>4.4%, in cost per participant coupled with an increase of $3.2 million, or 3.4% in member months. The increase in cost per participant was primarily driven by an annual increase in pharmacy cost, an increase in assisted living utilization and unit cost, and an increase in outpatient services utilization. This was partially offset by a decrease in permanent nursing facility utilization.</w:t>
      </w:r>
    </w:p>
    <w:p>
      <w:pPr>
        <w:spacing w:after="0" w:line="18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External provider costs were $200.3 million for the six months ended December 31, 2023, an increase of $10.6, or 5.6%, compared to $189.7 for the six months ended December 31, 2022. This increase was primarily driven by an increase of $8.4 million, or 4.4%, in cost per participant coupled with an increase of $2.2 million, or 1.2%, in member months. The increase in cost per participant was primarily driven by an annual increase in pharmacy cost, an increase in assisted living utilization and unit cost, and an increase in outpatient services utilization. This is partially offset by a decrease in permanent and short stay nursing facility utilization.</w:t>
      </w:r>
    </w:p>
    <w:p>
      <w:pPr>
        <w:spacing w:after="0" w:line="18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Cost of care (excluding depreciation and amortization). </w:t>
      </w:r>
      <w:r>
        <w:rPr>
          <w:rFonts w:ascii="Times New Roman" w:cs="Times New Roman" w:eastAsia="Times New Roman" w:hAnsi="Times New Roman"/>
          <w:sz w:val="18"/>
          <w:szCs w:val="18"/>
          <w:color w:val="auto"/>
        </w:rPr>
        <w:t>Cost of care (excluding depreciation and amortization) expense was $54.3 million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December 31, 2023, an increase of $2.9 million, or 5.7%, compared to $51.4 million for the three months ended December 31, 2022, primarily due to an increase of $1.2 million, or 2.3%, in cost per participant coupled with an increase of $1.7 million, or 3.4%, in member months. The increase was primarily driven by (i) a $3.1 million increase in salaries, wages and benefits associated with increased headcount and higher wage rates, (ii) $0.9 million in increased building maintenance and security, and (iii) $0.4 million in increased fleet expense and contract transportation a result of an increase in center attendance and an increase in external appointments, partially offset by $1.0 million reduction in third party audit and compliance support.</w:t>
      </w:r>
    </w:p>
    <w:p>
      <w:pPr>
        <w:spacing w:after="0" w:line="1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Cost of care (excluding depreciation and amortization) expense was $109.6 million for the six months ended December 31, 2023, an increase of $4.6 million, or 4.4%, compared to $104.9 million for the six months ended December 31, 2022, primarily due to an increase of $3.4 million, or 3.2%, in cost per participant coupled with an increase of $1.2 million, or 1.2%, in member months. The increase was primarily driven by (i) a $4.5 million increase in salaries, wages and benefits associated with increased headcount and wage rate, (ii) $1.5 million in increased building maintenance and security, and (iii) $1.8 million in increased fleet expense as a result of an increase in center attendance and an increase in external appointments, partially offset by $2.5 million reduction in third party audit and compliance support.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were $5.9 million for the three months ended December 31, 2023, an increase of $2.1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55.2%, compared to $3.8 million for the three months ended December 31, 2022, primarily due to increased marketing spend and headcount as a result of the sanction release in our Colorado and Sacramento centers.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Sales and marketing expense were $11.2 million for the six months ended December 31, 2023, an increase of $3.1 million, or 37.3%, compared to $8.2 million for the six months ended December 31, 2022, primarily due to increased marketing spend and headcount as a result of the sanction release in our Colorado and Sacramento centers.</w:t>
      </w:r>
    </w:p>
    <w:p>
      <w:pPr>
        <w:spacing w:after="0" w:line="174"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Corporate, general and administrative. </w:t>
      </w:r>
      <w:r>
        <w:rPr>
          <w:rFonts w:ascii="Times New Roman" w:cs="Times New Roman" w:eastAsia="Times New Roman" w:hAnsi="Times New Roman"/>
          <w:sz w:val="18"/>
          <w:szCs w:val="18"/>
          <w:color w:val="auto"/>
        </w:rPr>
        <w:t>Corporate, general and administrative expenses were $25.2 million for the three months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a decrease of $3.6 million, or 12.4%, compared to $28.8 million for the three months ended December 31, 2022. The decrease was primarily due to</w:t>
      </w:r>
    </w:p>
    <w:p>
      <w:pPr>
        <w:jc w:val="both"/>
        <w:ind w:firstLine="8"/>
        <w:spacing w:after="0" w:line="253" w:lineRule="auto"/>
        <w:tabs>
          <w:tab w:leader="none" w:pos="23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$2.9 million reduction in third party legal expense, (ii) a $0.6 million reduction in insurance expense, (iii) a $1.3 million reduction in consulting expense associated with improving organizational capabilities including the transition to a new electronic medical record ("EMR") system, (iv) $1.0 million reduction in contract staff augmentation, and (iv) $0.9 million reduction in recruiting expense. These decreases in cost were partially offset by (i) $1.5 million increase in employee compensation and benefits as the result of an increase in headcount to support compliance and bolster organizational capabilities, (ii) $1.1 million in bad debt expense, and (iii) $0.3 million in license fees.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Corporate, general and administrative expenses were $54.2 million for the six months ended December 31, 2023, a decrease of $4.8 million, or 8.1%, compared to $59.0 million for the six months ended December 31, 2022. This decrease was primarily due to (i) a $2.7 million reduction in third party legal expense, (ii) $1.2 million reduction in insurance expense, (iii) $2.9 million reduction in consulting expense associated with improving organizational capabilities including the transition to a new EMR, (iv) $1.2 million reduction in contract staff augmentation, and (v) $1.4 million reduction in recruiting expense. These decreases were partially offset by (i) a $2.1 million increase in employee compensation and benefits as the result of an increase in headcount, (ii) $0.6 million in bad debt expense, (iii) $0.5 million in consulting costs associated with Sarbanes-Oxley Act of 2002 compliance and internal audit. and (iv) $1.2 million in software license and maintenance expense, inclusive of Epic license fees.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880" w:type="dxa"/>
            <w:vAlign w:val="bottom"/>
          </w:tcPr>
          <w:p>
            <w:pPr>
              <w:spacing w:after="0"/>
              <w:rPr>
                <w:sz w:val="16"/>
                <w:szCs w:val="16"/>
                <w:color w:val="auto"/>
              </w:rPr>
            </w:pPr>
          </w:p>
        </w:tc>
        <w:tc>
          <w:tcPr>
            <w:tcW w:w="23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00" w:type="dxa"/>
            <w:vAlign w:val="bottom"/>
          </w:tcPr>
          <w:p>
            <w:pPr>
              <w:spacing w:after="0"/>
              <w:rPr>
                <w:sz w:val="16"/>
                <w:szCs w:val="16"/>
                <w:color w:val="auto"/>
              </w:rPr>
            </w:pPr>
          </w:p>
        </w:tc>
        <w:tc>
          <w:tcPr>
            <w:tcW w:w="120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580" w:type="dxa"/>
            <w:vAlign w:val="bottom"/>
          </w:tcPr>
          <w:p>
            <w:pPr>
              <w:spacing w:after="0"/>
              <w:rPr>
                <w:sz w:val="16"/>
                <w:szCs w:val="16"/>
                <w:color w:val="auto"/>
              </w:rPr>
            </w:pPr>
          </w:p>
        </w:tc>
        <w:tc>
          <w:tcPr>
            <w:tcW w:w="92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1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8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Interest expense, net</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w:t>
            </w: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521"/>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2"/>
              </w:rPr>
              <w:t>(826)</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w:t>
            </w:r>
          </w:p>
        </w:tc>
        <w:tc>
          <w:tcPr>
            <w:tcW w:w="0" w:type="dxa"/>
            <w:vAlign w:val="bottom"/>
          </w:tcPr>
          <w:p>
            <w:pPr>
              <w:spacing w:after="0"/>
              <w:rPr>
                <w:sz w:val="1"/>
                <w:szCs w:val="1"/>
                <w:color w:val="auto"/>
              </w:rPr>
            </w:pPr>
          </w:p>
        </w:tc>
      </w:tr>
      <w:tr>
        <w:trPr>
          <w:trHeight w:val="233"/>
        </w:trPr>
        <w:tc>
          <w:tcPr>
            <w:tcW w:w="18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income</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1,517</w:t>
            </w: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216.0%</w:t>
            </w:r>
          </w:p>
        </w:tc>
        <w:tc>
          <w:tcPr>
            <w:tcW w:w="0" w:type="dxa"/>
            <w:vAlign w:val="bottom"/>
          </w:tcPr>
          <w:p>
            <w:pPr>
              <w:spacing w:after="0"/>
              <w:rPr>
                <w:sz w:val="1"/>
                <w:szCs w:val="1"/>
                <w:color w:val="auto"/>
              </w:rPr>
            </w:pPr>
          </w:p>
        </w:tc>
      </w:tr>
      <w:tr>
        <w:trPr>
          <w:trHeight w:val="246"/>
        </w:trPr>
        <w:tc>
          <w:tcPr>
            <w:tcW w:w="1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Other expense</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w:t>
            </w: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52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(1,882)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43"/>
        </w:trPr>
        <w:tc>
          <w:tcPr>
            <w:tcW w:w="18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other expense</w:t>
            </w: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(1,943)</w:t>
            </w:r>
          </w:p>
        </w:tc>
        <w:tc>
          <w:tcPr>
            <w:tcW w:w="8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221</w:t>
            </w:r>
          </w:p>
        </w:tc>
        <w:tc>
          <w:tcPr>
            <w:tcW w:w="8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(1,961)</w:t>
            </w:r>
          </w:p>
        </w:tc>
        <w:tc>
          <w:tcPr>
            <w:tcW w:w="80" w:type="dxa"/>
            <w:vAlign w:val="bottom"/>
          </w:tcPr>
          <w:p>
            <w:pPr>
              <w:spacing w:after="0"/>
              <w:rPr>
                <w:sz w:val="21"/>
                <w:szCs w:val="21"/>
                <w:color w:val="auto"/>
              </w:rPr>
            </w:pPr>
          </w:p>
        </w:tc>
        <w:tc>
          <w:tcPr>
            <w:tcW w:w="700" w:type="dxa"/>
            <w:vAlign w:val="bottom"/>
            <w:tcBorders>
              <w:top w:val="single" w:sz="8" w:color="auto"/>
              <w:bottom w:val="single" w:sz="8" w:color="auto"/>
            </w:tcBorders>
          </w:tcPr>
          <w:p>
            <w:pPr>
              <w:jc w:val="right"/>
              <w:ind w:right="521"/>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2"/>
              </w:rPr>
              <w:t>(346)</w:t>
            </w:r>
          </w:p>
        </w:tc>
        <w:tc>
          <w:tcPr>
            <w:tcW w:w="10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(1,615)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Interest expense, net, consists primarily of interest payments on our outstanding borrowings, net of interest income earned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and cash equivalents and restricted cash. Interest expense, net was $0.9 million for the three months ended December 31, 2023, an increase of $0.7 million, or 319.3%, compared to $0.2 million for the three months ended December 31, 2022. The increase was primarily due to interest income of $0.9 million from money market funds offsetting interest expense of $1.8 million for the three months ended December 31, 2023. Interest expense of $1.1 million was offset by interest income of $0.8 million during the three months ended December 31, 2022.</w:t>
      </w:r>
    </w:p>
    <w:p>
      <w:pPr>
        <w:spacing w:after="0" w:line="1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Interest expense, net was $1.6 million for the six months ended December 31, 2023, an increase of $0.8 million, or 93.2%, compared to $0.8 million for the six months ended December 31, 2022. This increase is due to interest expense of $3.6 million offset by interest income of $2.0 million from money market accounts during the six months ended December 31, 2023. During the six months ended December 31, 2022, interest expense of $2.1 million was offset by interest income of $1.2 million.</w:t>
      </w:r>
    </w:p>
    <w:p>
      <w:pPr>
        <w:spacing w:after="0" w:line="178"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income. </w:t>
      </w:r>
      <w:r>
        <w:rPr>
          <w:rFonts w:ascii="Times New Roman" w:cs="Times New Roman" w:eastAsia="Times New Roman" w:hAnsi="Times New Roman"/>
          <w:sz w:val="18"/>
          <w:szCs w:val="18"/>
          <w:color w:val="auto"/>
        </w:rPr>
        <w:t>Other income consists primarily of the net proceeds received from the sale of or disposal of property and equipment and unrealized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gains and losses related to short-term investments. Other income for the three months ended December 31, 2023 increased $0.4 million, or 96.8%, when compared to the three months ended December 31, 2022. The increase was primarily due to dividends received from our short-term investments of $0.6 million for the three months ended December 31, 2023 compared to dividends of $0.2 million for the three months ended December 31, 2022.</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income was $1.5 million for the six months ended December 31, 2023, an increase of $1.0 million, or 216.0%, compared to $0.5 million for the six months ended December 31, 2022. This increase was primarily due to dividends received of $1.2 million during the six months ended December 31, 2023 compared to dividends of $0.2 million for the six months ended December 31, 2022.</w:t>
      </w:r>
    </w:p>
    <w:p>
      <w:pPr>
        <w:spacing w:after="0" w:line="17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expense. </w:t>
      </w:r>
      <w:r>
        <w:rPr>
          <w:rFonts w:ascii="Times New Roman" w:cs="Times New Roman" w:eastAsia="Times New Roman" w:hAnsi="Times New Roman"/>
          <w:sz w:val="18"/>
          <w:szCs w:val="18"/>
          <w:color w:val="auto"/>
        </w:rPr>
        <w:t>Other expense was $1.9 million for the three and six months ended December 31, 2023, an increase of $1.9 million, or 100.0%,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zero for the three and six months ended December 31, 2022. Subsequent to December 31, 2023, we noted indicators of impairment in our minority equity investment of Jetdoc. We determined that indicators were present as of the reporting date, and recognized impairment losses of $1.9 million during the three and six months ended December 31, 2023. No observable price changes or impairments were recorded during the three and six months ended December 31, 2022.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and its subsidiaries calculate federal and state income taxes currently payable and for deferred income taxes arising from temporary differences between the financial statement carrying amounts of existing assets and liabilities and their respective tax bases. Deferred tax assets and liabilities are measured pursuant to enacted tax laws and rates applicable to periods in which those temporary differences are expected to be recovered or settled. The impact on deferred tax assets and liabilities of a change in tax rates is recognized in income in the period that includes the date of enactment. The members of InnovAge Senior Housing Thornton, LLC ("SH1") and InnovAge Sacramento have elected to be taxed as partnerships, and no provision for income taxes for SH1 or InnovAge Sacramento is included in these condensed consolidated financial statements.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valuation allowance is provided to the extent that it is more likely than not that deferred tax assets will not be realized. Tax benefits from uncertain tax positions are recognized when it is more likely than not that the position will be sustained upon examination based on the technical merits of the position. The amount recognized is measured as the largest amount of benefit that has a greater than 50% likelihood of being realized upon settlement. The Company recognizes interest and penalty expense associated with uncertain tax positions as a component of provision for income taxes.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December 31, 2023 and 2022, we reported provision for income taxes of $0.1 million and benefit of $2.9 million, respectively. During the six months ended December 31, 2023 and 2022, we reported a provision for income taxes of $0.3 million and benefit of $(6.4) million, respectively. The decrease of $6.7 million is primarily due (i) our pretax book loss recognized during the six months ended December 31, 2023, as compared to pretax book loss recognized during the six months ended December 31, 2022 and (ii) the change in our valuation allowance.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Noncontrolling Interests.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SH1 is a Variable Interest Entity (“VIE”). The Company is the primary beneficiary of SH1 and consolidates SH1. The Company is the primary beneficiary of SH1 because it has the power to direct the activities that are most significant to SH1 and has an obligation to absorb losses or the right to receive benefits from SH1. The most significant activity of SH1 is the operation of the housing facility. The Company has provided a subordinated loan to SH1 and has provided a guarantee for the convertible term loan held by SH1. The SH1 interest is reflected within equity as noncontrolling interests. Our share of earnings is recorded in the consolidated Statements of Operations and the share of the other noncontrolling interest holders’ earnings are recorded as net loss attributable to noncontrolling interests.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six months ended December 31, 2023 and 2022, we reported net loss of $14.8 million and $24.2 million, respectively, consisting of (i) loss from operations of $12.5 million and $30.3 million, respectively, (ii) other expense of $2.0 million and $0.3 million, respectively, and (iii) a provision for income taxes of $0.3 million and benefit of $6.4 million, respectively, each as described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 and Non-GAAP Measures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to our GAAP financial information, we review a number of operating and financial metrics, including the following key metrics and non-GAAP measures, to evaluate our business, measure our performance, identify trends affecting our business, formulate business plans and make strategic decisions. We believe these metrics provide additional perspective and insights when analyzing our core operating performance from period to period and evaluating trends in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historical operating results. These key business metrics and non-GAAP measures should not be considered superior to, or a substitute for, and should be read in conjunction with, the GAAP financial information presented herein. These measures may not be comparable to similarly-titled performance indicators used by other companies.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3"/>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c>
          <w:tcPr>
            <w:tcW w:w="0" w:type="dxa"/>
            <w:vAlign w:val="bottom"/>
          </w:tcPr>
          <w:p>
            <w:pPr>
              <w:spacing w:after="0"/>
              <w:rPr>
                <w:sz w:val="1"/>
                <w:szCs w:val="1"/>
                <w:color w:val="auto"/>
              </w:rPr>
            </w:pPr>
          </w:p>
        </w:tc>
      </w:tr>
      <w:tr>
        <w:trPr>
          <w:trHeight w:val="211"/>
        </w:trPr>
        <w:tc>
          <w:tcPr>
            <w:tcW w:w="79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4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32"/>
        </w:trPr>
        <w:tc>
          <w:tcPr>
            <w:tcW w:w="7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Key Business Metrics:</w:t>
            </w:r>
          </w:p>
        </w:tc>
        <w:tc>
          <w:tcPr>
            <w:tcW w:w="320" w:type="dxa"/>
            <w:vAlign w:val="bottom"/>
          </w:tcPr>
          <w:p>
            <w:pPr>
              <w:spacing w:after="0"/>
              <w:rPr>
                <w:sz w:val="20"/>
                <w:szCs w:val="20"/>
                <w:color w:val="auto"/>
              </w:rPr>
            </w:pPr>
          </w:p>
        </w:tc>
        <w:tc>
          <w:tcPr>
            <w:tcW w:w="2980" w:type="dxa"/>
            <w:vAlign w:val="bottom"/>
            <w:gridSpan w:val="3"/>
          </w:tcPr>
          <w:p>
            <w:pPr>
              <w:jc w:val="right"/>
              <w:ind w:right="831"/>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0" w:type="dxa"/>
            <w:vAlign w:val="bottom"/>
          </w:tcPr>
          <w:p>
            <w:pPr>
              <w:spacing w:after="0"/>
              <w:rPr>
                <w:sz w:val="1"/>
                <w:szCs w:val="1"/>
                <w:color w:val="auto"/>
              </w:rPr>
            </w:pPr>
          </w:p>
        </w:tc>
      </w:tr>
      <w:tr>
        <w:trPr>
          <w:trHeight w:val="223"/>
        </w:trPr>
        <w:tc>
          <w:tcPr>
            <w:tcW w:w="79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Centers</w:t>
            </w:r>
            <w:r>
              <w:rPr>
                <w:rFonts w:ascii="Times New Roman" w:cs="Times New Roman" w:eastAsia="Times New Roman" w:hAnsi="Times New Roman"/>
                <w:sz w:val="23"/>
                <w:szCs w:val="23"/>
                <w:color w:val="auto"/>
                <w:vertAlign w:val="superscript"/>
              </w:rPr>
              <w:t>(a)</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79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Census</w:t>
            </w:r>
            <w:r>
              <w:rPr>
                <w:rFonts w:ascii="Times New Roman" w:cs="Times New Roman" w:eastAsia="Times New Roman" w:hAnsi="Times New Roman"/>
                <w:sz w:val="23"/>
                <w:szCs w:val="23"/>
                <w:color w:val="auto"/>
                <w:vertAlign w:val="superscript"/>
              </w:rPr>
              <w:t>(b)</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6,780</w:t>
            </w: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6,460</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Total Member Months</w:t>
            </w:r>
            <w:r>
              <w:rPr>
                <w:rFonts w:ascii="Times New Roman" w:cs="Times New Roman" w:eastAsia="Times New Roman" w:hAnsi="Times New Roman"/>
                <w:sz w:val="23"/>
                <w:szCs w:val="23"/>
                <w:color w:val="auto"/>
                <w:vertAlign w:val="superscript"/>
              </w:rPr>
              <w:t>(b)</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39,670</w:t>
            </w: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39,210</w:t>
            </w:r>
          </w:p>
        </w:tc>
        <w:tc>
          <w:tcPr>
            <w:tcW w:w="0" w:type="dxa"/>
            <w:vAlign w:val="bottom"/>
          </w:tcPr>
          <w:p>
            <w:pPr>
              <w:spacing w:after="0"/>
              <w:rPr>
                <w:sz w:val="1"/>
                <w:szCs w:val="1"/>
                <w:color w:val="auto"/>
              </w:rPr>
            </w:pPr>
          </w:p>
        </w:tc>
      </w:tr>
      <w:tr>
        <w:trPr>
          <w:trHeight w:val="270"/>
        </w:trPr>
        <w:tc>
          <w:tcPr>
            <w:tcW w:w="7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Center-level Contribution Margin</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61,490</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43,997</w:t>
            </w: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Center-level Contribution Margin as a % of revenue</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0" w:type="dxa"/>
            <w:vAlign w:val="bottom"/>
          </w:tcPr>
          <w:p>
            <w:pPr>
              <w:spacing w:after="0"/>
              <w:rPr>
                <w:sz w:val="1"/>
                <w:szCs w:val="1"/>
                <w:color w:val="auto"/>
              </w:rPr>
            </w:pPr>
          </w:p>
        </w:tc>
      </w:tr>
      <w:tr>
        <w:trPr>
          <w:trHeight w:val="270"/>
        </w:trPr>
        <w:tc>
          <w:tcPr>
            <w:tcW w:w="79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Measures:</w:t>
            </w: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(14,783)</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(24,247)</w:t>
            </w:r>
          </w:p>
        </w:tc>
        <w:tc>
          <w:tcPr>
            <w:tcW w:w="0" w:type="dxa"/>
            <w:vAlign w:val="bottom"/>
          </w:tcPr>
          <w:p>
            <w:pPr>
              <w:spacing w:after="0"/>
              <w:rPr>
                <w:sz w:val="1"/>
                <w:szCs w:val="1"/>
                <w:color w:val="auto"/>
              </w:rPr>
            </w:pPr>
          </w:p>
        </w:tc>
      </w:tr>
      <w:tr>
        <w:trPr>
          <w:trHeight w:val="229"/>
        </w:trPr>
        <w:tc>
          <w:tcPr>
            <w:tcW w:w="7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margin</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70"/>
        </w:trPr>
        <w:tc>
          <w:tcPr>
            <w:tcW w:w="79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Measures:</w:t>
            </w: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(c)</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9,997</w:t>
            </w:r>
          </w:p>
        </w:tc>
        <w:tc>
          <w:tcPr>
            <w:tcW w:w="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(5,768)</w:t>
            </w:r>
          </w:p>
        </w:tc>
        <w:tc>
          <w:tcPr>
            <w:tcW w:w="0" w:type="dxa"/>
            <w:vAlign w:val="bottom"/>
          </w:tcPr>
          <w:p>
            <w:pPr>
              <w:spacing w:after="0"/>
              <w:rPr>
                <w:sz w:val="1"/>
                <w:szCs w:val="1"/>
                <w:color w:val="auto"/>
              </w:rPr>
            </w:pPr>
          </w:p>
        </w:tc>
      </w:tr>
      <w:tr>
        <w:trPr>
          <w:trHeight w:val="306"/>
        </w:trPr>
        <w:tc>
          <w:tcPr>
            <w:tcW w:w="7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Adjusted EBITDA Margin</w:t>
            </w:r>
            <w:r>
              <w:rPr>
                <w:rFonts w:ascii="Times New Roman" w:cs="Times New Roman" w:eastAsia="Times New Roman" w:hAnsi="Times New Roman"/>
                <w:sz w:val="23"/>
                <w:szCs w:val="23"/>
                <w:color w:val="auto"/>
                <w:vertAlign w:val="superscript"/>
              </w:rPr>
              <w:t>(c)</w:t>
            </w:r>
          </w:p>
        </w:tc>
        <w:tc>
          <w:tcPr>
            <w:tcW w:w="3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4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67" w:lineRule="exact"/>
        <w:rPr>
          <w:sz w:val="20"/>
          <w:szCs w:val="20"/>
          <w:color w:val="auto"/>
        </w:rPr>
      </w:pPr>
    </w:p>
    <w:p>
      <w:pPr>
        <w:jc w:val="both"/>
        <w:ind w:left="660" w:hanging="328"/>
        <w:spacing w:after="0" w:line="255" w:lineRule="auto"/>
        <w:tabs>
          <w:tab w:leader="none" w:pos="65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second quarter ended December 31, 2023, the Company acquired two PACE programs in California from ConcertoCare, one of which is operational. With the addition of the operational ConcertoCare PACE program, the Company operated 18 PACE centers as of December 31, 2023. During the third quarter ended March 31, 2023, the Company consolidated its Germantown LIFE center with its Allegheny and Henry Avenue LIFE centers in Pennsylvania.</w:t>
      </w:r>
    </w:p>
    <w:p>
      <w:pPr>
        <w:spacing w:after="0" w:line="1"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are approximate due to rounding.</w:t>
      </w:r>
    </w:p>
    <w:p>
      <w:pPr>
        <w:spacing w:after="0" w:line="15" w:lineRule="exact"/>
        <w:rPr>
          <w:rFonts w:ascii="Times New Roman" w:cs="Times New Roman" w:eastAsia="Times New Roman" w:hAnsi="Times New Roman"/>
          <w:sz w:val="16"/>
          <w:szCs w:val="16"/>
          <w:color w:val="auto"/>
        </w:rPr>
      </w:pPr>
    </w:p>
    <w:p>
      <w:pPr>
        <w:ind w:left="660" w:hanging="328"/>
        <w:spacing w:after="0" w:line="275" w:lineRule="auto"/>
        <w:tabs>
          <w:tab w:leader="none" w:pos="65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and Adjusted EBITDA margin are non-GAAP measures. For a definition and reconciliation of these non-GAAP measures to the most closely comparable GAAP measures for the period indicated, see below under “Adjusted EBITDA and Adjusted EBITDA Margin.”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Centers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define our centers as those centers open for business and attending to participants at the end of a particular period.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Census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census is comprised of our capitated participants for whom we are financially responsible for their total healthcare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Member Months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define Total Member Months as the total number of participants multiplied by the number of months within a year in which each participant was enrolled in our program. We believe this is a useful metric as it more precisely tracks the number of participants we serve throughout the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Center-level Contribution Margin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management uses Center-level Contribution Margin as the measure for assessing performance of its operating segments. We define Center-level Contribution Margin as total revenues less external provider costs and cost of care, excluding depreciation and amortization, which includes all medical and pharmacy costs. For purposes of evaluating Center-level Contribution Margin on a center-by-center basis, we do not allocate our sales and marketing expenses or corporate, general and administrative expenses across our centers. Center-level Contribution Margin was $61.5 million and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$44.0 million for the six months ended December 31, 2023 and 2022, respectively. The increase in Center-level Contribution Margin for the six months ended December 31, 2023 was primarily due to a 9.7% increase in total revenue, offset by a 5.6% increase in external provider costs during the same period. For more information relating to Center-level Contribution Margin, see Note 14 “Segment Reporting” to our consolidated financial statements. A reconciliation of Center-level Contribution Margin to loss before income taxes, the most directly comparable GAAP measure, for each of the periods is as follows:</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2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3680" w:type="dxa"/>
            <w:vAlign w:val="bottom"/>
            <w:tcBorders>
              <w:top w:val="single" w:sz="8" w:color="auto"/>
              <w:bottom w:val="single" w:sz="8" w:color="auto"/>
            </w:tcBorders>
            <w:gridSpan w:val="7"/>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Six Months Ended December 31, 2023</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3700" w:type="dxa"/>
            <w:vAlign w:val="bottom"/>
            <w:tcBorders>
              <w:top w:val="single" w:sz="8" w:color="auto"/>
              <w:bottom w:val="single" w:sz="8" w:color="auto"/>
            </w:tcBorders>
            <w:gridSpan w:val="7"/>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Six Months Ended December 31, 2022</w:t>
            </w:r>
          </w:p>
        </w:tc>
      </w:tr>
      <w:tr>
        <w:trPr>
          <w:trHeight w:val="203"/>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7"/>
                <w:szCs w:val="17"/>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PACE</w:t>
            </w:r>
          </w:p>
        </w:tc>
        <w:tc>
          <w:tcPr>
            <w:tcW w:w="220" w:type="dxa"/>
            <w:vAlign w:val="bottom"/>
          </w:tcPr>
          <w:p>
            <w:pPr>
              <w:spacing w:after="0"/>
              <w:rPr>
                <w:sz w:val="17"/>
                <w:szCs w:val="17"/>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300" w:type="dxa"/>
            <w:vAlign w:val="bottom"/>
          </w:tcPr>
          <w:p>
            <w:pPr>
              <w:spacing w:after="0"/>
              <w:rPr>
                <w:sz w:val="17"/>
                <w:szCs w:val="17"/>
                <w:color w:val="auto"/>
              </w:rPr>
            </w:pPr>
          </w:p>
        </w:tc>
        <w:tc>
          <w:tcPr>
            <w:tcW w:w="106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PACE</w:t>
            </w:r>
          </w:p>
        </w:tc>
        <w:tc>
          <w:tcPr>
            <w:tcW w:w="180" w:type="dxa"/>
            <w:vAlign w:val="bottom"/>
          </w:tcPr>
          <w:p>
            <w:pPr>
              <w:spacing w:after="0"/>
              <w:rPr>
                <w:sz w:val="17"/>
                <w:szCs w:val="17"/>
                <w:color w:val="auto"/>
              </w:rPr>
            </w:pPr>
          </w:p>
        </w:tc>
        <w:tc>
          <w:tcPr>
            <w:tcW w:w="1100" w:type="dxa"/>
            <w:vAlign w:val="bottom"/>
            <w:gridSpan w:val="2"/>
          </w:tcPr>
          <w:p>
            <w:pPr>
              <w:ind w:left="80"/>
              <w:spacing w:after="0" w:line="202" w:lineRule="exact"/>
              <w:rPr>
                <w:sz w:val="20"/>
                <w:szCs w:val="20"/>
                <w:color w:val="auto"/>
              </w:rPr>
            </w:pPr>
            <w:r>
              <w:rPr>
                <w:rFonts w:ascii="Times New Roman" w:cs="Times New Roman" w:eastAsia="Times New Roman" w:hAnsi="Times New Roman"/>
                <w:sz w:val="14"/>
                <w:szCs w:val="14"/>
                <w:b w:val="1"/>
                <w:bCs w:val="1"/>
                <w:color w:val="auto"/>
              </w:rPr>
              <w:t>All other</w:t>
            </w:r>
            <w:r>
              <w:rPr>
                <w:rFonts w:ascii="Times New Roman" w:cs="Times New Roman" w:eastAsia="Times New Roman" w:hAnsi="Times New Roman"/>
                <w:sz w:val="18"/>
                <w:szCs w:val="18"/>
                <w:b w:val="1"/>
                <w:bCs w:val="1"/>
                <w:color w:val="auto"/>
                <w:vertAlign w:val="superscript"/>
              </w:rPr>
              <w:t>(1)</w:t>
            </w:r>
          </w:p>
        </w:tc>
        <w:tc>
          <w:tcPr>
            <w:tcW w:w="300" w:type="dxa"/>
            <w:vAlign w:val="bottom"/>
          </w:tcPr>
          <w:p>
            <w:pPr>
              <w:spacing w:after="0"/>
              <w:rPr>
                <w:sz w:val="17"/>
                <w:szCs w:val="17"/>
                <w:color w:val="auto"/>
              </w:rPr>
            </w:pPr>
          </w:p>
        </w:tc>
        <w:tc>
          <w:tcPr>
            <w:tcW w:w="106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Totals</w:t>
            </w:r>
          </w:p>
        </w:tc>
      </w:tr>
      <w:tr>
        <w:trPr>
          <w:trHeight w:val="223"/>
        </w:trPr>
        <w:tc>
          <w:tcPr>
            <w:tcW w:w="32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Capitation revenue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370,734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370,734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338,071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338,071</w:t>
            </w:r>
          </w:p>
        </w:tc>
      </w:tr>
      <w:tr>
        <w:trPr>
          <w:trHeight w:val="229"/>
        </w:trPr>
        <w:tc>
          <w:tcPr>
            <w:tcW w:w="3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service revenue</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603</w:t>
            </w:r>
          </w:p>
        </w:tc>
      </w:tr>
      <w:tr>
        <w:trPr>
          <w:trHeight w:val="22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371,382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338,674</w:t>
            </w:r>
          </w:p>
        </w:tc>
      </w:tr>
      <w:tr>
        <w:trPr>
          <w:trHeight w:val="229"/>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External provider costs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200,322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189,744</w:t>
            </w:r>
          </w:p>
        </w:tc>
      </w:tr>
      <w:tr>
        <w:trPr>
          <w:trHeight w:val="176"/>
        </w:trPr>
        <w:tc>
          <w:tcPr>
            <w:tcW w:w="32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Cost of care, excluding depreciation and</w:t>
            </w: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43"/>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109,267</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109,570</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104,595</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104,933</w:t>
            </w:r>
          </w:p>
        </w:tc>
      </w:tr>
      <w:tr>
        <w:trPr>
          <w:trHeight w:val="223"/>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Center-Level Contribution Margin</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61,298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61,490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43,908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43,997</w:t>
            </w:r>
          </w:p>
        </w:tc>
      </w:tr>
      <w:tr>
        <w:trPr>
          <w:trHeight w:val="223"/>
        </w:trPr>
        <w:tc>
          <w:tcPr>
            <w:tcW w:w="3240" w:type="dxa"/>
            <w:vAlign w:val="bottom"/>
            <w:shd w:val="clear" w:color="auto" w:fill="CCEEFF"/>
          </w:tcPr>
          <w:p>
            <w:pPr>
              <w:ind w:left="140"/>
              <w:spacing w:after="0" w:line="223" w:lineRule="exact"/>
              <w:rPr>
                <w:sz w:val="20"/>
                <w:szCs w:val="20"/>
                <w:color w:val="auto"/>
              </w:rPr>
            </w:pPr>
            <w:r>
              <w:rPr>
                <w:rFonts w:ascii="Times New Roman" w:cs="Times New Roman" w:eastAsia="Times New Roman" w:hAnsi="Times New Roman"/>
                <w:sz w:val="18"/>
                <w:szCs w:val="18"/>
                <w:color w:val="auto"/>
              </w:rPr>
              <w:t>Overhead costs</w:t>
            </w:r>
            <w:r>
              <w:rPr>
                <w:rFonts w:ascii="Times New Roman" w:cs="Times New Roman" w:eastAsia="Times New Roman" w:hAnsi="Times New Roman"/>
                <w:sz w:val="23"/>
                <w:szCs w:val="23"/>
                <w:color w:val="auto"/>
                <w:vertAlign w:val="superscript"/>
              </w:rPr>
              <w:t>(a)</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65,434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67,186</w:t>
            </w:r>
          </w:p>
        </w:tc>
      </w:tr>
      <w:tr>
        <w:trPr>
          <w:trHeight w:val="229"/>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8,559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7,095</w:t>
            </w:r>
          </w:p>
        </w:tc>
      </w:tr>
      <w:tr>
        <w:trPr>
          <w:trHeight w:val="22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826</w:t>
            </w:r>
          </w:p>
        </w:tc>
      </w:tr>
      <w:tr>
        <w:trPr>
          <w:trHeight w:val="230"/>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(1,517)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(480)</w:t>
            </w:r>
          </w:p>
        </w:tc>
      </w:tr>
      <w:tr>
        <w:trPr>
          <w:trHeight w:val="22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(14,332)</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(14,464)</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(30,335)</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(30,630)</w:t>
            </w:r>
          </w:p>
        </w:tc>
      </w:tr>
      <w:tr>
        <w:trPr>
          <w:trHeight w:val="155"/>
        </w:trPr>
        <w:tc>
          <w:tcPr>
            <w:tcW w:w="32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Loss Before Income Taxes as a % of</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24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175"/>
        </w:trPr>
        <w:tc>
          <w:tcPr>
            <w:tcW w:w="3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Center- Level Contribution Margin as a</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4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13.0 %</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351"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16"/>
          <w:szCs w:val="16"/>
          <w:color w:val="auto"/>
        </w:rPr>
        <w:t>(a)</w:t>
        <w:tab/>
        <w:t>Overhead consists of the sales and marketing and corporate, general and administrative financial statement line items.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define Adjusted EBITDA as net income (loss) adjusted for interest expense, depreciation and amortization, and provision (benefit) for income tax as well as addbacks for non-recurring expenses or exceptional items, including charges relating to management equity compensation, litigation costs and settlements, M&amp;A and de novo center development, business optimization, electronic medical record ("EMR") implementation and loss on minority equity interest investment. Adjusted EBITDA margin is Adjusted EBITDA expressed as a percentage of our total revenue. For the six months ended December 31, 2023 and 2022, net loss was $14.8 million and $24.2 million, respectively, representing a year-over-year decrease of 39.0%. Adjusted EBITDA was $10.0 million and ($5.8 million), for the six months ended December 31, 2023 and 2022, respectively, representing a year-over-year increase of 273.3%. For the six months ended December 31, 2023, net loss margin was 4.0%, as compared to net loss margin of 7.2% for the six months ended December 31, 2022. For the six months ended December 31, 2023, our Adjusted EBITDA margin was 2.7%, as compared to our Adjusted EBITDA margin for the six months ended December 31, 2022 of negative 1.7%. The increase in Adjusted EBITDA and Adjusted EBITDA margin is primarily from (i) increased capitation rates and (ii) lower corporate, general and administrative costs partially offset by, (i) increased center-level headcount and wage rates associated with a competitive labor market, and (ii) increased housing utilization and unit cost as mandated by the states.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Adjusted EBITDA and Adjusted EBITDA margin are supplemental measures of operating performance monitored by management that are not defined under GAAP and that do not represent, and should not be considered as, an alternative to net income (loss) and net income (loss) margin, respectively, as determined by GAAP. We believe that Adjusted EBITDA and Adjusted EBITDA margin are appropriate measures of operating performance because the metrics eliminate the impact of revenue and expenses that do not relate to our ongoing business performance and certain noncash expenses, allowing us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more effectively evaluate our core operating performance and trends from period to period. We believe that Adjusted EBITDA and Adjusted EBITDA margin help investors and analysts in comparing our results across reporting periods on a consistent basis by excluding items that we do not believe are indicative of our core operating performance. These non-GAAP financial measures have limitations as analytical tools and should not be considered in isolation from, or as a substitute for, the analysis of other GAAP financial measures, including net income (loss) and net income (loss) margin. In evaluating Adjusted EBITDA, you should be aware that in the future we may incur expenses that are the same as or similar to some of the adjustments in this presentation. Our presentation of Adjusted EBITDA should not be construed to imply that our future results will be unaffected by the types of items excluded from the calculation of Adjusted EBITDA. The use of the term Adjusted EBITDA varies from others in our industry.</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net loss to Adjusted EBITDA, the most directly comparable GAAP measure, for each of the periods is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00" w:type="dxa"/>
            <w:vAlign w:val="bottom"/>
          </w:tcPr>
          <w:p>
            <w:pPr>
              <w:spacing w:after="0"/>
              <w:rPr>
                <w:sz w:val="18"/>
                <w:szCs w:val="18"/>
                <w:color w:val="auto"/>
              </w:rPr>
            </w:pPr>
          </w:p>
        </w:tc>
        <w:tc>
          <w:tcPr>
            <w:tcW w:w="3760" w:type="dxa"/>
            <w:vAlign w:val="bottom"/>
            <w:gridSpan w:val="6"/>
          </w:tcPr>
          <w:p>
            <w:pPr>
              <w:ind w:left="62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420" w:type="dxa"/>
            <w:vAlign w:val="bottom"/>
          </w:tcPr>
          <w:p>
            <w:pPr>
              <w:spacing w:after="0"/>
              <w:rPr>
                <w:sz w:val="18"/>
                <w:szCs w:val="18"/>
                <w:color w:val="auto"/>
              </w:rPr>
            </w:pPr>
          </w:p>
        </w:tc>
        <w:tc>
          <w:tcPr>
            <w:tcW w:w="3240" w:type="dxa"/>
            <w:vAlign w:val="bottom"/>
            <w:gridSpan w:val="4"/>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211"/>
        </w:trPr>
        <w:tc>
          <w:tcPr>
            <w:tcW w:w="38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522"/>
        </w:trPr>
        <w:tc>
          <w:tcPr>
            <w:tcW w:w="3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3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shd w:val="clear" w:color="auto" w:fill="CCEEFF"/>
          </w:tcPr>
          <w:p>
            <w:pPr>
              <w:jc w:val="right"/>
              <w:ind w:right="95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(24,247)</w:t>
            </w:r>
          </w:p>
        </w:tc>
      </w:tr>
      <w:tr>
        <w:trPr>
          <w:trHeight w:val="229"/>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r>
      <w:tr>
        <w:trPr>
          <w:trHeight w:val="22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7,095</w:t>
            </w:r>
          </w:p>
        </w:tc>
      </w:tr>
      <w:tr>
        <w:trPr>
          <w:trHeight w:val="230"/>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w:t>
            </w: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(6,383)</w:t>
            </w:r>
          </w:p>
        </w:tc>
      </w:tr>
      <w:tr>
        <w:trPr>
          <w:trHeight w:val="22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w:t>
            </w:r>
          </w:p>
        </w:tc>
      </w:tr>
      <w:tr>
        <w:trPr>
          <w:trHeight w:val="229"/>
        </w:trPr>
        <w:tc>
          <w:tcPr>
            <w:tcW w:w="38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Litigation costs and settlement</w:t>
            </w:r>
            <w:r>
              <w:rPr>
                <w:rFonts w:ascii="Times New Roman" w:cs="Times New Roman" w:eastAsia="Times New Roman" w:hAnsi="Times New Roman"/>
                <w:sz w:val="23"/>
                <w:szCs w:val="23"/>
                <w:color w:val="auto"/>
                <w:vertAlign w:val="superscript"/>
              </w:rPr>
              <w:t>(a)</w:t>
            </w: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r>
      <w:tr>
        <w:trPr>
          <w:trHeight w:val="230"/>
        </w:trPr>
        <w:tc>
          <w:tcPr>
            <w:tcW w:w="38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M&amp;A and de novo center development</w:t>
            </w:r>
            <w:r>
              <w:rPr>
                <w:rFonts w:ascii="Times New Roman" w:cs="Times New Roman" w:eastAsia="Times New Roman" w:hAnsi="Times New Roman"/>
                <w:sz w:val="23"/>
                <w:szCs w:val="23"/>
                <w:color w:val="auto"/>
                <w:vertAlign w:val="superscript"/>
              </w:rPr>
              <w:t>(b)</w:t>
            </w: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r>
      <w:tr>
        <w:trPr>
          <w:trHeight w:val="229"/>
        </w:trPr>
        <w:tc>
          <w:tcPr>
            <w:tcW w:w="38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Business optimization</w:t>
            </w:r>
            <w:r>
              <w:rPr>
                <w:rFonts w:ascii="Times New Roman" w:cs="Times New Roman" w:eastAsia="Times New Roman" w:hAnsi="Times New Roman"/>
                <w:sz w:val="23"/>
                <w:szCs w:val="23"/>
                <w:color w:val="auto"/>
                <w:vertAlign w:val="superscript"/>
              </w:rPr>
              <w:t>(c)</w:t>
            </w: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10,035</w:t>
            </w:r>
          </w:p>
        </w:tc>
      </w:tr>
      <w:tr>
        <w:trPr>
          <w:trHeight w:val="230"/>
        </w:trPr>
        <w:tc>
          <w:tcPr>
            <w:tcW w:w="38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EMR implementation</w:t>
            </w:r>
            <w:r>
              <w:rPr>
                <w:rFonts w:ascii="Times New Roman" w:cs="Times New Roman" w:eastAsia="Times New Roman" w:hAnsi="Times New Roman"/>
                <w:sz w:val="23"/>
                <w:szCs w:val="23"/>
                <w:color w:val="auto"/>
                <w:vertAlign w:val="superscript"/>
              </w:rPr>
              <w:t>(d)</w:t>
            </w: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w:t>
            </w:r>
          </w:p>
        </w:tc>
      </w:tr>
      <w:tr>
        <w:trPr>
          <w:trHeight w:val="229"/>
        </w:trPr>
        <w:tc>
          <w:tcPr>
            <w:tcW w:w="38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Loss on minority equity interest</w:t>
            </w:r>
            <w:r>
              <w:rPr>
                <w:rFonts w:ascii="Times New Roman" w:cs="Times New Roman" w:eastAsia="Times New Roman" w:hAnsi="Times New Roman"/>
                <w:sz w:val="23"/>
                <w:szCs w:val="23"/>
                <w:color w:val="auto"/>
                <w:vertAlign w:val="superscript"/>
              </w:rPr>
              <w:t>(e)</w:t>
            </w:r>
          </w:p>
        </w:tc>
        <w:tc>
          <w:tcPr>
            <w:tcW w:w="1140" w:type="dxa"/>
            <w:vAlign w:val="bottom"/>
          </w:tcPr>
          <w:p>
            <w:pPr>
              <w:jc w:val="right"/>
              <w:ind w:right="95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8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1140" w:type="dxa"/>
            <w:vAlign w:val="bottom"/>
            <w:tcBorders>
              <w:top w:val="single" w:sz="8" w:color="auto"/>
              <w:bottom w:val="single" w:sz="8" w:color="auto"/>
            </w:tcBorders>
            <w:shd w:val="clear" w:color="auto" w:fill="CCEEFF"/>
          </w:tcPr>
          <w:p>
            <w:pPr>
              <w:jc w:val="right"/>
              <w:ind w:right="95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(5,768)</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68" w:lineRule="exact"/>
        <w:rPr>
          <w:sz w:val="20"/>
          <w:szCs w:val="20"/>
          <w:color w:val="auto"/>
        </w:rPr>
      </w:pPr>
    </w:p>
    <w:p>
      <w:pPr>
        <w:jc w:val="both"/>
        <w:ind w:left="660" w:hanging="328"/>
        <w:spacing w:after="0" w:line="256" w:lineRule="auto"/>
        <w:tabs>
          <w:tab w:leader="none" w:pos="651"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charges/(credits) related to litigation by stockholders, litigation related to de novo center development, and civil investigative demands. Refer to Note 9, "Commitments and Contingencies" to our condensed consolidated financial statements for more information regarding litigation by stockholders and civil investigative demands. Costs reflected consist of litigation costs considered one-time in nature and outside of the ordinary course of business based on the following considerations which we assess regularly: (i) the frequency of similar cases that have been brought to date, or are expected to be brought within two years, (ii) complexity of the case, (iii) nature of the remedies sought, (iv) litigation posture of the Company, (v) counterparty involved, and (vi) the Company's overall litigation strategy.</w:t>
      </w:r>
    </w:p>
    <w:p>
      <w:pPr>
        <w:spacing w:after="0" w:line="1"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charges related to M&amp;A transaction and integrations, and de novo center developments.</w:t>
      </w:r>
    </w:p>
    <w:p>
      <w:pPr>
        <w:spacing w:after="0" w:line="5" w:lineRule="exact"/>
        <w:rPr>
          <w:rFonts w:ascii="Times New Roman" w:cs="Times New Roman" w:eastAsia="Times New Roman" w:hAnsi="Times New Roman"/>
          <w:sz w:val="16"/>
          <w:szCs w:val="16"/>
          <w:color w:val="auto"/>
        </w:rPr>
      </w:pPr>
    </w:p>
    <w:p>
      <w:pPr>
        <w:jc w:val="both"/>
        <w:ind w:left="660" w:hanging="328"/>
        <w:spacing w:after="0" w:line="253" w:lineRule="auto"/>
        <w:tabs>
          <w:tab w:leader="none" w:pos="651"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charges related to business optimization initiatives. Such charges related to one-time investments in projects designed to enhance our technology and compliance systems, improve and support the efficiency and effectiveness of our operations, and third party support to address efforts to remediate deficiencies in audits. For the three months ended December 31, 2023 this includes (i) $0.3 million of costs associated with third party consultants as we implement our core provider initiatives, assess our risk-bearing payor capabilities, and strengthen our enterprise capabilities (ii) $0.3 million of costs related to severance and other organizational costs and (iii) $0.2 million related to other non-recurring charges. For the three months ended December 31, 2022 this includes (i) $0.5 million related to consultants and contractors performing audit and other related services at sanctioned centers, (ii) $0.8 million of costs associated with third party consultants as we implement our core provider initiatives, assess our risk-bearing capabilities, and strengthen our enterprise capabilities and (iii) $0.1 million for related to other non-recurring projects aimed at reducing costs and improving efficiencies. For the six months ended December 31, 2023 this includes (i) $2.1 million of costs associated with third party consultants as we implement our core provider initiatives, assess our risk-bearing payor capabilities, and strengthen our enterprise capabilities (ii) $0.3 million of costs related to severance and other organizational costs and (iii) $0.5 million related to charges for technology improvements, environmental, sustainability, and governance reporting, and other non-recurring charges. For the six months ended December 31, 2022 this includes (i) $1.2 million related to consultants and contractors performing audit and other related services at sanctioned centers, (ii) $5.1 million of costs associated with third party consultants as we implement our core provider initiatives, assess our risk-bearing payor capabilities, and strengthen our enterprise capabilities, and (iii) $0.7 million related to other non-recurring projects aimed at reducing costs and improving efficiencies.</w:t>
      </w:r>
    </w:p>
    <w:p>
      <w:pPr>
        <w:spacing w:after="0" w:line="1"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non-recurring expenses relating to the implementation of a new EMR vendor.</w:t>
      </w:r>
    </w:p>
    <w:p>
      <w:pPr>
        <w:spacing w:after="0" w:line="15"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impairment charges related to our minority equity interest in Jetdoc, Inc.</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date, we have financed our operations principally through cash flows from operations and through borrowings under our credit facilities, and from the sale of common stock in our IPO that occurred in March 2021. As of December 31, 2023, we had cash and cash equivalents of $54.1 million, a decrease of $73.1 million from June 30, 2023. The decrease in cash and cash equivalents was primarily due to a payment of $23.9 million for the acquisition of the ConcertoCare PACE centers during the second quarter of fiscal year 2024 and timing of cash receipts for services provided. Our cash and cash equivalents primarily consist of highly liquid investments in demand deposit accounts and cash.</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capital resources are generally used to fund (i) debt service requirements, the majority of which relate to the quarterly principal payments of the Term Loan Facility (as defined in Note 8, “Long-Term Debt” to the condensed consolidated financial statements) due 2026, (ii) finance and operating lease obligations, which are generally paid on a monthly basis and include maturities through 2028 and 2032, respectively, (iii) the operations of our business, including special projects such as our transition to a new EMR vendor, with respect to which we incurred non-recurring implementation costs over the last three months, and expect to incur ongoing costs through 2024 and beyond, and third party support to address remediation efforts, (iv) income tax payments, which are generally due on a quarterly and annual basis, and (v) capital additions, which included costs relating to the acquisition of the ConcertoCare PACE centers that took place during the second quarter of fiscal year 2024, and the development of de novo centers, including those in Florida and California. We also invest and for the foreseeable future expect to continue investing in the effective implementation of post-sanction corrective remediation plans (CAPs) and other corrective initiatives as a result of deficiencies found during audits at some of our centers, and our ability to continually provide necessary and quality services to our participants. Collectively, these obligations are expected to represent a significant liquidity requirement of our Company on both a short-term (next 12 months) and long-term (beyond 12 months) basis.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2023, we had $67.9 million of long-term debt outstanding. As of December 31, 2023, we had future minimum operating lease payments under non-cancellable leases through the year 2032 of $37.5 million. We also had non-cancellable finance lease agreements with third parties through the year 2028 with future minimum payments of $18.3 million. For additional information, see Note 7, “Leases”, Note 8, “Long-Term Debt”, and Note 9, “Commitments and Contingencies” in our condensed consolidated financial statements.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believe that our cash and cash equivalents and our cash flows from operations, available funds, and access to financing sources, including our 2021 Credit Agreement and Revolving Credit Facility (each discussed and defined below), will be sufficient to fund our operating and capital needs for the next 12 months and beyond. We have based this estimate on assumptions that may prove to be wrong, and we could use our available capital resources sooner than we currently expect. Our actual results could vary because of, and our future capital requirements will depend on, many factors, including our growth rate, our ability to retain and grow the number of PACE participants, and the expansion of sales and marketing activities and other costs of operating the business. We may in the future enter into arrangements to acquire or invest in complementary businesses, services and technologies. We may be required to seek additional equity or debt financing. In the event that additional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results of operations, and financial condition would be adversely affected.</w:t>
      </w:r>
    </w:p>
    <w:p>
      <w:pPr>
        <w:spacing w:after="0" w:line="18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On March 8, 2021, the Company entered into a credit agreement (as amended, the "2021 Credit Agreement") that consists of a senior secured term loan (the “Term Loan Facility”) of $75.0 million principal amount and a revolving credit facility (the “Revolving Credit Facility”) of $100.0 million maximum borrowing capacity. The borrowing capacity under the Revolving Credit Facility is subject (i) any issued amounts under our letters of credit and</w:t>
      </w:r>
    </w:p>
    <w:p>
      <w:pPr>
        <w:spacing w:after="0" w:line="1" w:lineRule="exact"/>
        <w:rPr>
          <w:sz w:val="20"/>
          <w:szCs w:val="20"/>
          <w:color w:val="auto"/>
        </w:rPr>
      </w:pPr>
    </w:p>
    <w:p>
      <w:pPr>
        <w:ind w:firstLine="8"/>
        <w:spacing w:after="0" w:line="260" w:lineRule="auto"/>
        <w:tabs>
          <w:tab w:leader="none" w:pos="26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covenant compliance restrictions and any other conditions precedent to borrowing. Principal on the Term Loan Facility is paid each calendar quarter in an amount equal to 1.25% of the initial term loan on closing date.</w:t>
      </w:r>
    </w:p>
    <w:p>
      <w:pPr>
        <w:spacing w:after="0" w:line="18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Outstanding principal amounts under the 2021 Credit Agreement accrue interest at a variable interest rate. As of December 31, 2023, the interest rate on the Term Loan Facility was 7.30%. Under the terms of the 2021 Credit Agreement, the Revolving Credit Facility fee accrues at 0.25% of the average daily unused amount and is paid quarterly. As of December 31, 2023, we had no borrowings outstanding, $3.1 million of letters of credit issued, and $96.9 million of remaining borrowing capacity under the Revolving Credit Facility. As of December 31, 2023, we also had $2.3 million principal amount outstanding under our convertible term loan. Monthly principal and interest payments for the convertible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term loan are approximately $0.02 million, and the loan bears interest at an annual rate of 6.68%. The remaining principal balance is due upon maturity, which is August 20, 2030.</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more information about our debt, see Note 8 “Long-Term Debt” to our condensed consolidated financial statements.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currently intend to retain all available funds and any future earnings to fund the development and growth of our business.</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Consolidated Statements of Cash Flows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consolidated statements of cash flows for the six months ended December 31, 2023 and 2022 are summarized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0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2"/>
        </w:trPr>
        <w:tc>
          <w:tcPr>
            <w:tcW w:w="66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7"/>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by operating activities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(42,279)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(20,289)</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33,380</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w:t>
            </w: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r>
      <w:tr>
        <w:trPr>
          <w:trHeight w:val="223"/>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(73,169)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(84,969)</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11,800</w:t>
            </w:r>
          </w:p>
        </w:tc>
      </w:tr>
      <w:tr>
        <w:trPr>
          <w:trHeight w:val="21"/>
        </w:trPr>
        <w:tc>
          <w:tcPr>
            <w:tcW w:w="6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The change in net cash provided (used) by operating activities was primarily due to the net effect of (i) net loss of $14.8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current year period compared to a net loss of $24.2 million in the prior year period, as described further above, (ii) an increase in accounts receivable primarily attributable to the timing of receipt of payments for certain Medicaid receivables, and (iii) impacts of deferred revenue due to the timing of payments received during prior year.</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Investing activities were made up of approximately $23.9 million payment for the acquisition of two PACE programs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ConcertoCare, $4.2 million in purchases of property and equipment and $1.2 million for reinvested dividends of short-term investments, consisting primarily of managed income funds invested in investment grade short-term fixed and floating rate debt securities aimed at creating income while maintaining low volatility on principal. Our investment in managed income funds regularly pay dividends which are reinvested into the funds.</w:t>
      </w:r>
    </w:p>
    <w:p>
      <w:pPr>
        <w:spacing w:after="0" w:line="18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The increase in net cash used in financing activities was primarily due to an increase in taxes paid related to net share settlements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stock-based compensation awards of $0.6 million and an increase in principal payments on finance leases of $0.7 million.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qualify as an “emerging growth company” pursuant to the provisions of the Jumpstart Our Business Startups (“JOBS”) Act and a “smaller reporting company” as defined by the Exchange Act. For as long as we are an “emerging growth company” or a “smaller reporting company,” we may take advantage of certain exemptions from various reporting requirements that are applicable to other public companies that are not “emerging growth companies” or “smaller reporting companies,” including, but not limited to, not being required to comply with the auditor attestation requirements of Section 404(b) of the Sarbanes-Oxley Act, only being required to present two years of audited financial statements, plus unaudited condensed consolidated financial statements for applicable interim periods and the related discussion in the section titled “Management’s Discussion and Analysis of Financial Condition and Results of Operations,” reduced disclosure obligations regarding executive compensation in our periodic reports, proxy statements and registration statements, exemptions from the requirements of holding non-binding advisory “say-on-pay” votes on executive compensation and stockholder advisory votes on golden parachute compensation.</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under the JOBS Act, emerging growth companies can delay adopting new or revised accounting standards until such time as those standards apply to private companies. We intend to take advantage of the longer phase-in periods for the adoption of new or revised financial accounting standards under the JOBS Act until we are no longer an emerging growth company. Our election to use the phase-in periods permitted by this election may make it difficult to compare our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statements to those of non-emerging growth companies and other emerging growth companies that have opted out of the longer phase-in periods permitted under the JOBS Act and who will comply with new or revised financial accounting standards. If we were to subsequently elect instead to comply with public company effective dates, such election would be irrevocable pursuant to the JOBS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upon our condensed consolidated financial statements, which have been prepared in accordance with GAAP. The preparation of these financial statements requires management to make estimates and judgments that affect the reported amounts of assets and liabilities and disclosure of contingent assets and liabilities at the date of the condensed consolidated financial statements and the reported amounts of revenues and expenses during the reporting period. Actual results may differ from these estimates under different assumptions or conditions, impacting our reported results of operations and financial condition.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accounting estimates involve significant judgments and assumptions by management, which have a material impact on the carrying value of assets and liabilities and the recognition of income and expenses. We consider these accounting estimates to be critical accounting estimates. The estimates and assumptions used by management are based on historical experience and other factors, which are believed to be reasonable under the circumstances.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 description of our estimates regarding our critical accounting estimates, see “Critical Accounting Estimates” in the 2023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Market risk represents the risk of loss that may impact our financial position due to adverse changes in financial market prices and rates. Our market risk exposure is primarily a result of exposure due to potential changes in inflation or interest rates. We do not hold financial instruments for trading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2023, we had total outstanding debt of $65.6 million in principal amount under the Term Loan Facility, $2.3 million under the convertible term loan, and no outstanding debt under the Revolving Credit Facility (each as defined in Note 8, “Long-Term Debt” to our condensed consolidated financial statements). As of June 30, 2023, we had total outstanding debt of $67.5 million in principal amount under the Term Loan Facility and $2.3 million under the convertible term loan. As of December 31, 2023, the interest rate on the Term Loan Facility was 7.30%.</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had cash and cash equivalents of $54.1 million and $127.2 million as of December 31, 2023 and June 30, 2023, respectively, which are deposited with high credit quality financial institutions and are primarily in demand deposit accounts.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cash and cash equivalents and interest payments in respect of our debt are subject to market risk due to changes in interest rates. We do not believe that an increase or decrease in interest rates of 100 basis points would have a material effect on our business, financial condition or results of operations.</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had short-term investments of $44.7 million and $46.2 million as of December 31, 2023 and June 30, 2023, respectively, which are primarily invested in managed income funds managed by major financial institutions. The funds mainly invest in investment grade, U.S. denominated short-term fixed and floating rate debt securities. Securities are subject to market risk and sensitive to changes in interest rates. While the instruments held by the funds are generally less sensitive to interest rate changes than instruments with longer maturities due to their short-term nature, the funds may face a heightened level of interest rate risk due to changes in monetary policy. During periods when interest rates are low or negative, the funds yields, and total returns may also be low, or the funds may be unable to maintain positive returns. We do not believe that an increase or decrease in interest rates of 100 basis points would have a material effect on these short-term investments.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Based on our analysis of the periods presented, we believe that inflation has not had a material effect on our operating results. There can be no assurance that future inflation will not have an adverse impact on our operating results and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Evaluation of Disclosure Controls and Procedures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the Chief Executive Officer and Chief Financial Officer, we have evaluated the effectiveness of our disclosure controls and procedures (as defined in Rules 13a-15(e) and 15d-15(e) under the Securities Exchange Act of 1934, as amended) as of the end of the period covered by this Report. Based on that evaluation, the Chief Executive Officer and Chief Financial Officer have concluded that our disclosure controls and procedures were effective as of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Changes in Internal Controls over Financial Reporting</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changes in internal control over financial reporting during the quarter ended December 31, 2023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information regarding our material pending legal proceedings, refer to Note 9 “Commitments and Contingencies” to our Condensed Consolidated Financial Statements located in Item 1 of Part I of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Except as set forth below, there have been no material changes to the risk factors previously disclosed in </w:t>
      </w:r>
      <w:r>
        <w:rPr>
          <w:rFonts w:ascii="Times New Roman" w:cs="Times New Roman" w:eastAsia="Times New Roman" w:hAnsi="Times New Roman"/>
          <w:sz w:val="18"/>
          <w:szCs w:val="18"/>
          <w:color w:val="212529"/>
        </w:rPr>
        <w:t>our 2023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Labor relations matters could have a material adverse effect on our business, reputation, prospects, results of operations and financial condition.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212529"/>
        </w:rPr>
        <w:t>On October 27, 2023, following a demand from a labor union for the Company to recognize it as the collective bargaining representative of the nurses and certified nurse assistants in our Pennsylvania centers, we filed a petition with the National Labor Relations Board to conduct two elections. The National Labor Relations Board conducted the elections on December 6, 2024, at which the nurses and certified nurse assistants in our Pennsylvania centers voted to unionize. These employees represent approximately 1% of our total workforce. Even though we are currently unaware of other unionization efforts, it is possible that additional employees in our Pennsylvania centers or in other geographies may follow. As we negotiate collective bargaining agreements for the two new bargaining units at the Pennsylvania centers, and any other units that may organize in the future, employees may threaten and/or engage in work stoppages and strikes, and our labor costs may continue to increase as a result. The unavailability of staff, or the inability of the Company to control labor costs related to these matters and future efforts to unionize, could have a material adverse effect on our business, reputation, prospects, results of operations and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12529"/>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40" w:type="dxa"/>
            <w:vAlign w:val="bottom"/>
            <w:gridSpan w:val="15"/>
          </w:tcPr>
          <w:p>
            <w:pPr>
              <w:ind w:left="340"/>
              <w:spacing w:after="0"/>
              <w:rPr>
                <w:sz w:val="20"/>
                <w:szCs w:val="20"/>
                <w:color w:val="auto"/>
              </w:rPr>
            </w:pPr>
            <w:r>
              <w:rPr>
                <w:rFonts w:ascii="Times New Roman" w:cs="Times New Roman" w:eastAsia="Times New Roman" w:hAnsi="Times New Roman"/>
                <w:sz w:val="18"/>
                <w:szCs w:val="18"/>
                <w:color w:val="auto"/>
              </w:rPr>
              <w:t>The following is a list of all exhibits filed or furnished as part of this report:</w:t>
            </w:r>
          </w:p>
        </w:tc>
        <w:tc>
          <w:tcPr>
            <w:tcW w:w="0" w:type="dxa"/>
            <w:vAlign w:val="bottom"/>
          </w:tcPr>
          <w:p>
            <w:pPr>
              <w:spacing w:after="0"/>
              <w:rPr>
                <w:sz w:val="1"/>
                <w:szCs w:val="1"/>
                <w:color w:val="auto"/>
              </w:rPr>
            </w:pPr>
          </w:p>
        </w:tc>
      </w:tr>
      <w:tr>
        <w:trPr>
          <w:trHeight w:val="432"/>
        </w:trPr>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900" w:type="dxa"/>
            <w:vAlign w:val="bottom"/>
            <w:gridSpan w:val="11"/>
          </w:tcPr>
          <w:p>
            <w:pPr>
              <w:ind w:left="25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8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4"/>
                <w:szCs w:val="24"/>
                <w:color w:val="auto"/>
              </w:rPr>
            </w:pPr>
          </w:p>
        </w:tc>
        <w:tc>
          <w:tcPr>
            <w:tcW w:w="9760" w:type="dxa"/>
            <w:vAlign w:val="bottom"/>
            <w:gridSpan w:val="1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w:t>
            </w:r>
          </w:p>
        </w:tc>
        <w:tc>
          <w:tcPr>
            <w:tcW w:w="20" w:type="dxa"/>
            <w:vAlign w:val="bottom"/>
          </w:tcPr>
          <w:p>
            <w:pPr>
              <w:spacing w:after="0"/>
              <w:rPr>
                <w:sz w:val="16"/>
                <w:szCs w:val="16"/>
                <w:color w:val="auto"/>
              </w:rPr>
            </w:pPr>
          </w:p>
        </w:tc>
        <w:tc>
          <w:tcPr>
            <w:tcW w:w="9760" w:type="dxa"/>
            <w:vAlign w:val="bottom"/>
            <w:gridSpan w:val="1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9"/>
        </w:trPr>
        <w:tc>
          <w:tcPr>
            <w:tcW w:w="1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060" w:type="dxa"/>
            <w:vAlign w:val="bottom"/>
            <w:tcBorders>
              <w:top w:val="single" w:sz="8" w:color="auto"/>
              <w:bottom w:val="single" w:sz="8" w:color="0000FF"/>
            </w:tcBorders>
            <w:gridSpan w:val="7"/>
          </w:tcPr>
          <w:p>
            <w:pPr>
              <w:spacing w:after="0"/>
              <w:rPr>
                <w:rFonts w:ascii="Times New Roman" w:cs="Times New Roman" w:eastAsia="Times New Roman" w:hAnsi="Times New Roman"/>
                <w:sz w:val="18"/>
                <w:szCs w:val="18"/>
                <w:color w:val="0000FF"/>
                <w:w w:val="99"/>
              </w:rPr>
            </w:pPr>
            <w:hyperlink r:id="rId85">
              <w:r>
                <w:rPr>
                  <w:rFonts w:ascii="Times New Roman" w:cs="Times New Roman" w:eastAsia="Times New Roman" w:hAnsi="Times New Roman"/>
                  <w:sz w:val="18"/>
                  <w:szCs w:val="18"/>
                  <w:color w:val="0000FF"/>
                  <w:w w:val="99"/>
                </w:rPr>
                <w:t>Second Amended and Restated Certificate of Incorporation of InnovAge Holding Corp., filed March 3, 2021 (incorporated by</w:t>
              </w:r>
            </w:hyperlink>
          </w:p>
        </w:tc>
        <w:tc>
          <w:tcPr>
            <w:tcW w:w="700" w:type="dxa"/>
            <w:vAlign w:val="bottom"/>
            <w:tcBorders>
              <w:top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12"/>
          </w:tcPr>
          <w:p>
            <w:pPr>
              <w:spacing w:after="0" w:line="196"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reference to Exhibit 3.1 to the Company’s Current Report on Form 8-K filed with the SEC on March 8, 2021).</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88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86">
              <w:r>
                <w:rPr>
                  <w:rFonts w:ascii="Times New Roman" w:cs="Times New Roman" w:eastAsia="Times New Roman" w:hAnsi="Times New Roman"/>
                  <w:sz w:val="18"/>
                  <w:szCs w:val="18"/>
                  <w:color w:val="0000FF"/>
                  <w:w w:val="99"/>
                </w:rPr>
                <w:t>Amended and Restated Bylaws of InnovAge Holding Corp., effective March 3, 2021 (incorporated by reference to Exhibit 3.2 to the</w:t>
              </w:r>
            </w:hyperlink>
          </w:p>
        </w:tc>
        <w:tc>
          <w:tcPr>
            <w:tcW w:w="2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4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86">
              <w:r>
                <w:rPr>
                  <w:rFonts w:ascii="Times New Roman" w:cs="Times New Roman" w:eastAsia="Times New Roman" w:hAnsi="Times New Roman"/>
                  <w:sz w:val="18"/>
                  <w:szCs w:val="18"/>
                  <w:color w:val="0000FF"/>
                  <w:w w:val="99"/>
                </w:rPr>
                <w:t>Company’s Current Report on Form 8-K filed with the SEC on March 8, 2021).</w:t>
              </w:r>
            </w:hyperlink>
          </w:p>
        </w:tc>
        <w:tc>
          <w:tcPr>
            <w:tcW w:w="40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2"/>
          </w:tcPr>
          <w:p>
            <w:pPr>
              <w:spacing w:after="0"/>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Class B Unit Award Agreement, dated December 18, 2023, by and between TCO Group Holdings, L.P. and Nicole D'Amato</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2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20" w:type="dxa"/>
            <w:vAlign w:val="bottom"/>
            <w:tcBorders>
              <w:bottom w:val="single" w:sz="8" w:color="0000FF"/>
            </w:tcBorders>
            <w:gridSpan w:val="9"/>
          </w:tcPr>
          <w:p>
            <w:pPr>
              <w:spacing w:after="0" w:line="182" w:lineRule="exact"/>
              <w:rPr>
                <w:rFonts w:ascii="Times New Roman" w:cs="Times New Roman" w:eastAsia="Times New Roman" w:hAnsi="Times New Roman"/>
                <w:sz w:val="18"/>
                <w:szCs w:val="18"/>
                <w:color w:val="0000FF"/>
                <w:w w:val="99"/>
              </w:rPr>
            </w:pPr>
            <w:hyperlink r:id="rId87">
              <w:r>
                <w:rPr>
                  <w:rFonts w:ascii="Times New Roman" w:cs="Times New Roman" w:eastAsia="Times New Roman" w:hAnsi="Times New Roman"/>
                  <w:sz w:val="18"/>
                  <w:szCs w:val="18"/>
                  <w:color w:val="0000FF"/>
                  <w:w w:val="99"/>
                </w:rPr>
                <w:t>(incorporated by reference to Exhibit 10.1 to the Company’s Current Report on Form 8-K filed with the SEC on December 19, 2023).</w:t>
              </w:r>
            </w:hyperlink>
          </w:p>
        </w:tc>
        <w:tc>
          <w:tcPr>
            <w:tcW w:w="14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398"/>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302 of the Sarbanes-Oxley Act of 2002</w:t>
            </w:r>
          </w:p>
        </w:tc>
        <w:tc>
          <w:tcPr>
            <w:tcW w:w="40" w:type="dxa"/>
            <w:vAlign w:val="bottom"/>
            <w:tcBorders>
              <w:top w:val="single" w:sz="8" w:color="0000FF"/>
            </w:tcBorders>
          </w:tcPr>
          <w:p>
            <w:pPr>
              <w:spacing w:after="0"/>
              <w:rPr>
                <w:sz w:val="24"/>
                <w:szCs w:val="24"/>
                <w:color w:val="auto"/>
              </w:rPr>
            </w:pPr>
          </w:p>
        </w:tc>
        <w:tc>
          <w:tcPr>
            <w:tcW w:w="25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24"/>
                <w:szCs w:val="24"/>
                <w:color w:val="auto"/>
              </w:rPr>
            </w:pPr>
          </w:p>
        </w:tc>
        <w:tc>
          <w:tcPr>
            <w:tcW w:w="97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8860" w:type="dxa"/>
            <w:vAlign w:val="bottom"/>
            <w:tcBorders>
              <w:top w:val="single" w:sz="8" w:color="0000FF"/>
            </w:tcBorders>
            <w:gridSpan w:val="10"/>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24"/>
                <w:szCs w:val="24"/>
                <w:color w:val="auto"/>
              </w:rPr>
            </w:pPr>
          </w:p>
        </w:tc>
        <w:tc>
          <w:tcPr>
            <w:tcW w:w="96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18 U.S.C. Section 1350, as adopted pursuant to Section 906 of the Sarbanes-Oxley</w:t>
            </w:r>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89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9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432"/>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9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419"/>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418"/>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9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418"/>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419"/>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and contained in Exhibit 101)</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63" w:lineRule="exact"/>
        <w:rPr>
          <w:sz w:val="20"/>
          <w:szCs w:val="20"/>
          <w:color w:val="auto"/>
        </w:rPr>
      </w:pPr>
    </w:p>
    <w:p>
      <w:pPr>
        <w:jc w:val="both"/>
        <w:ind w:left="340" w:hanging="332"/>
        <w:spacing w:after="0" w:line="266"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and Exhibit 32.2 hereto are deemed “furnished” with this Quarterly Report on Form 10-Q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7780" w:type="dxa"/>
            <w:vAlign w:val="bottom"/>
            <w:gridSpan w:val="2"/>
          </w:tcPr>
          <w:p>
            <w:pPr>
              <w:ind w:left="1780"/>
              <w:spacing w:after="0"/>
              <w:rPr>
                <w:sz w:val="20"/>
                <w:szCs w:val="20"/>
                <w:color w:val="auto"/>
              </w:rPr>
            </w:pPr>
            <w:r>
              <w:rPr>
                <w:rFonts w:ascii="Times New Roman" w:cs="Times New Roman" w:eastAsia="Times New Roman" w:hAnsi="Times New Roman"/>
                <w:sz w:val="18"/>
                <w:szCs w:val="18"/>
                <w:b w:val="1"/>
                <w:bCs w:val="1"/>
                <w:color w:val="auto"/>
              </w:rPr>
              <w:t>INNOVAGE HOLDING CORP.</w:t>
            </w:r>
          </w:p>
        </w:tc>
      </w:tr>
      <w:tr>
        <w:trPr>
          <w:trHeight w:val="479"/>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6, 2024</w:t>
            </w:r>
          </w:p>
        </w:tc>
        <w:tc>
          <w:tcPr>
            <w:tcW w:w="25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Benjamin C. Adams</w:t>
            </w:r>
          </w:p>
        </w:tc>
      </w:tr>
      <w:tr>
        <w:trPr>
          <w:trHeight w:val="243"/>
        </w:trPr>
        <w:tc>
          <w:tcPr>
            <w:tcW w:w="3440" w:type="dxa"/>
            <w:vAlign w:val="bottom"/>
          </w:tcPr>
          <w:p>
            <w:pPr>
              <w:spacing w:after="0"/>
              <w:rPr>
                <w:sz w:val="21"/>
                <w:szCs w:val="21"/>
                <w:color w:val="auto"/>
              </w:rPr>
            </w:pPr>
          </w:p>
        </w:tc>
        <w:tc>
          <w:tcPr>
            <w:tcW w:w="25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Name: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Benjamin C. Adams</w:t>
            </w:r>
          </w:p>
        </w:tc>
      </w:tr>
      <w:tr>
        <w:trPr>
          <w:trHeight w:val="225"/>
        </w:trPr>
        <w:tc>
          <w:tcPr>
            <w:tcW w:w="3440" w:type="dxa"/>
            <w:vAlign w:val="bottom"/>
          </w:tcPr>
          <w:p>
            <w:pPr>
              <w:spacing w:after="0"/>
              <w:rPr>
                <w:sz w:val="19"/>
                <w:szCs w:val="19"/>
                <w:color w:val="auto"/>
              </w:rPr>
            </w:pPr>
          </w:p>
        </w:tc>
        <w:tc>
          <w:tcPr>
            <w:tcW w:w="25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Title: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(Duly Authorized Officer and Principal</w:t>
            </w:r>
          </w:p>
        </w:tc>
      </w:tr>
      <w:tr>
        <w:trPr>
          <w:trHeight w:val="234"/>
        </w:trPr>
        <w:tc>
          <w:tcPr>
            <w:tcW w:w="34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and Accounting Officer)</w:t>
            </w:r>
          </w:p>
        </w:tc>
      </w:tr>
      <w:tr>
        <w:trPr>
          <w:trHeight w:val="918"/>
        </w:trPr>
        <w:tc>
          <w:tcPr>
            <w:tcW w:w="3440" w:type="dxa"/>
            <w:vAlign w:val="bottom"/>
          </w:tcPr>
          <w:p>
            <w:pPr>
              <w:spacing w:after="0"/>
              <w:rPr>
                <w:sz w:val="24"/>
                <w:szCs w:val="24"/>
                <w:color w:val="auto"/>
              </w:rPr>
            </w:pPr>
          </w:p>
        </w:tc>
        <w:tc>
          <w:tcPr>
            <w:tcW w:w="2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47</w:t>
            </w:r>
          </w:p>
        </w:tc>
        <w:tc>
          <w:tcPr>
            <w:tcW w:w="522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Patrick Blair, certify that:</w:t>
      </w:r>
    </w:p>
    <w:p>
      <w:pPr>
        <w:spacing w:after="0" w:line="117" w:lineRule="exact"/>
        <w:rPr>
          <w:sz w:val="20"/>
          <w:szCs w:val="20"/>
          <w:color w:val="auto"/>
        </w:rPr>
      </w:pPr>
    </w:p>
    <w:p>
      <w:pPr>
        <w:ind w:left="980" w:hanging="648"/>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InnovAge Holding Corp.;</w:t>
      </w:r>
    </w:p>
    <w:p>
      <w:pPr>
        <w:spacing w:after="0" w:line="117" w:lineRule="exact"/>
        <w:rPr>
          <w:rFonts w:ascii="Times New Roman" w:cs="Times New Roman" w:eastAsia="Times New Roman" w:hAnsi="Times New Roman"/>
          <w:sz w:val="18"/>
          <w:szCs w:val="18"/>
          <w:color w:val="auto"/>
        </w:rPr>
      </w:pPr>
    </w:p>
    <w:p>
      <w:pPr>
        <w:jc w:val="both"/>
        <w:ind w:left="980" w:right="60" w:hanging="648"/>
        <w:spacing w:after="0" w:line="266"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80" w:right="20" w:hanging="648"/>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980" w:right="180" w:hanging="648"/>
        <w:spacing w:after="0" w:line="266"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620" w:right="20" w:hanging="640"/>
        <w:spacing w:after="0" w:line="266" w:lineRule="auto"/>
        <w:tabs>
          <w:tab w:leader="none" w:pos="161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620" w:right="100" w:hanging="640"/>
        <w:spacing w:after="0" w:line="266" w:lineRule="auto"/>
        <w:tabs>
          <w:tab w:leader="none" w:pos="161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620" w:right="180" w:hanging="640"/>
        <w:spacing w:after="0" w:line="266" w:lineRule="auto"/>
        <w:tabs>
          <w:tab w:leader="none" w:pos="161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620" w:right="280" w:hanging="640"/>
        <w:spacing w:after="0" w:line="266" w:lineRule="auto"/>
        <w:tabs>
          <w:tab w:leader="none" w:pos="161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980" w:right="140" w:hanging="648"/>
        <w:spacing w:after="0" w:line="312" w:lineRule="auto"/>
        <w:tabs>
          <w:tab w:leader="none" w:pos="9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620" w:right="140" w:hanging="640"/>
        <w:spacing w:after="0" w:line="282" w:lineRule="auto"/>
        <w:tabs>
          <w:tab w:leader="none" w:pos="161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620" w:right="420" w:hanging="640"/>
        <w:spacing w:after="0" w:line="282" w:lineRule="auto"/>
        <w:tabs>
          <w:tab w:leader="none" w:pos="161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6, 2024</w:t>
      </w:r>
    </w:p>
    <w:p>
      <w:pPr>
        <w:spacing w:after="0" w:line="36" w:lineRule="exact"/>
        <w:rPr>
          <w:sz w:val="20"/>
          <w:szCs w:val="20"/>
          <w:color w:val="auto"/>
        </w:rPr>
      </w:pPr>
    </w:p>
    <w:p>
      <w:pPr>
        <w:ind w:left="5720"/>
        <w:spacing w:after="0"/>
        <w:tabs>
          <w:tab w:leader="none" w:pos="6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Patrick Blair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34290</wp:posOffset>
            </wp:positionV>
            <wp:extent cx="30429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43" w:lineRule="exact"/>
        <w:rPr>
          <w:sz w:val="20"/>
          <w:szCs w:val="20"/>
          <w:color w:val="auto"/>
        </w:rPr>
      </w:pPr>
    </w:p>
    <w:p>
      <w:pPr>
        <w:ind w:left="5720"/>
        <w:spacing w:after="0"/>
        <w:tabs>
          <w:tab w:leader="none" w:pos="6440" w:val="left"/>
        </w:tabs>
        <w:rPr>
          <w:sz w:val="20"/>
          <w:szCs w:val="20"/>
          <w:color w:val="auto"/>
        </w:rPr>
      </w:pPr>
      <w:r>
        <w:rPr>
          <w:rFonts w:ascii="Times New Roman" w:cs="Times New Roman" w:eastAsia="Times New Roman" w:hAnsi="Times New Roman"/>
          <w:sz w:val="18"/>
          <w:szCs w:val="18"/>
          <w:color w:val="auto"/>
        </w:rPr>
        <w:t>Name:</w:t>
        <w:tab/>
        <w:t>Patrick Blair</w:t>
      </w:r>
    </w:p>
    <w:p>
      <w:pPr>
        <w:spacing w:after="0" w:line="75" w:lineRule="exact"/>
        <w:rPr>
          <w:sz w:val="20"/>
          <w:szCs w:val="20"/>
          <w:color w:val="auto"/>
        </w:rPr>
      </w:pPr>
    </w:p>
    <w:p>
      <w:pPr>
        <w:ind w:left="5720"/>
        <w:spacing w:after="0"/>
        <w:tabs>
          <w:tab w:leader="none" w:pos="64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1143"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Benjamin C. Adams, certify that:</w:t>
      </w:r>
    </w:p>
    <w:p>
      <w:pPr>
        <w:spacing w:after="0" w:line="117" w:lineRule="exact"/>
        <w:rPr>
          <w:sz w:val="20"/>
          <w:szCs w:val="20"/>
          <w:color w:val="auto"/>
        </w:rPr>
      </w:pPr>
    </w:p>
    <w:p>
      <w:pPr>
        <w:ind w:left="980" w:hanging="648"/>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InnovAge Holding, Corp.;</w:t>
      </w:r>
    </w:p>
    <w:p>
      <w:pPr>
        <w:spacing w:after="0" w:line="117" w:lineRule="exact"/>
        <w:rPr>
          <w:rFonts w:ascii="Times New Roman" w:cs="Times New Roman" w:eastAsia="Times New Roman" w:hAnsi="Times New Roman"/>
          <w:sz w:val="18"/>
          <w:szCs w:val="18"/>
          <w:color w:val="auto"/>
        </w:rPr>
      </w:pPr>
    </w:p>
    <w:p>
      <w:pPr>
        <w:jc w:val="both"/>
        <w:ind w:left="980" w:right="60" w:hanging="648"/>
        <w:spacing w:after="0" w:line="266"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80" w:right="20" w:hanging="648"/>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980" w:right="180" w:hanging="648"/>
        <w:spacing w:after="0" w:line="266"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620" w:right="20" w:hanging="640"/>
        <w:spacing w:after="0" w:line="266" w:lineRule="auto"/>
        <w:tabs>
          <w:tab w:leader="none" w:pos="161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620" w:right="100" w:hanging="640"/>
        <w:spacing w:after="0" w:line="266" w:lineRule="auto"/>
        <w:tabs>
          <w:tab w:leader="none" w:pos="161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620" w:right="180" w:hanging="640"/>
        <w:spacing w:after="0" w:line="266" w:lineRule="auto"/>
        <w:tabs>
          <w:tab w:leader="none" w:pos="161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620" w:right="280" w:hanging="640"/>
        <w:spacing w:after="0" w:line="266" w:lineRule="auto"/>
        <w:tabs>
          <w:tab w:leader="none" w:pos="161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980" w:right="140" w:hanging="648"/>
        <w:spacing w:after="0" w:line="312" w:lineRule="auto"/>
        <w:tabs>
          <w:tab w:leader="none" w:pos="9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620" w:right="140" w:hanging="640"/>
        <w:spacing w:after="0" w:line="282" w:lineRule="auto"/>
        <w:tabs>
          <w:tab w:leader="none" w:pos="161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620" w:right="420" w:hanging="640"/>
        <w:spacing w:after="0" w:line="282" w:lineRule="auto"/>
        <w:tabs>
          <w:tab w:leader="none" w:pos="161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6, 2024</w:t>
      </w:r>
    </w:p>
    <w:p>
      <w:pPr>
        <w:spacing w:after="0" w:line="200" w:lineRule="exact"/>
        <w:rPr>
          <w:sz w:val="20"/>
          <w:szCs w:val="20"/>
          <w:color w:val="auto"/>
        </w:rPr>
      </w:pPr>
    </w:p>
    <w:p>
      <w:pPr>
        <w:spacing w:after="0" w:line="349" w:lineRule="exact"/>
        <w:rPr>
          <w:sz w:val="20"/>
          <w:szCs w:val="20"/>
          <w:color w:val="auto"/>
        </w:rPr>
      </w:pPr>
    </w:p>
    <w:p>
      <w:pPr>
        <w:ind w:left="5720"/>
        <w:spacing w:after="0"/>
        <w:tabs>
          <w:tab w:leader="none" w:pos="6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Benjamin C.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34290</wp:posOffset>
            </wp:positionV>
            <wp:extent cx="30429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43" w:lineRule="exact"/>
        <w:rPr>
          <w:sz w:val="20"/>
          <w:szCs w:val="20"/>
          <w:color w:val="auto"/>
        </w:rPr>
      </w:pPr>
    </w:p>
    <w:p>
      <w:pPr>
        <w:ind w:left="5720"/>
        <w:spacing w:after="0"/>
        <w:tabs>
          <w:tab w:leader="none" w:pos="6440" w:val="left"/>
        </w:tabs>
        <w:rPr>
          <w:sz w:val="20"/>
          <w:szCs w:val="20"/>
          <w:color w:val="auto"/>
        </w:rPr>
      </w:pPr>
      <w:r>
        <w:rPr>
          <w:rFonts w:ascii="Times New Roman" w:cs="Times New Roman" w:eastAsia="Times New Roman" w:hAnsi="Times New Roman"/>
          <w:sz w:val="18"/>
          <w:szCs w:val="18"/>
          <w:color w:val="auto"/>
        </w:rPr>
        <w:t>Name:</w:t>
        <w:tab/>
        <w:t>Benjamin C. Adams</w:t>
      </w:r>
    </w:p>
    <w:p>
      <w:pPr>
        <w:spacing w:after="0" w:line="75" w:lineRule="exact"/>
        <w:rPr>
          <w:sz w:val="20"/>
          <w:szCs w:val="20"/>
          <w:color w:val="auto"/>
        </w:rPr>
      </w:pPr>
    </w:p>
    <w:p>
      <w:pPr>
        <w:ind w:left="5720"/>
        <w:spacing w:after="0"/>
        <w:tabs>
          <w:tab w:leader="none" w:pos="64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1240"/>
          </w:cols>
          <w:pgMar w:left="320" w:top="1035"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18 U.S.C. Section 1350</w:t>
      </w:r>
    </w:p>
    <w:p>
      <w:pPr>
        <w:spacing w:after="0" w:line="22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InnovAge Holding Corp. (the “Company”) for the fiscal quarter ended December 31, 2023 as filed with the U.S. Securities and Exchange Commission (the “Report”), I, Patrick Blair, Chief Executive Officer of the Company, hereby certify, pursuant to 18 U.S.C. Section 1350, as adopted pursuant to Section 906 of the Sarbanes-Oxley Act of 2002, that, to my knowledge:</w:t>
      </w:r>
    </w:p>
    <w:p>
      <w:pPr>
        <w:spacing w:after="0" w:line="68" w:lineRule="exact"/>
        <w:rPr>
          <w:sz w:val="20"/>
          <w:szCs w:val="20"/>
          <w:color w:val="auto"/>
        </w:rPr>
      </w:pPr>
    </w:p>
    <w:p>
      <w:pPr>
        <w:ind w:left="1140" w:hanging="646"/>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140" w:right="440" w:hanging="646"/>
        <w:spacing w:after="0" w:line="282" w:lineRule="auto"/>
        <w:tabs>
          <w:tab w:leader="none" w:pos="113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6, 2024</w:t>
      </w:r>
    </w:p>
    <w:p>
      <w:pPr>
        <w:spacing w:after="0" w:line="200" w:lineRule="exact"/>
        <w:rPr>
          <w:sz w:val="20"/>
          <w:szCs w:val="20"/>
          <w:color w:val="auto"/>
        </w:rPr>
      </w:pPr>
    </w:p>
    <w:p>
      <w:pPr>
        <w:spacing w:after="0" w:line="349" w:lineRule="exact"/>
        <w:rPr>
          <w:sz w:val="20"/>
          <w:szCs w:val="20"/>
          <w:color w:val="auto"/>
        </w:rPr>
      </w:pPr>
    </w:p>
    <w:p>
      <w:pPr>
        <w:ind w:left="5720"/>
        <w:spacing w:after="0"/>
        <w:tabs>
          <w:tab w:leader="none" w:pos="6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Patrick Blair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34290</wp:posOffset>
            </wp:positionV>
            <wp:extent cx="30429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43" w:lineRule="exact"/>
        <w:rPr>
          <w:sz w:val="20"/>
          <w:szCs w:val="20"/>
          <w:color w:val="auto"/>
        </w:rPr>
      </w:pPr>
    </w:p>
    <w:p>
      <w:pPr>
        <w:ind w:left="5720"/>
        <w:spacing w:after="0"/>
        <w:tabs>
          <w:tab w:leader="none" w:pos="6440" w:val="left"/>
        </w:tabs>
        <w:rPr>
          <w:sz w:val="20"/>
          <w:szCs w:val="20"/>
          <w:color w:val="auto"/>
        </w:rPr>
      </w:pPr>
      <w:r>
        <w:rPr>
          <w:rFonts w:ascii="Times New Roman" w:cs="Times New Roman" w:eastAsia="Times New Roman" w:hAnsi="Times New Roman"/>
          <w:sz w:val="18"/>
          <w:szCs w:val="18"/>
          <w:color w:val="auto"/>
        </w:rPr>
        <w:t>Name:</w:t>
        <w:tab/>
        <w:t>Patrick Blair</w:t>
      </w:r>
    </w:p>
    <w:p>
      <w:pPr>
        <w:spacing w:after="0" w:line="75" w:lineRule="exact"/>
        <w:rPr>
          <w:sz w:val="20"/>
          <w:szCs w:val="20"/>
          <w:color w:val="auto"/>
        </w:rPr>
      </w:pPr>
    </w:p>
    <w:p>
      <w:pPr>
        <w:ind w:left="5720"/>
        <w:spacing w:after="0"/>
        <w:tabs>
          <w:tab w:leader="none" w:pos="64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1143"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18 U.S.C. Section 1350</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InnovAge Holding Corp. (the “Company”) for the fiscal quarter ended December 31, 2023 as filed with the U.S. Securities and Exchange Commission (the “Report”), I, Benjamin C. Adams, Chief Financial Officer of the Company, hereby certify, pursuant to 18 U.S.C. Section 1350, as adopted pursuant to Section 906 of the Sarbanes-Oxley Act of 2002, that, to my knowledge:</w:t>
      </w:r>
    </w:p>
    <w:p>
      <w:pPr>
        <w:spacing w:after="0" w:line="68" w:lineRule="exact"/>
        <w:rPr>
          <w:sz w:val="20"/>
          <w:szCs w:val="20"/>
          <w:color w:val="auto"/>
        </w:rPr>
      </w:pPr>
    </w:p>
    <w:p>
      <w:pPr>
        <w:ind w:left="1140" w:hanging="646"/>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140" w:right="440" w:hanging="646"/>
        <w:spacing w:after="0" w:line="282" w:lineRule="auto"/>
        <w:tabs>
          <w:tab w:leader="none" w:pos="113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6, 2024</w:t>
      </w:r>
    </w:p>
    <w:p>
      <w:pPr>
        <w:spacing w:after="0" w:line="200" w:lineRule="exact"/>
        <w:rPr>
          <w:sz w:val="20"/>
          <w:szCs w:val="20"/>
          <w:color w:val="auto"/>
        </w:rPr>
      </w:pPr>
    </w:p>
    <w:p>
      <w:pPr>
        <w:spacing w:after="0" w:line="349" w:lineRule="exact"/>
        <w:rPr>
          <w:sz w:val="20"/>
          <w:szCs w:val="20"/>
          <w:color w:val="auto"/>
        </w:rPr>
      </w:pPr>
    </w:p>
    <w:p>
      <w:pPr>
        <w:ind w:left="5720"/>
        <w:spacing w:after="0"/>
        <w:tabs>
          <w:tab w:leader="none" w:pos="6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Benjamin C.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34290</wp:posOffset>
            </wp:positionV>
            <wp:extent cx="30429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43" w:lineRule="exact"/>
        <w:rPr>
          <w:sz w:val="20"/>
          <w:szCs w:val="20"/>
          <w:color w:val="auto"/>
        </w:rPr>
      </w:pPr>
    </w:p>
    <w:p>
      <w:pPr>
        <w:ind w:left="5720"/>
        <w:spacing w:after="0"/>
        <w:tabs>
          <w:tab w:leader="none" w:pos="6440" w:val="left"/>
        </w:tabs>
        <w:rPr>
          <w:sz w:val="20"/>
          <w:szCs w:val="20"/>
          <w:color w:val="auto"/>
        </w:rPr>
      </w:pPr>
      <w:r>
        <w:rPr>
          <w:rFonts w:ascii="Times New Roman" w:cs="Times New Roman" w:eastAsia="Times New Roman" w:hAnsi="Times New Roman"/>
          <w:sz w:val="18"/>
          <w:szCs w:val="18"/>
          <w:color w:val="auto"/>
        </w:rPr>
        <w:t>Name:</w:t>
        <w:tab/>
        <w:t>Benjamin C. Adams</w:t>
      </w:r>
    </w:p>
    <w:p>
      <w:pPr>
        <w:spacing w:after="0" w:line="75" w:lineRule="exact"/>
        <w:rPr>
          <w:sz w:val="20"/>
          <w:szCs w:val="20"/>
          <w:color w:val="auto"/>
        </w:rPr>
      </w:pPr>
    </w:p>
    <w:p>
      <w:pPr>
        <w:ind w:left="5720"/>
        <w:spacing w:after="0"/>
        <w:tabs>
          <w:tab w:leader="none" w:pos="64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Financial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DB127F8"/>
    <w:multiLevelType w:val="hybridMultilevel"/>
    <w:lvl w:ilvl="0">
      <w:lvlJc w:val="left"/>
      <w:lvlText w:val="x"/>
      <w:numFmt w:val="bullet"/>
      <w:start w:val="1"/>
    </w:lvl>
  </w:abstractNum>
  <w:abstractNum w:abstractNumId="1">
    <w:nsid w:val="216231B"/>
    <w:multiLevelType w:val="hybridMultilevel"/>
    <w:lvl w:ilvl="0">
      <w:lvlJc w:val="left"/>
      <w:lvlText w:val="o"/>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lowerRoman"/>
      <w:start w:val="2"/>
    </w:lvl>
  </w:abstractNum>
  <w:abstractNum w:abstractNumId="5">
    <w:nsid w:val="140E0F76"/>
    <w:multiLevelType w:val="hybridMultilevel"/>
    <w:lvl w:ilvl="0">
      <w:lvlJc w:val="left"/>
      <w:lvlText w:val="(%1)"/>
      <w:numFmt w:val="decimal"/>
      <w:start w:val="2"/>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lowerRoman"/>
      <w:start w:val="1"/>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Roman"/>
      <w:start w:val="2"/>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85" Type="http://schemas.openxmlformats.org/officeDocument/2006/relationships/hyperlink" Target="https://www.sec.gov/Archives/edgar/data/1834376/000110465921033328/tm2037889d18_ex3-1.htm" TargetMode="External"/><Relationship Id="rId86" Type="http://schemas.openxmlformats.org/officeDocument/2006/relationships/hyperlink" Target="https://www.sec.gov/Archives/edgar/data/1834376/000110465921033328/tm2037889d18_ex3-2.htm" TargetMode="External"/><Relationship Id="rId87" Type="http://schemas.openxmlformats.org/officeDocument/2006/relationships/hyperlink" Target="https://www.sec.gov/Archives/edgar/data/1834376/000110465923127341/tm2333148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2024-02-06T16:12:50Z</dcterms:created>
  <dcterms:modified xsi:type="dcterms:W3CDTF">2024-02-06T16:12:50Z</dcterms:modified>
</cp:coreProperties>
</file>