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60" w:after="283"/>
        <w:jc w:val="both"/>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0"/>
        <w:jc w:val="center"/>
        <w:rPr/>
      </w:pPr>
      <w:r>
        <w:rPr>
          <w:rFonts w:ascii="Wingdings;sans-serif" w:hAnsi="Wingdings;sans-serif"/>
          <w:b/>
          <w:color w:val="000000"/>
          <w:sz w:val="18"/>
        </w:rPr>
        <w:t>x</w:t>
      </w:r>
      <w:r>
        <w:rPr>
          <w:color w:val="000000"/>
        </w:rPr>
        <w:t>                     </w:t>
      </w:r>
      <w:r>
        <w:rPr>
          <w:rFonts w:ascii="Times New Roman;serif" w:hAnsi="Times New Roman;serif"/>
          <w:b/>
          <w:color w:val="000000"/>
          <w:sz w:val="18"/>
        </w:rPr>
        <w:t>QUARTERLY REPORT PURSUANT TO SECTION 13 OR 15(d) OF THE SECURITIES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OF 1934</w:t>
      </w:r>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60" w:after="283"/>
        <w:ind w:left="0" w:right="0" w:firstLine="72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60" w:after="283"/>
        <w:jc w:val="center"/>
        <w:rPr/>
      </w:pPr>
      <w:r>
        <w:rPr>
          <w:rFonts w:ascii="Wingdings;sans-serif" w:hAnsi="Wingdings;sans-serif"/>
          <w:b/>
          <w:color w:val="000000"/>
          <w:sz w:val="18"/>
        </w:rPr>
        <w:t>o</w:t>
      </w:r>
      <w:r>
        <w:rPr>
          <w:color w:val="000000"/>
        </w:rPr>
        <w:t>                     </w:t>
      </w:r>
      <w:r>
        <w:rPr>
          <w:rFonts w:ascii="Times New Roman;serif" w:hAnsi="Times New Roman;serif"/>
          <w:b/>
          <w:color w:val="000000"/>
          <w:sz w:val="18"/>
        </w:rPr>
        <w:t>TRANSITION REPORT PURSUANT TO SECTION 13 OR 15(d) OF THE SECURITIES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_________ to 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001-40159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before="0" w:after="0"/>
        <w:jc w:val="center"/>
        <w:rPr/>
      </w:pPr>
      <w:r>
        <w:rPr/>
        <w:drawing>
          <wp:inline distT="0" distB="0" distL="0" distR="0">
            <wp:extent cx="18859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571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InnovAge Holding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4829" w:type="dxa"/>
        <w:jc w:val="left"/>
        <w:tblInd w:w="0" w:type="dxa"/>
        <w:tblLayout w:type="fixed"/>
        <w:tblCellMar>
          <w:top w:w="28" w:type="dxa"/>
          <w:left w:w="28" w:type="dxa"/>
          <w:bottom w:w="28" w:type="dxa"/>
          <w:right w:w="28" w:type="dxa"/>
        </w:tblCellMar>
      </w:tblPr>
      <w:tblGrid>
        <w:gridCol w:w="1091"/>
        <w:gridCol w:w="957"/>
        <w:gridCol w:w="967"/>
        <w:gridCol w:w="528"/>
        <w:gridCol w:w="528"/>
        <w:gridCol w:w="75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81-0710819</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8950 E. Lowry Boulevard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Denver, CO</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80230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(844) 803-8745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Securities Act:</w:t>
      </w:r>
    </w:p>
    <w:tbl>
      <w:tblPr>
        <w:tblW w:w="9253" w:type="dxa"/>
        <w:jc w:val="left"/>
        <w:tblInd w:w="0" w:type="dxa"/>
        <w:tblLayout w:type="fixed"/>
        <w:tblCellMar>
          <w:top w:w="28" w:type="dxa"/>
          <w:left w:w="28" w:type="dxa"/>
          <w:bottom w:w="28" w:type="dxa"/>
          <w:right w:w="28" w:type="dxa"/>
        </w:tblCellMar>
      </w:tblPr>
      <w:tblGrid>
        <w:gridCol w:w="965"/>
        <w:gridCol w:w="849"/>
        <w:gridCol w:w="855"/>
        <w:gridCol w:w="519"/>
        <w:gridCol w:w="519"/>
        <w:gridCol w:w="521"/>
        <w:gridCol w:w="1472"/>
        <w:gridCol w:w="1472"/>
        <w:gridCol w:w="2081"/>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5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6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$0.001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INNV</w:t>
            </w:r>
          </w:p>
        </w:tc>
        <w:tc>
          <w:tcPr>
            <w:tcW w:w="50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Stock Market LLC (Nasdaq Global Select Market)</w:t>
            </w:r>
          </w:p>
        </w:tc>
      </w:tr>
    </w:tbl>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5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12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April 30, 2026, there were 135,736,393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49"/>
        <w:gridCol w:w="381"/>
        <w:gridCol w:w="340"/>
        <w:gridCol w:w="2867"/>
        <w:gridCol w:w="2822"/>
        <w:gridCol w:w="2831"/>
        <w:gridCol w:w="149"/>
        <w:gridCol w:w="149"/>
        <w:gridCol w:w="217"/>
      </w:tblGrid>
      <w:tr>
        <w:trPr/>
        <w:tc>
          <w:tcPr>
            <w:tcW w:w="44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3">
              <w:r>
                <w:rPr>
                  <w:rStyle w:val="InternetLink"/>
                  <w:rFonts w:ascii="Times New Roman;serif" w:hAnsi="Times New Roman;serif"/>
                  <w:b/>
                  <w:color w:val="0000FF"/>
                  <w:sz w:val="20"/>
                  <w:u w:val="single"/>
                </w:rPr>
                <w:t>Part I</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3">
              <w:r>
                <w:rPr>
                  <w:rStyle w:val="InternetLink"/>
                  <w:rFonts w:ascii="Times New Roman;serif" w:hAnsi="Times New Roman;serif"/>
                  <w:b/>
                  <w:color w:val="0000FF"/>
                  <w:sz w:val="20"/>
                  <w:u w:val="single"/>
                </w:rPr>
                <w:t>Financial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6">
              <w:r>
                <w:rPr>
                  <w:rStyle w:val="InternetLink"/>
                  <w:rFonts w:ascii="Times New Roman;serif" w:hAnsi="Times New Roman;serif"/>
                  <w:b w:val="false"/>
                  <w:color w:val="0000FF"/>
                  <w:sz w:val="20"/>
                  <w:u w:val="single"/>
                </w:rPr>
                <w:t>Item 1.</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6">
              <w:r>
                <w:rPr>
                  <w:rStyle w:val="InternetLink"/>
                  <w:rFonts w:ascii="Times New Roman;serif" w:hAnsi="Times New Roman;serif"/>
                  <w:b w:val="false"/>
                  <w:color w:val="0000FF"/>
                  <w:sz w:val="20"/>
                  <w:u w:val="single"/>
                </w:rPr>
                <w:t>Financial Statements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6">
              <w:r>
                <w:rPr>
                  <w:rStyle w:val="InternetLink"/>
                  <w:rFonts w:ascii="Times New Roman;serif" w:hAnsi="Times New Roman;serif"/>
                  <w:b w:val="false"/>
                  <w:strike w:val="false"/>
                  <w:dstrike w:val="false"/>
                  <w:color w:val="000000"/>
                  <w:sz w:val="20"/>
                  <w:u w:val="none"/>
                  <w:effect w:val="none"/>
                </w:rPr>
                <w:t>5</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9">
              <w:r>
                <w:rPr>
                  <w:rStyle w:val="InternetLink"/>
                  <w:rFonts w:ascii="Times New Roman;serif" w:hAnsi="Times New Roman;serif"/>
                  <w:b w:val="false"/>
                  <w:color w:val="000080"/>
                  <w:sz w:val="20"/>
                  <w:u w:val="single"/>
                </w:rPr>
                <w:t xml:space="preserve">Condensed Consolidated Balance Sheets as of </w:t>
              </w:r>
            </w:hyperlink>
            <w:hyperlink w:anchor="iafd36335ab2c4296905c542326d5c874_19">
              <w:r>
                <w:rPr>
                  <w:rStyle w:val="InternetLink"/>
                  <w:rFonts w:ascii="Times New Roman;serif" w:hAnsi="Times New Roman;serif"/>
                  <w:b w:val="false"/>
                  <w:color w:val="000080"/>
                  <w:sz w:val="20"/>
                  <w:u w:val="single"/>
                </w:rPr>
                <w:t>March 31, 2026</w:t>
              </w:r>
            </w:hyperlink>
            <w:hyperlink w:anchor="iafd36335ab2c4296905c542326d5c874_19">
              <w:r>
                <w:rPr>
                  <w:rStyle w:val="InternetLink"/>
                  <w:rFonts w:ascii="Times New Roman;serif" w:hAnsi="Times New Roman;serif"/>
                  <w:b w:val="false"/>
                  <w:color w:val="000080"/>
                  <w:sz w:val="20"/>
                  <w:u w:val="single"/>
                </w:rPr>
                <w:t xml:space="preserve"> (Unaudited) and June 30,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9">
              <w:r>
                <w:rPr>
                  <w:rStyle w:val="InternetLink"/>
                  <w:rFonts w:ascii="Times New Roman;serif" w:hAnsi="Times New Roman;serif"/>
                  <w:b w:val="false"/>
                  <w:strike w:val="false"/>
                  <w:dstrike w:val="false"/>
                  <w:color w:val="000000"/>
                  <w:sz w:val="20"/>
                  <w:u w:val="none"/>
                  <w:effect w:val="none"/>
                </w:rPr>
                <w:t>5</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22">
              <w:r>
                <w:rPr>
                  <w:rStyle w:val="InternetLink"/>
                  <w:rFonts w:ascii="Times New Roman;serif" w:hAnsi="Times New Roman;serif"/>
                  <w:b w:val="false"/>
                  <w:color w:val="000080"/>
                  <w:sz w:val="20"/>
                  <w:u w:val="single"/>
                </w:rPr>
                <w:t xml:space="preserve">Condensed Consolidated Statements of Operations for the three and </w:t>
              </w:r>
            </w:hyperlink>
            <w:hyperlink w:anchor="iafd36335ab2c4296905c542326d5c874_22">
              <w:r>
                <w:rPr>
                  <w:rStyle w:val="InternetLink"/>
                  <w:rFonts w:ascii="Times New Roman;serif" w:hAnsi="Times New Roman;serif"/>
                  <w:b w:val="false"/>
                  <w:color w:val="000080"/>
                  <w:sz w:val="20"/>
                  <w:u w:val="single"/>
                </w:rPr>
                <w:t>nine</w:t>
              </w:r>
            </w:hyperlink>
            <w:hyperlink w:anchor="iafd36335ab2c4296905c542326d5c874_22">
              <w:r>
                <w:rPr>
                  <w:rStyle w:val="InternetLink"/>
                  <w:rFonts w:ascii="Times New Roman;serif" w:hAnsi="Times New Roman;serif"/>
                  <w:b w:val="false"/>
                  <w:color w:val="000080"/>
                  <w:sz w:val="20"/>
                  <w:u w:val="single"/>
                </w:rPr>
                <w:t xml:space="preserve"> months ended </w:t>
              </w:r>
            </w:hyperlink>
            <w:hyperlink w:anchor="iafd36335ab2c4296905c542326d5c874_22">
              <w:r>
                <w:rPr>
                  <w:rStyle w:val="InternetLink"/>
                  <w:rFonts w:ascii="Times New Roman;serif" w:hAnsi="Times New Roman;serif"/>
                  <w:b w:val="false"/>
                  <w:color w:val="000080"/>
                  <w:sz w:val="20"/>
                  <w:u w:val="single"/>
                </w:rPr>
                <w:t>March</w:t>
              </w:r>
            </w:hyperlink>
            <w:hyperlink w:anchor="iafd36335ab2c4296905c542326d5c874_22">
              <w:r>
                <w:rPr>
                  <w:rStyle w:val="InternetLink"/>
                  <w:rFonts w:ascii="Times New Roman;serif" w:hAnsi="Times New Roman;serif"/>
                  <w:b w:val="false"/>
                  <w:color w:val="000080"/>
                  <w:sz w:val="20"/>
                  <w:u w:val="single"/>
                </w:rPr>
                <w:t xml:space="preserve"> 31, 202</w:t>
              </w:r>
            </w:hyperlink>
            <w:hyperlink w:anchor="iafd36335ab2c4296905c542326d5c874_22">
              <w:r>
                <w:rPr>
                  <w:rStyle w:val="InternetLink"/>
                  <w:rFonts w:ascii="Times New Roman;serif" w:hAnsi="Times New Roman;serif"/>
                  <w:b w:val="false"/>
                  <w:color w:val="000080"/>
                  <w:sz w:val="20"/>
                  <w:u w:val="single"/>
                </w:rPr>
                <w:t>6</w:t>
              </w:r>
            </w:hyperlink>
            <w:hyperlink w:anchor="iafd36335ab2c4296905c542326d5c874_22">
              <w:r>
                <w:rPr>
                  <w:rStyle w:val="InternetLink"/>
                  <w:rFonts w:ascii="Times New Roman;serif" w:hAnsi="Times New Roman;serif"/>
                  <w:b w:val="false"/>
                  <w:color w:val="000080"/>
                  <w:sz w:val="20"/>
                  <w:u w:val="single"/>
                </w:rPr>
                <w:t xml:space="preserve"> and 202</w:t>
              </w:r>
            </w:hyperlink>
            <w:hyperlink w:anchor="iafd36335ab2c4296905c542326d5c874_22">
              <w:r>
                <w:rPr>
                  <w:rStyle w:val="InternetLink"/>
                  <w:rFonts w:ascii="Times New Roman;serif" w:hAnsi="Times New Roman;serif"/>
                  <w:b w:val="false"/>
                  <w:color w:val="000080"/>
                  <w:sz w:val="20"/>
                  <w:u w:val="single"/>
                </w:rPr>
                <w:t>5</w:t>
              </w:r>
            </w:hyperlink>
            <w:hyperlink w:anchor="iafd36335ab2c4296905c542326d5c874_22">
              <w:r>
                <w:rPr>
                  <w:rStyle w:val="InternetLink"/>
                  <w:rFonts w:ascii="Times New Roman;serif" w:hAnsi="Times New Roman;serif"/>
                  <w:b w:val="false"/>
                  <w:color w:val="000080"/>
                  <w:sz w:val="20"/>
                  <w:u w:val="single"/>
                </w:rPr>
                <w:t xml:space="preserve">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22">
              <w:r>
                <w:rPr>
                  <w:rStyle w:val="InternetLink"/>
                  <w:rFonts w:ascii="Times New Roman;serif" w:hAnsi="Times New Roman;serif"/>
                  <w:b w:val="false"/>
                  <w:strike w:val="false"/>
                  <w:dstrike w:val="false"/>
                  <w:color w:val="000000"/>
                  <w:sz w:val="20"/>
                  <w:u w:val="none"/>
                  <w:effect w:val="none"/>
                </w:rPr>
                <w:t>6</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25">
              <w:r>
                <w:rPr>
                  <w:rStyle w:val="InternetLink"/>
                  <w:rFonts w:ascii="Times New Roman;serif" w:hAnsi="Times New Roman;serif"/>
                  <w:b w:val="false"/>
                  <w:color w:val="000080"/>
                  <w:sz w:val="20"/>
                  <w:u w:val="single"/>
                </w:rPr>
                <w:t xml:space="preserve">Condensed Consolidated Statements of Stockholders’ Equity for the three and </w:t>
              </w:r>
            </w:hyperlink>
            <w:hyperlink w:anchor="iafd36335ab2c4296905c542326d5c874_25">
              <w:r>
                <w:rPr>
                  <w:rStyle w:val="InternetLink"/>
                  <w:rFonts w:ascii="Times New Roman;serif" w:hAnsi="Times New Roman;serif"/>
                  <w:b w:val="false"/>
                  <w:color w:val="000080"/>
                  <w:sz w:val="20"/>
                  <w:u w:val="single"/>
                </w:rPr>
                <w:t>nine</w:t>
              </w:r>
            </w:hyperlink>
            <w:hyperlink w:anchor="iafd36335ab2c4296905c542326d5c874_25">
              <w:r>
                <w:rPr>
                  <w:rStyle w:val="InternetLink"/>
                  <w:rFonts w:ascii="Times New Roman;serif" w:hAnsi="Times New Roman;serif"/>
                  <w:b w:val="false"/>
                  <w:color w:val="000080"/>
                  <w:sz w:val="20"/>
                  <w:u w:val="single"/>
                </w:rPr>
                <w:t xml:space="preserve"> months ended </w:t>
              </w:r>
            </w:hyperlink>
            <w:hyperlink w:anchor="iafd36335ab2c4296905c542326d5c874_25">
              <w:r>
                <w:rPr>
                  <w:rStyle w:val="InternetLink"/>
                  <w:rFonts w:ascii="Times New Roman;serif" w:hAnsi="Times New Roman;serif"/>
                  <w:b w:val="false"/>
                  <w:color w:val="000080"/>
                  <w:sz w:val="20"/>
                  <w:u w:val="single"/>
                </w:rPr>
                <w:t>March</w:t>
              </w:r>
            </w:hyperlink>
            <w:hyperlink w:anchor="iafd36335ab2c4296905c542326d5c874_25">
              <w:r>
                <w:rPr>
                  <w:rStyle w:val="InternetLink"/>
                  <w:rFonts w:ascii="Times New Roman;serif" w:hAnsi="Times New Roman;serif"/>
                  <w:b w:val="false"/>
                  <w:color w:val="000080"/>
                  <w:sz w:val="20"/>
                  <w:u w:val="single"/>
                </w:rPr>
                <w:t xml:space="preserve"> 31, 202</w:t>
              </w:r>
            </w:hyperlink>
            <w:hyperlink w:anchor="iafd36335ab2c4296905c542326d5c874_25">
              <w:r>
                <w:rPr>
                  <w:rStyle w:val="InternetLink"/>
                  <w:rFonts w:ascii="Times New Roman;serif" w:hAnsi="Times New Roman;serif"/>
                  <w:b w:val="false"/>
                  <w:color w:val="000080"/>
                  <w:sz w:val="20"/>
                  <w:u w:val="single"/>
                </w:rPr>
                <w:t>6</w:t>
              </w:r>
            </w:hyperlink>
            <w:hyperlink w:anchor="iafd36335ab2c4296905c542326d5c874_25">
              <w:r>
                <w:rPr>
                  <w:rStyle w:val="InternetLink"/>
                  <w:rFonts w:ascii="Times New Roman;serif" w:hAnsi="Times New Roman;serif"/>
                  <w:b w:val="false"/>
                  <w:color w:val="000080"/>
                  <w:sz w:val="20"/>
                  <w:u w:val="single"/>
                </w:rPr>
                <w:t xml:space="preserve"> and 202</w:t>
              </w:r>
            </w:hyperlink>
            <w:hyperlink w:anchor="iafd36335ab2c4296905c542326d5c874_25">
              <w:r>
                <w:rPr>
                  <w:rStyle w:val="InternetLink"/>
                  <w:rFonts w:ascii="Times New Roman;serif" w:hAnsi="Times New Roman;serif"/>
                  <w:b w:val="false"/>
                  <w:color w:val="000080"/>
                  <w:sz w:val="20"/>
                  <w:u w:val="single"/>
                </w:rPr>
                <w:t>5</w:t>
              </w:r>
            </w:hyperlink>
            <w:hyperlink w:anchor="iafd36335ab2c4296905c542326d5c874_25">
              <w:r>
                <w:rPr>
                  <w:rStyle w:val="InternetLink"/>
                  <w:rFonts w:ascii="Times New Roman;serif" w:hAnsi="Times New Roman;serif"/>
                  <w:b w:val="false"/>
                  <w:color w:val="000080"/>
                  <w:sz w:val="20"/>
                  <w:u w:val="single"/>
                </w:rPr>
                <w:t xml:space="preserve">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25">
              <w:r>
                <w:rPr>
                  <w:rStyle w:val="InternetLink"/>
                  <w:rFonts w:ascii="Times New Roman;serif" w:hAnsi="Times New Roman;serif"/>
                  <w:b w:val="false"/>
                  <w:strike w:val="false"/>
                  <w:dstrike w:val="false"/>
                  <w:color w:val="000000"/>
                  <w:sz w:val="20"/>
                  <w:u w:val="none"/>
                  <w:effect w:val="none"/>
                </w:rPr>
                <w:t>7</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28">
              <w:r>
                <w:rPr>
                  <w:rStyle w:val="InternetLink"/>
                  <w:rFonts w:ascii="Times New Roman;serif" w:hAnsi="Times New Roman;serif"/>
                  <w:b w:val="false"/>
                  <w:color w:val="000080"/>
                  <w:sz w:val="20"/>
                  <w:u w:val="single"/>
                </w:rPr>
                <w:t xml:space="preserve">Condensed Consolidated Statements of Cash Flows for the </w:t>
              </w:r>
            </w:hyperlink>
            <w:hyperlink w:anchor="iafd36335ab2c4296905c542326d5c874_28">
              <w:r>
                <w:rPr>
                  <w:rStyle w:val="InternetLink"/>
                  <w:rFonts w:ascii="Times New Roman;serif" w:hAnsi="Times New Roman;serif"/>
                  <w:b w:val="false"/>
                  <w:color w:val="000080"/>
                  <w:sz w:val="20"/>
                  <w:u w:val="single"/>
                </w:rPr>
                <w:t>nine</w:t>
              </w:r>
            </w:hyperlink>
            <w:hyperlink w:anchor="iafd36335ab2c4296905c542326d5c874_28">
              <w:r>
                <w:rPr>
                  <w:rStyle w:val="InternetLink"/>
                  <w:rFonts w:ascii="Times New Roman;serif" w:hAnsi="Times New Roman;serif"/>
                  <w:b w:val="false"/>
                  <w:color w:val="000080"/>
                  <w:sz w:val="20"/>
                  <w:u w:val="single"/>
                </w:rPr>
                <w:t xml:space="preserve"> months ended </w:t>
              </w:r>
            </w:hyperlink>
            <w:hyperlink w:anchor="iafd36335ab2c4296905c542326d5c874_28">
              <w:r>
                <w:rPr>
                  <w:rStyle w:val="InternetLink"/>
                  <w:rFonts w:ascii="Times New Roman;serif" w:hAnsi="Times New Roman;serif"/>
                  <w:b w:val="false"/>
                  <w:color w:val="000080"/>
                  <w:sz w:val="20"/>
                  <w:u w:val="single"/>
                </w:rPr>
                <w:t>March</w:t>
              </w:r>
            </w:hyperlink>
            <w:hyperlink w:anchor="iafd36335ab2c4296905c542326d5c874_28">
              <w:r>
                <w:rPr>
                  <w:rStyle w:val="InternetLink"/>
                  <w:rFonts w:ascii="Times New Roman;serif" w:hAnsi="Times New Roman;serif"/>
                  <w:b w:val="false"/>
                  <w:color w:val="000080"/>
                  <w:sz w:val="20"/>
                  <w:u w:val="single"/>
                </w:rPr>
                <w:t xml:space="preserve"> 31, 202</w:t>
              </w:r>
            </w:hyperlink>
            <w:hyperlink w:anchor="iafd36335ab2c4296905c542326d5c874_28">
              <w:r>
                <w:rPr>
                  <w:rStyle w:val="InternetLink"/>
                  <w:rFonts w:ascii="Times New Roman;serif" w:hAnsi="Times New Roman;serif"/>
                  <w:b w:val="false"/>
                  <w:color w:val="000080"/>
                  <w:sz w:val="20"/>
                  <w:u w:val="single"/>
                </w:rPr>
                <w:t>6</w:t>
              </w:r>
            </w:hyperlink>
            <w:hyperlink w:anchor="iafd36335ab2c4296905c542326d5c874_28">
              <w:r>
                <w:rPr>
                  <w:rStyle w:val="InternetLink"/>
                  <w:rFonts w:ascii="Times New Roman;serif" w:hAnsi="Times New Roman;serif"/>
                  <w:b w:val="false"/>
                  <w:color w:val="000080"/>
                  <w:sz w:val="20"/>
                  <w:u w:val="single"/>
                </w:rPr>
                <w:t xml:space="preserve"> and 202</w:t>
              </w:r>
            </w:hyperlink>
            <w:hyperlink w:anchor="iafd36335ab2c4296905c542326d5c874_28">
              <w:r>
                <w:rPr>
                  <w:rStyle w:val="InternetLink"/>
                  <w:rFonts w:ascii="Times New Roman;serif" w:hAnsi="Times New Roman;serif"/>
                  <w:b w:val="false"/>
                  <w:color w:val="000080"/>
                  <w:sz w:val="20"/>
                  <w:u w:val="single"/>
                </w:rPr>
                <w:t>5</w:t>
              </w:r>
            </w:hyperlink>
            <w:hyperlink w:anchor="iafd36335ab2c4296905c542326d5c874_28">
              <w:r>
                <w:rPr>
                  <w:rStyle w:val="InternetLink"/>
                  <w:rFonts w:ascii="Times New Roman;serif" w:hAnsi="Times New Roman;serif"/>
                  <w:b w:val="false"/>
                  <w:color w:val="000080"/>
                  <w:sz w:val="20"/>
                  <w:u w:val="single"/>
                </w:rPr>
                <w:t xml:space="preserve">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28">
              <w:r>
                <w:rPr>
                  <w:rStyle w:val="InternetLink"/>
                  <w:rFonts w:ascii="Times New Roman;serif" w:hAnsi="Times New Roman;serif"/>
                  <w:b w:val="false"/>
                  <w:strike w:val="false"/>
                  <w:dstrike w:val="false"/>
                  <w:color w:val="000000"/>
                  <w:sz w:val="20"/>
                  <w:u w:val="none"/>
                  <w:effect w:val="none"/>
                </w:rPr>
                <w:t>9</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31">
              <w:r>
                <w:rPr>
                  <w:rStyle w:val="InternetLink"/>
                  <w:rFonts w:ascii="Times New Roman;serif" w:hAnsi="Times New Roman;serif"/>
                  <w:b w:val="false"/>
                  <w:color w:val="000080"/>
                  <w:sz w:val="20"/>
                  <w:u w:val="single"/>
                </w:rPr>
                <w:t xml:space="preserve">Notes to Condensed Consolidated Financial Statements as of </w:t>
              </w:r>
            </w:hyperlink>
            <w:hyperlink w:anchor="iafd36335ab2c4296905c542326d5c874_31">
              <w:r>
                <w:rPr>
                  <w:rStyle w:val="InternetLink"/>
                  <w:rFonts w:ascii="Times New Roman;serif" w:hAnsi="Times New Roman;serif"/>
                  <w:b w:val="false"/>
                  <w:color w:val="000080"/>
                  <w:sz w:val="20"/>
                  <w:u w:val="single"/>
                </w:rPr>
                <w:t>March</w:t>
              </w:r>
            </w:hyperlink>
            <w:hyperlink w:anchor="iafd36335ab2c4296905c542326d5c874_31">
              <w:r>
                <w:rPr>
                  <w:rStyle w:val="InternetLink"/>
                  <w:rFonts w:ascii="Times New Roman;serif" w:hAnsi="Times New Roman;serif"/>
                  <w:b w:val="false"/>
                  <w:color w:val="000080"/>
                  <w:sz w:val="20"/>
                  <w:u w:val="single"/>
                </w:rPr>
                <w:t xml:space="preserve"> 31, 202</w:t>
              </w:r>
            </w:hyperlink>
            <w:hyperlink w:anchor="iafd36335ab2c4296905c542326d5c874_31">
              <w:r>
                <w:rPr>
                  <w:rStyle w:val="InternetLink"/>
                  <w:rFonts w:ascii="Times New Roman;serif" w:hAnsi="Times New Roman;serif"/>
                  <w:b w:val="false"/>
                  <w:color w:val="000080"/>
                  <w:sz w:val="20"/>
                  <w:u w:val="single"/>
                </w:rPr>
                <w:t>6</w:t>
              </w:r>
            </w:hyperlink>
            <w:hyperlink w:anchor="iafd36335ab2c4296905c542326d5c874_31">
              <w:r>
                <w:rPr>
                  <w:rStyle w:val="InternetLink"/>
                  <w:rFonts w:ascii="Times New Roman;serif" w:hAnsi="Times New Roman;serif"/>
                  <w:b w:val="false"/>
                  <w:color w:val="000080"/>
                  <w:sz w:val="20"/>
                  <w:u w:val="single"/>
                </w:rPr>
                <w:t xml:space="preserve">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31">
              <w:r>
                <w:rPr>
                  <w:rStyle w:val="InternetLink"/>
                  <w:rFonts w:ascii="Times New Roman;serif" w:hAnsi="Times New Roman;serif"/>
                  <w:b w:val="false"/>
                  <w:strike w:val="false"/>
                  <w:dstrike w:val="false"/>
                  <w:color w:val="000000"/>
                  <w:sz w:val="20"/>
                  <w:u w:val="none"/>
                  <w:effect w:val="none"/>
                </w:rPr>
                <w:t>11</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82">
              <w:r>
                <w:rPr>
                  <w:rStyle w:val="InternetLink"/>
                  <w:rFonts w:ascii="Times New Roman;serif" w:hAnsi="Times New Roman;serif"/>
                  <w:b w:val="false"/>
                  <w:color w:val="0000FF"/>
                  <w:sz w:val="20"/>
                  <w:u w:val="single"/>
                </w:rPr>
                <w:t>Item 2.</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82">
              <w:r>
                <w:rPr>
                  <w:rStyle w:val="InternetLink"/>
                  <w:rFonts w:ascii="Times New Roman;serif" w:hAnsi="Times New Roman;serif"/>
                  <w:b w:val="false"/>
                  <w:strike w:val="false"/>
                  <w:dstrike w:val="false"/>
                  <w:color w:val="000000"/>
                  <w:sz w:val="20"/>
                  <w:u w:val="none"/>
                  <w:effect w:val="none"/>
                </w:rPr>
                <w:t>30</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09">
              <w:r>
                <w:rPr>
                  <w:rStyle w:val="InternetLink"/>
                  <w:rFonts w:ascii="Times New Roman;serif" w:hAnsi="Times New Roman;serif"/>
                  <w:b w:val="false"/>
                  <w:color w:val="0000FF"/>
                  <w:sz w:val="20"/>
                  <w:u w:val="single"/>
                </w:rPr>
                <w:t>Item 3.</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09">
              <w:r>
                <w:rPr>
                  <w:rStyle w:val="InternetLink"/>
                  <w:rFonts w:ascii="Times New Roman;serif" w:hAnsi="Times New Roman;serif"/>
                  <w:b w:val="false"/>
                  <w:color w:val="0000FF"/>
                  <w:sz w:val="20"/>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09">
              <w:r>
                <w:rPr>
                  <w:rStyle w:val="InternetLink"/>
                  <w:rFonts w:ascii="Times New Roman;serif" w:hAnsi="Times New Roman;serif"/>
                  <w:b w:val="false"/>
                  <w:strike w:val="false"/>
                  <w:dstrike w:val="false"/>
                  <w:color w:val="000000"/>
                  <w:sz w:val="20"/>
                  <w:u w:val="none"/>
                  <w:effect w:val="none"/>
                </w:rPr>
                <w:t>43</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12">
              <w:r>
                <w:rPr>
                  <w:rStyle w:val="InternetLink"/>
                  <w:rFonts w:ascii="Times New Roman;serif" w:hAnsi="Times New Roman;serif"/>
                  <w:b w:val="false"/>
                  <w:color w:val="0000FF"/>
                  <w:sz w:val="20"/>
                  <w:u w:val="single"/>
                </w:rPr>
                <w:t>Item 4.</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12">
              <w:r>
                <w:rPr>
                  <w:rStyle w:val="InternetLink"/>
                  <w:rFonts w:ascii="Times New Roman;serif" w:hAnsi="Times New Roman;serif"/>
                  <w:b w:val="false"/>
                  <w:color w:val="0000FF"/>
                  <w:sz w:val="20"/>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12">
              <w:r>
                <w:rPr>
                  <w:rStyle w:val="InternetLink"/>
                  <w:rFonts w:ascii="Times New Roman;serif" w:hAnsi="Times New Roman;serif"/>
                  <w:b w:val="false"/>
                  <w:strike w:val="false"/>
                  <w:dstrike w:val="false"/>
                  <w:color w:val="000000"/>
                  <w:sz w:val="20"/>
                  <w:u w:val="none"/>
                  <w:effect w:val="none"/>
                </w:rPr>
                <w:t>43</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15">
              <w:r>
                <w:rPr>
                  <w:rStyle w:val="InternetLink"/>
                  <w:rFonts w:ascii="Times New Roman;serif" w:hAnsi="Times New Roman;serif"/>
                  <w:b/>
                  <w:color w:val="0000FF"/>
                  <w:sz w:val="20"/>
                  <w:u w:val="single"/>
                </w:rPr>
                <w:t>Part II</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15">
              <w:r>
                <w:rPr>
                  <w:rStyle w:val="InternetLink"/>
                  <w:rFonts w:ascii="Times New Roman;serif" w:hAnsi="Times New Roman;serif"/>
                  <w:b/>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15">
              <w:r>
                <w:rPr>
                  <w:rStyle w:val="InternetLink"/>
                  <w:rFonts w:ascii="Times New Roman;serif" w:hAnsi="Times New Roman;serif"/>
                  <w:b w:val="false"/>
                  <w:strike w:val="false"/>
                  <w:dstrike w:val="false"/>
                  <w:color w:val="000000"/>
                  <w:sz w:val="20"/>
                  <w:u w:val="none"/>
                  <w:effect w:val="none"/>
                </w:rPr>
                <w:t>44</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18">
              <w:r>
                <w:rPr>
                  <w:rStyle w:val="InternetLink"/>
                  <w:rFonts w:ascii="Times New Roman;serif" w:hAnsi="Times New Roman;serif"/>
                  <w:b w:val="false"/>
                  <w:color w:val="0000FF"/>
                  <w:sz w:val="20"/>
                  <w:u w:val="single"/>
                </w:rPr>
                <w:t>Item 1.</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18">
              <w:r>
                <w:rPr>
                  <w:rStyle w:val="InternetLink"/>
                  <w:rFonts w:ascii="Times New Roman;serif" w:hAnsi="Times New Roman;serif"/>
                  <w:b w:val="false"/>
                  <w:color w:val="0000FF"/>
                  <w:sz w:val="20"/>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18">
              <w:r>
                <w:rPr>
                  <w:rStyle w:val="InternetLink"/>
                  <w:rFonts w:ascii="Times New Roman;serif" w:hAnsi="Times New Roman;serif"/>
                  <w:b w:val="false"/>
                  <w:strike w:val="false"/>
                  <w:dstrike w:val="false"/>
                  <w:color w:val="000000"/>
                  <w:sz w:val="20"/>
                  <w:u w:val="none"/>
                  <w:effect w:val="none"/>
                </w:rPr>
                <w:t>44</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21">
              <w:r>
                <w:rPr>
                  <w:rStyle w:val="InternetLink"/>
                  <w:rFonts w:ascii="Times New Roman;serif" w:hAnsi="Times New Roman;serif"/>
                  <w:b w:val="false"/>
                  <w:color w:val="0000FF"/>
                  <w:sz w:val="20"/>
                  <w:u w:val="single"/>
                </w:rPr>
                <w:t>Item 1A.</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21">
              <w:r>
                <w:rPr>
                  <w:rStyle w:val="InternetLink"/>
                  <w:rFonts w:ascii="Times New Roman;serif" w:hAnsi="Times New Roman;serif"/>
                  <w:b w:val="false"/>
                  <w:color w:val="0000FF"/>
                  <w:sz w:val="20"/>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21">
              <w:r>
                <w:rPr>
                  <w:rStyle w:val="InternetLink"/>
                  <w:rFonts w:ascii="Times New Roman;serif" w:hAnsi="Times New Roman;serif"/>
                  <w:b w:val="false"/>
                  <w:strike w:val="false"/>
                  <w:dstrike w:val="false"/>
                  <w:color w:val="000000"/>
                  <w:sz w:val="20"/>
                  <w:u w:val="none"/>
                  <w:effect w:val="none"/>
                </w:rPr>
                <w:t>44</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24">
              <w:r>
                <w:rPr>
                  <w:rStyle w:val="InternetLink"/>
                  <w:rFonts w:ascii="Times New Roman;serif" w:hAnsi="Times New Roman;serif"/>
                  <w:b w:val="false"/>
                  <w:color w:val="0000FF"/>
                  <w:sz w:val="20"/>
                  <w:u w:val="single"/>
                </w:rPr>
                <w:t>Item 2.</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24">
              <w:r>
                <w:rPr>
                  <w:rStyle w:val="InternetLink"/>
                  <w:rFonts w:ascii="Times New Roman;serif" w:hAnsi="Times New Roman;serif"/>
                  <w:b w:val="false"/>
                  <w:color w:val="0000FF"/>
                  <w:sz w:val="20"/>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24">
              <w:r>
                <w:rPr>
                  <w:rStyle w:val="InternetLink"/>
                  <w:rFonts w:ascii="Times New Roman;serif" w:hAnsi="Times New Roman;serif"/>
                  <w:b w:val="false"/>
                  <w:strike w:val="false"/>
                  <w:dstrike w:val="false"/>
                  <w:color w:val="000000"/>
                  <w:sz w:val="20"/>
                  <w:u w:val="none"/>
                  <w:effect w:val="none"/>
                </w:rPr>
                <w:t>44</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27">
              <w:r>
                <w:rPr>
                  <w:rStyle w:val="InternetLink"/>
                  <w:rFonts w:ascii="Times New Roman;serif" w:hAnsi="Times New Roman;serif"/>
                  <w:b w:val="false"/>
                  <w:color w:val="0000FF"/>
                  <w:sz w:val="20"/>
                  <w:u w:val="single"/>
                </w:rPr>
                <w:t>Item 3.</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27">
              <w:r>
                <w:rPr>
                  <w:rStyle w:val="InternetLink"/>
                  <w:rFonts w:ascii="Times New Roman;serif" w:hAnsi="Times New Roman;serif"/>
                  <w:b w:val="false"/>
                  <w:color w:val="0000FF"/>
                  <w:sz w:val="20"/>
                  <w:u w:val="singl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27">
              <w:r>
                <w:rPr>
                  <w:rStyle w:val="InternetLink"/>
                  <w:rFonts w:ascii="Times New Roman;serif" w:hAnsi="Times New Roman;serif"/>
                  <w:b w:val="false"/>
                  <w:strike w:val="false"/>
                  <w:dstrike w:val="false"/>
                  <w:color w:val="000000"/>
                  <w:sz w:val="20"/>
                  <w:u w:val="none"/>
                  <w:effect w:val="none"/>
                </w:rPr>
                <w:t>44</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30">
              <w:r>
                <w:rPr>
                  <w:rStyle w:val="InternetLink"/>
                  <w:rFonts w:ascii="Times New Roman;serif" w:hAnsi="Times New Roman;serif"/>
                  <w:b w:val="false"/>
                  <w:color w:val="0000FF"/>
                  <w:sz w:val="20"/>
                  <w:u w:val="single"/>
                </w:rPr>
                <w:t>Item 4.</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30">
              <w:r>
                <w:rPr>
                  <w:rStyle w:val="InternetLink"/>
                  <w:rFonts w:ascii="Times New Roman;serif" w:hAnsi="Times New Roman;serif"/>
                  <w:b w:val="false"/>
                  <w:color w:val="0000FF"/>
                  <w:sz w:val="20"/>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30">
              <w:r>
                <w:rPr>
                  <w:rStyle w:val="InternetLink"/>
                  <w:rFonts w:ascii="Times New Roman;serif" w:hAnsi="Times New Roman;serif"/>
                  <w:b w:val="false"/>
                  <w:strike w:val="false"/>
                  <w:dstrike w:val="false"/>
                  <w:color w:val="000000"/>
                  <w:sz w:val="20"/>
                  <w:u w:val="none"/>
                  <w:effect w:val="none"/>
                </w:rPr>
                <w:t>44</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33">
              <w:r>
                <w:rPr>
                  <w:rStyle w:val="InternetLink"/>
                  <w:rFonts w:ascii="Times New Roman;serif" w:hAnsi="Times New Roman;serif"/>
                  <w:b w:val="false"/>
                  <w:color w:val="0000FF"/>
                  <w:sz w:val="20"/>
                  <w:u w:val="single"/>
                </w:rPr>
                <w:t>Item 5.</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33">
              <w:r>
                <w:rPr>
                  <w:rStyle w:val="InternetLink"/>
                  <w:rFonts w:ascii="Times New Roman;serif" w:hAnsi="Times New Roman;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33">
              <w:r>
                <w:rPr>
                  <w:rStyle w:val="InternetLink"/>
                  <w:rFonts w:ascii="Times New Roman;serif" w:hAnsi="Times New Roman;serif"/>
                  <w:b w:val="false"/>
                  <w:strike w:val="false"/>
                  <w:dstrike w:val="false"/>
                  <w:color w:val="000000"/>
                  <w:sz w:val="20"/>
                  <w:u w:val="none"/>
                  <w:effect w:val="none"/>
                </w:rPr>
                <w:t>44</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36">
              <w:r>
                <w:rPr>
                  <w:rStyle w:val="InternetLink"/>
                  <w:rFonts w:ascii="Times New Roman;serif" w:hAnsi="Times New Roman;serif"/>
                  <w:b w:val="false"/>
                  <w:color w:val="0000FF"/>
                  <w:sz w:val="20"/>
                  <w:u w:val="single"/>
                </w:rPr>
                <w:t>Item 6.</w:t>
              </w:r>
            </w:hyperlink>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36">
              <w:r>
                <w:rPr>
                  <w:rStyle w:val="InternetLink"/>
                  <w:rFonts w:ascii="Times New Roman;serif" w:hAnsi="Times New Roman;serif"/>
                  <w:b w:val="false"/>
                  <w:color w:val="0000FF"/>
                  <w:sz w:val="20"/>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36">
              <w:r>
                <w:rPr>
                  <w:rStyle w:val="InternetLink"/>
                  <w:rFonts w:ascii="Times New Roman;serif" w:hAnsi="Times New Roman;serif"/>
                  <w:b w:val="false"/>
                  <w:strike w:val="false"/>
                  <w:dstrike w:val="false"/>
                  <w:color w:val="000000"/>
                  <w:sz w:val="20"/>
                  <w:u w:val="none"/>
                  <w:effect w:val="none"/>
                </w:rPr>
                <w:t>45</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39">
              <w:r>
                <w:rPr>
                  <w:rStyle w:val="InternetLink"/>
                  <w:rFonts w:ascii="Times New Roman;serif" w:hAnsi="Times New Roman;serif"/>
                  <w:b w:val="false"/>
                  <w:color w:val="0000FF"/>
                  <w:sz w:val="20"/>
                  <w:u w:val="single"/>
                </w:rPr>
                <w:t>Exhibit Index</w:t>
              </w:r>
            </w:hyperlink>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39">
              <w:r>
                <w:rPr>
                  <w:rStyle w:val="InternetLink"/>
                  <w:rFonts w:ascii="Times New Roman;serif" w:hAnsi="Times New Roman;serif"/>
                  <w:b w:val="false"/>
                  <w:strike w:val="false"/>
                  <w:dstrike w:val="false"/>
                  <w:color w:val="000000"/>
                  <w:sz w:val="20"/>
                  <w:u w:val="none"/>
                  <w:effect w:val="none"/>
                </w:rPr>
                <w:t>45</w:t>
              </w:r>
            </w:hyperlink>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36335ab2c4296905c542326d5c874_142">
              <w:r>
                <w:rPr>
                  <w:rStyle w:val="InternetLink"/>
                  <w:rFonts w:ascii="Times New Roman;serif" w:hAnsi="Times New Roman;serif"/>
                  <w:b w:val="false"/>
                  <w:color w:val="0000FF"/>
                  <w:sz w:val="20"/>
                  <w:u w:val="single"/>
                </w:rPr>
                <w:t>Signatures</w:t>
              </w:r>
            </w:hyperlink>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36335ab2c4296905c542326d5c874_142">
              <w:r>
                <w:rPr>
                  <w:rStyle w:val="InternetLink"/>
                  <w:rFonts w:ascii="Times New Roman;serif" w:hAnsi="Times New Roman;serif"/>
                  <w:b w:val="false"/>
                  <w:strike w:val="false"/>
                  <w:dstrike w:val="false"/>
                  <w:color w:val="000000"/>
                  <w:sz w:val="20"/>
                  <w:u w:val="none"/>
                  <w:effect w:val="non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240" w:after="283"/>
        <w:jc w:val="center"/>
        <w:rPr>
          <w:rFonts w:ascii="Times New Roman;serif" w:hAnsi="Times New Roman;serif"/>
          <w:b/>
          <w:i/>
          <w:color w:val="000000"/>
          <w:sz w:val="20"/>
        </w:rPr>
      </w:pPr>
      <w:r>
        <w:rPr>
          <w:rFonts w:ascii="Times New Roman;serif" w:hAnsi="Times New Roman;serif"/>
          <w:b/>
          <w:i/>
          <w:color w:val="000000"/>
          <w:sz w:val="20"/>
        </w:rPr>
        <w:t>Cautionary Note on Forward-Looking Statements</w:t>
      </w:r>
    </w:p>
    <w:p>
      <w:pPr>
        <w:pStyle w:val="TextBody"/>
        <w:bidi w:val="0"/>
        <w:spacing w:lineRule="auto" w:line="276" w:before="0" w:after="0"/>
        <w:jc w:val="both"/>
        <w:rPr/>
      </w:pPr>
      <w:r>
        <w:rPr>
          <w:rFonts w:ascii="Times New Roman;serif" w:hAnsi="Times New Roman;serif"/>
          <w:b w:val="false"/>
          <w:color w:val="212529"/>
          <w:sz w:val="20"/>
        </w:rPr>
        <w:t>Throughout this Quarterly Report on Form 10-Q, we make “forward-looking statements” within the meaning of the U.S. Private Securities Litigation Reform Act of</w:t>
      </w:r>
      <w:r>
        <w:rPr>
          <w:color w:val="000000"/>
        </w:rPr>
        <w:t xml:space="preserve"> </w:t>
      </w:r>
      <w:r>
        <w:rPr>
          <w:rFonts w:ascii="Times New Roman;serif" w:hAnsi="Times New Roman;serif"/>
          <w:b w:val="false"/>
          <w:color w:val="000000"/>
          <w:sz w:val="20"/>
        </w:rPr>
        <w:t xml:space="preserve">1995, Section 27A of the Securities Act of 1933, as amended (the “Securities Act”) and Section 21E of the Securities Exchange Act of 1934, as amended (the “Exchange Act”). This Quarterly Report contains forward-looking statements that are subject to risks and uncertainties. All statements other than statements of historical fact included in this Quarterly Report on Form 10-Q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the expected outcome or impact of pending or threatened litigation or the expected impact of government policies and the macroeconomic environment are forward-looking statements. All forward-looking statements are subject to risks and uncertainties that may cause actual results to differ materially from those that we expected, including: </w:t>
      </w:r>
    </w:p>
    <w:p>
      <w:pPr>
        <w:pStyle w:val="TextBody"/>
        <w:bidi w:val="0"/>
        <w:spacing w:before="240" w:after="283"/>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viability of our growth strategy, including our ability to find suitable geographies for new centers and obtain licenses to open such centers (including in Downey and Bakersfield, California), our ability to ramp up our de novo centers (including in Florida);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identify, successfully complete and integrate acquisitions, joint ventures and strategic partnerships;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new participants and retain existing participants to implement our growth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impact of state and federal efforts to reduce healthcare spending, including upcoming Medicaid cuts as a result of the One Big Beautiful Bill Act (the "OBBBA");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on our business from ongoing macroeconomic related challenges, including labor shortages, labor competition, and inflation;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results of periodic inspections, reviews, audits and investigations under the federal and state government programs, and our ability to sufficiently cure any deficiencies identified by the respective federal and state government programs;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adverse impact of legal proceedings, enforcement actions and litigation and disputes, including the current civil investigative demands initiated by federal and state agencies, as well as the litigation and other proceedings initiated by, or on behalf, of our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the cost of providing services will exceed our compensation under the Program of All Inclusive Care for the Elderly (“PACE”);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increased costs and expenditures and our inability to execute or realize the benefits of our clinical and operational value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dependence of our revenues and operations upon a limited number of government payors, including the risk of sudden loss of any of our government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our submissions to government payors may contain inaccurate or unsupportable information, including regarding risk adjustment scores of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concentration of a significant percentage of our operations in the State of Colorado;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compete in the healthcare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difficulty to predict our future operating results, which could cause such results to fall below any guidance, targets or goals we provide;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our senior management team and other key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failures by our suppliers to meet our needs, or limitations on our ability to effectively access new technology or medical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manage our operations effectively and maintain effective levels of service and participant satisfaction;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on our business of security breaches, loss of data or other disruptions, including disruptions in our disaster recovery systems, causing the compromise of sensitive information or preventing us from accessing critical information;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accurately estimate incurred but not reported medical expense or the risk scores of our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on our business of the termination of our leases, increases in rent or inability to renew or extend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status as a “controlled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compliance costs when we cease being an emerging growth company in fiscal year 2027;</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volatility of our stock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the continued listing requirements of Nasdaq;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factors disclosed in the section entitled “Risk Factors” in our Annual Report for the year ended June 30, 2025 filed with the Securities and Exchange Commission (the “SEC”) on September 9, 2025 ("2025 10-K"), and our subsequent filings with the SEC.</w:t>
      </w:r>
    </w:p>
    <w:p>
      <w:pPr>
        <w:pStyle w:val="TextBody"/>
        <w:bidi w:val="0"/>
        <w:spacing w:lineRule="auto" w:line="288" w:before="240" w:after="283"/>
        <w:jc w:val="both"/>
        <w:rPr>
          <w:rFonts w:ascii="Times New Roman;serif" w:hAnsi="Times New Roman;serif"/>
          <w:b w:val="false"/>
          <w:color w:val="212529"/>
          <w:sz w:val="20"/>
        </w:rPr>
      </w:pPr>
      <w:r>
        <w:rPr>
          <w:rFonts w:ascii="Times New Roman;serif" w:hAnsi="Times New Roman;serif"/>
          <w:b w:val="false"/>
          <w:color w:val="212529"/>
          <w:sz w:val="20"/>
        </w:rPr>
        <w:t xml:space="preserve">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 </w:t>
      </w:r>
    </w:p>
    <w:p>
      <w:pPr>
        <w:pStyle w:val="TextBody"/>
        <w:bidi w:val="0"/>
        <w:spacing w:lineRule="auto" w:line="288" w:before="240" w:after="283"/>
        <w:jc w:val="both"/>
        <w:rPr>
          <w:rFonts w:ascii="Times New Roman;serif" w:hAnsi="Times New Roman;serif"/>
          <w:b w:val="false"/>
          <w:color w:val="212529"/>
          <w:sz w:val="20"/>
        </w:rPr>
      </w:pPr>
      <w:r>
        <w:rPr>
          <w:rFonts w:ascii="Times New Roman;serif" w:hAnsi="Times New Roman;serif"/>
          <w:b w:val="false"/>
          <w:color w:val="212529"/>
          <w:sz w:val="20"/>
        </w:rPr>
        <w:t>Unless otherwise specified or unless the context requires otherwise, all references in this Quarterly Report on Form 10-Q to “InnovAge,” “the Company,” “we,” “us,” and “our,” or similar references, refer to InnovAge Holding Corp. and our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26"/>
        <w:gridCol w:w="2452"/>
        <w:gridCol w:w="2482"/>
        <w:gridCol w:w="181"/>
        <w:gridCol w:w="646"/>
        <w:gridCol w:w="109"/>
        <w:gridCol w:w="109"/>
        <w:gridCol w:w="109"/>
        <w:gridCol w:w="109"/>
        <w:gridCol w:w="181"/>
        <w:gridCol w:w="646"/>
        <w:gridCol w:w="155"/>
      </w:tblGrid>
      <w:tr>
        <w:trPr/>
        <w:tc>
          <w:tcPr>
            <w:tcW w:w="3026"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41,775 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Prepaid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tax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Assets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current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176,108 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Noncurrent 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168,044 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lease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Deposits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142,046 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intangible assets,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noncurrent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350,743 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547,394 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526,851 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Liabilities and Stockholders' Equity</w:t>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 and accrued expenses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Reported and estimated claims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58,971 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Due to Medicaid and Medicare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portion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portion of finance lease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portion of operating lease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Liabilities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current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195,888 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164,807 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Noncurrent Liabilities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 liability,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Finance lease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lease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23,918 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Long-term debt, net of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57,464 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263,943 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Commitments and Contingencies (See Note 9)</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Redeemable Noncontrolling Interests (See Note 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Stockholders’ Equity</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Common stock, $0.001 par value; 500,000,000 authorized as of March 31, 2026 and June 30, 2025; 137,174,126 issued and 135,711,147 outstanding as of March 31, 2026 and 136,903,271 issued and 135,440,292 outstanding as of June 30,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Treasury stock at cost, 1,462,979 shares as of March 31, 2026 and June 30, 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Additional paid-in capital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343,378 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Retained deficit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(101,047)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Total InnovAge Holding Corp.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229,030 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234,968 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stockholders’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237,898 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liabilities and stockholders’ equity</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547,394 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526,851 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49"/>
        <w:gridCol w:w="1338"/>
        <w:gridCol w:w="1356"/>
        <w:gridCol w:w="219"/>
        <w:gridCol w:w="862"/>
        <w:gridCol w:w="113"/>
        <w:gridCol w:w="113"/>
        <w:gridCol w:w="113"/>
        <w:gridCol w:w="113"/>
        <w:gridCol w:w="219"/>
        <w:gridCol w:w="862"/>
        <w:gridCol w:w="113"/>
        <w:gridCol w:w="109"/>
        <w:gridCol w:w="109"/>
        <w:gridCol w:w="109"/>
        <w:gridCol w:w="213"/>
        <w:gridCol w:w="836"/>
        <w:gridCol w:w="110"/>
        <w:gridCol w:w="110"/>
        <w:gridCol w:w="110"/>
        <w:gridCol w:w="110"/>
        <w:gridCol w:w="213"/>
        <w:gridCol w:w="836"/>
        <w:gridCol w:w="170"/>
      </w:tblGrid>
      <w:tr>
        <w:trPr/>
        <w:tc>
          <w:tcPr>
            <w:tcW w:w="174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March 31,</w:t>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631,293 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251,943 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218,142 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632,282 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281,022 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735,284 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659,893 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equity method investment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(29,825)</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(30,334)</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Attributable to InnovAge Holding Corp.</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(29,528)</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number of common shares outstanding - basic</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135,704,645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135,200,314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135,660,769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135,471,907</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number of common shares outstanding - diluted</w:t>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135,704,645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135,200,314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135,660,769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135,471,907</w:t>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per share - 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per share - diluted</w:t>
            </w:r>
          </w:p>
        </w:tc>
        <w:tc>
          <w:tcPr>
            <w:tcW w:w="2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4276" w:type="dxa"/>
        <w:jc w:val="left"/>
        <w:tblInd w:w="0" w:type="dxa"/>
        <w:tblLayout w:type="fixed"/>
        <w:tblCellMar>
          <w:top w:w="28" w:type="dxa"/>
          <w:left w:w="28" w:type="dxa"/>
          <w:bottom w:w="28" w:type="dxa"/>
          <w:right w:w="28" w:type="dxa"/>
        </w:tblCellMar>
      </w:tblPr>
      <w:tblGrid>
        <w:gridCol w:w="573"/>
        <w:gridCol w:w="253"/>
        <w:gridCol w:w="255"/>
        <w:gridCol w:w="525"/>
        <w:gridCol w:w="526"/>
        <w:gridCol w:w="338"/>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74"/>
        <w:gridCol w:w="274"/>
        <w:gridCol w:w="278"/>
        <w:gridCol w:w="109"/>
        <w:gridCol w:w="109"/>
        <w:gridCol w:w="109"/>
        <w:gridCol w:w="196"/>
        <w:gridCol w:w="571"/>
        <w:gridCol w:w="109"/>
        <w:gridCol w:w="109"/>
        <w:gridCol w:w="109"/>
        <w:gridCol w:w="109"/>
        <w:gridCol w:w="273"/>
        <w:gridCol w:w="775"/>
        <w:gridCol w:w="153"/>
        <w:gridCol w:w="109"/>
        <w:gridCol w:w="109"/>
        <w:gridCol w:w="109"/>
        <w:gridCol w:w="203"/>
        <w:gridCol w:w="764"/>
        <w:gridCol w:w="114"/>
        <w:gridCol w:w="109"/>
        <w:gridCol w:w="109"/>
        <w:gridCol w:w="109"/>
        <w:gridCol w:w="247"/>
        <w:gridCol w:w="815"/>
        <w:gridCol w:w="139"/>
        <w:gridCol w:w="109"/>
        <w:gridCol w:w="109"/>
        <w:gridCol w:w="109"/>
        <w:gridCol w:w="330"/>
        <w:gridCol w:w="331"/>
        <w:gridCol w:w="194"/>
      </w:tblGrid>
      <w:tr>
        <w:trPr/>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Permanent</w:t>
              <w:br/>
              <w:t xml:space="preserve">Stockholders' Equity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 Interests</w:t>
              <w:br/>
              <w:t>(Temporary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2025</w:t>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135,699,471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27,595 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18,513 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(6,837)</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to joint venture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2026</w:t>
            </w:r>
          </w:p>
        </w:tc>
        <w:tc>
          <w:tcPr>
            <w:tcW w:w="13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135,711,147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232,779 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5" w:type="dxa"/>
            <w:gridSpan w:val="5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Permanent</w:t>
              <w:br/>
              <w:t xml:space="preserve">Stockholders' Equity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 Interests</w:t>
              <w:br/>
              <w:t>(Temporary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Loss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June 30, 2025</w:t>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135,440,292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1,462,979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377,679 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joint venture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to joint venture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135,711,147 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232,779 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tbl>
      <w:tblPr>
        <w:tblW w:w="14126" w:type="dxa"/>
        <w:jc w:val="left"/>
        <w:tblInd w:w="0" w:type="dxa"/>
        <w:tblLayout w:type="fixed"/>
        <w:tblCellMar>
          <w:top w:w="28" w:type="dxa"/>
          <w:left w:w="28" w:type="dxa"/>
          <w:bottom w:w="28" w:type="dxa"/>
          <w:right w:w="28" w:type="dxa"/>
        </w:tblCellMar>
      </w:tblPr>
      <w:tblGrid>
        <w:gridCol w:w="573"/>
        <w:gridCol w:w="253"/>
        <w:gridCol w:w="255"/>
        <w:gridCol w:w="334"/>
        <w:gridCol w:w="334"/>
        <w:gridCol w:w="338"/>
        <w:gridCol w:w="109"/>
        <w:gridCol w:w="109"/>
        <w:gridCol w:w="109"/>
        <w:gridCol w:w="196"/>
        <w:gridCol w:w="421"/>
        <w:gridCol w:w="109"/>
        <w:gridCol w:w="109"/>
        <w:gridCol w:w="109"/>
        <w:gridCol w:w="109"/>
        <w:gridCol w:w="196"/>
        <w:gridCol w:w="736"/>
        <w:gridCol w:w="109"/>
        <w:gridCol w:w="109"/>
        <w:gridCol w:w="109"/>
        <w:gridCol w:w="109"/>
        <w:gridCol w:w="196"/>
        <w:gridCol w:w="661"/>
        <w:gridCol w:w="109"/>
        <w:gridCol w:w="109"/>
        <w:gridCol w:w="109"/>
        <w:gridCol w:w="109"/>
        <w:gridCol w:w="435"/>
        <w:gridCol w:w="436"/>
        <w:gridCol w:w="278"/>
        <w:gridCol w:w="109"/>
        <w:gridCol w:w="109"/>
        <w:gridCol w:w="109"/>
        <w:gridCol w:w="196"/>
        <w:gridCol w:w="571"/>
        <w:gridCol w:w="109"/>
        <w:gridCol w:w="109"/>
        <w:gridCol w:w="109"/>
        <w:gridCol w:w="109"/>
        <w:gridCol w:w="273"/>
        <w:gridCol w:w="775"/>
        <w:gridCol w:w="153"/>
        <w:gridCol w:w="109"/>
        <w:gridCol w:w="109"/>
        <w:gridCol w:w="109"/>
        <w:gridCol w:w="203"/>
        <w:gridCol w:w="764"/>
        <w:gridCol w:w="114"/>
        <w:gridCol w:w="109"/>
        <w:gridCol w:w="109"/>
        <w:gridCol w:w="109"/>
        <w:gridCol w:w="247"/>
        <w:gridCol w:w="815"/>
        <w:gridCol w:w="139"/>
        <w:gridCol w:w="109"/>
        <w:gridCol w:w="109"/>
        <w:gridCol w:w="109"/>
        <w:gridCol w:w="330"/>
        <w:gridCol w:w="331"/>
        <w:gridCol w:w="194"/>
      </w:tblGrid>
      <w:tr>
        <w:trPr/>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Permanent</w:t>
              <w:br/>
              <w:t xml:space="preserve">Stockholders' Equity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Redeemable </w:t>
              <w:br/>
              <w:t xml:space="preserve">Noncontrolling Interests </w:t>
              <w:br/>
              <w:t>(Temporary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2024</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135,349,150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256,342 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(11,756)</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 at cost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314,926 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2025</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135,078,305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Permanent</w:t>
              <w:br/>
              <w:t xml:space="preserve">Stockholders' Equity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Redeemable </w:t>
              <w:br/>
              <w:t xml:space="preserve">Noncontrolling Interests </w:t>
              <w:br/>
              <w:t>(Temporary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Loss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June 30, 2024</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136,116,299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6,069 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 at cost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1,324,600 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(30,334)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2025</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135,078,305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0"/>
        <w:gridCol w:w="2376"/>
        <w:gridCol w:w="2389"/>
        <w:gridCol w:w="215"/>
        <w:gridCol w:w="783"/>
        <w:gridCol w:w="111"/>
        <w:gridCol w:w="111"/>
        <w:gridCol w:w="111"/>
        <w:gridCol w:w="111"/>
        <w:gridCol w:w="215"/>
        <w:gridCol w:w="783"/>
        <w:gridCol w:w="160"/>
      </w:tblGrid>
      <w:tr>
        <w:trPr/>
        <w:tc>
          <w:tcPr>
            <w:tcW w:w="2840"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 March 31,</w:t>
            </w:r>
          </w:p>
        </w:tc>
      </w:tr>
      <w:tr>
        <w:trPr/>
        <w:tc>
          <w:tcPr>
            <w:tcW w:w="7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uncollectible accounts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rentals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and estimated claims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Medicaid and Medicare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 held for sale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investments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finance lease obligations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long-term debt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long-term debt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financing costs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equity securities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joint venture partner</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settlements of stock-based compensation awards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 including cash of $0.08 million reclassified to assets held for sale for the nine months ended March 31, 2026</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tbl>
      <w:tblPr>
        <w:tblW w:w="9578" w:type="dxa"/>
        <w:jc w:val="center"/>
        <w:tblInd w:w="0" w:type="dxa"/>
        <w:tblLayout w:type="fixed"/>
        <w:tblCellMar>
          <w:top w:w="28" w:type="dxa"/>
          <w:left w:w="28" w:type="dxa"/>
          <w:bottom w:w="28" w:type="dxa"/>
          <w:right w:w="28" w:type="dxa"/>
        </w:tblCellMar>
      </w:tblPr>
      <w:tblGrid>
        <w:gridCol w:w="2577"/>
        <w:gridCol w:w="2267"/>
        <w:gridCol w:w="2280"/>
        <w:gridCol w:w="211"/>
        <w:gridCol w:w="721"/>
        <w:gridCol w:w="109"/>
        <w:gridCol w:w="109"/>
        <w:gridCol w:w="109"/>
        <w:gridCol w:w="109"/>
        <w:gridCol w:w="211"/>
        <w:gridCol w:w="721"/>
        <w:gridCol w:w="154"/>
      </w:tblGrid>
      <w:tr>
        <w:trPr/>
        <w:tc>
          <w:tcPr>
            <w:tcW w:w="257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Less: change in cash and restricted cash reclassified to assets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INCREASE IN CASH, CASH EQUIVALENTS &amp;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&amp;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&amp;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Flows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purchased under finance leases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INNOVAGE HOLDING CORP. AND SUBSIDIARIES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InnovAge Holding Corp. and its subsidiaries (“InnovAge” or the "Company") are headquartered in Denver, Colorado. The purpose of the Company’s participant-centered care delivery approach is to improve the quality of care the Company’s participants receive, while keeping them in their homes for as long as safely possible. Through the Company’s Program of All-Inclusive Care for the Elderly (“PACE”), the Company fulfills a broad range of medical and ancillary services for seniors, including in-center services such as primary care, physical therapy, occupational therapy, speech therapy, dental services, mental health and psychiatric services, meals, and activities; transportation to and from the PACE center and third-party medical appointments; and care management, including pharmacy services. The Company manages its business as one reportable segment, PACE.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served approximately 8,050 PACE participants, making it the largest PACE provider in the United States of America (the “U.S.”) based upon participants served, and operated 20 PACE centers across California, Colorado, Florida, New Mexico, Pennsylvania and Virginia.</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PACE is a fully-capitated managed care program, which serves the frail elderly, and predominantly dual-eligible, population in a community-based service model. The Company defines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common stock is traded on the Nasdaq Stock Market LLC under the ticker symbol “INNV”.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described its significant accounting policies in Note 2, “Summary of Significant Accounting Policies” of the Notes to Consolidated Financial Statements in its Annual Report on Form 10-K for the year ended June 30, 2025 (“2025 10-K”). There were no significant changes to those accounting policies during the nine months ended March 31, 2026.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Preparation and Principles of Consolidation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2025. In the opinion of management, all adjustments (consisting of all normal and recurring adjustments) considered necessary for a fair presentation have been included. The condensed consolidated financial statements include the accounts of the Company, its wholly owned subsidiaries and variable interest entities (“VIEs”) for which it is the primary beneficiary and entities for which it is the controlling general partner. All intercompany accounts and transactions have been eliminated in consolidation.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components of comprehensive income (loss) and comprehensive income (loss) is equal to net income (loss) reported in the statements of operations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were comprised of the following as of March 31, 2026 and June 30, 2025:</w:t>
      </w:r>
    </w:p>
    <w:tbl>
      <w:tblPr>
        <w:tblW w:w="8240" w:type="dxa"/>
        <w:jc w:val="left"/>
        <w:tblInd w:w="0" w:type="dxa"/>
        <w:tblLayout w:type="fixed"/>
        <w:tblCellMar>
          <w:top w:w="28" w:type="dxa"/>
          <w:left w:w="28" w:type="dxa"/>
          <w:bottom w:w="28" w:type="dxa"/>
          <w:right w:w="28" w:type="dxa"/>
        </w:tblCellMar>
      </w:tblPr>
      <w:tblGrid>
        <w:gridCol w:w="1488"/>
        <w:gridCol w:w="1308"/>
        <w:gridCol w:w="1314"/>
        <w:gridCol w:w="379"/>
        <w:gridCol w:w="379"/>
        <w:gridCol w:w="381"/>
        <w:gridCol w:w="109"/>
        <w:gridCol w:w="109"/>
        <w:gridCol w:w="109"/>
        <w:gridCol w:w="211"/>
        <w:gridCol w:w="826"/>
        <w:gridCol w:w="109"/>
        <w:gridCol w:w="109"/>
        <w:gridCol w:w="109"/>
        <w:gridCol w:w="109"/>
        <w:gridCol w:w="211"/>
        <w:gridCol w:w="82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vehicles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color w:val="000000"/>
          <w:sz w:val="20"/>
        </w:rPr>
        <w:t>Depreciation of $4.7 million and $5.2 million was recorded during the three months ended March 31, 2026 and 2025, respectively. Depreciation of $14.3 million</w:t>
      </w:r>
      <w:r>
        <w:rPr>
          <w:color w:val="000000"/>
        </w:rPr>
        <w:t xml:space="preserve"> </w:t>
      </w:r>
      <w:r>
        <w:rPr>
          <w:rFonts w:ascii="Times New Roman;serif" w:hAnsi="Times New Roman;serif"/>
          <w:b w:val="false"/>
          <w:color w:val="000000"/>
          <w:sz w:val="20"/>
        </w:rPr>
        <w:t>and $15.6 million</w:t>
      </w:r>
      <w:r>
        <w:rPr>
          <w:color w:val="000000"/>
        </w:rPr>
        <w:t xml:space="preserve"> </w:t>
      </w:r>
      <w:r>
        <w:rPr>
          <w:rFonts w:ascii="Times New Roman;serif" w:hAnsi="Times New Roman;serif"/>
          <w:b w:val="false"/>
          <w:color w:val="000000"/>
          <w:sz w:val="20"/>
        </w:rPr>
        <w:t>was recorded during the nine months ended March 31, 2026 and 2025,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ASU 2023-09 requires additional disclosures related to rate reconciliation, income taxes paid, and other disclosures. ASU 2023-09 requires public companies to annually (i) disclose specific categories in the rate reconciliation and (ii) provide additional information for reconciling items that meet a quantitative threshold. Additionally, ASU 2023-09 requires public companies to annually disclose the amount of income taxes paid, disaggregated by federal, state, and foreign taxes, as well as the amount of income taxes paid by individual jurisdiction. The provisions of ASU 2023-09 are effective for annual periods beginning after December 15, 2024. The Company plans to adopt ASU 2023-09 in the Company's annual consolidated financial statements for the year ending June 30, 2026, and will include the required disclosures.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Disaggregation of Income Statement Expenses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xml:space="preserve">. ASU 2024-03 requires that each interim and annual reporting period, an entity disclose more information about the components of certain expense captions that are currently disclosed in the financial statements. As revised by ASU 2025-01, </w:t>
      </w:r>
      <w:r>
        <w:rPr>
          <w:rFonts w:ascii="Times New Roman;serif" w:hAnsi="Times New Roman;serif"/>
          <w:b w:val="false"/>
          <w:i/>
          <w:color w:val="000000"/>
          <w:sz w:val="20"/>
        </w:rPr>
        <w:t>Income Statement-Reporting Comprehensive Income-Expense Disaggregation Disclosures</w:t>
      </w:r>
      <w:r>
        <w:rPr>
          <w:rFonts w:ascii="Times New Roman;serif" w:hAnsi="Times New Roman;serif"/>
          <w:b w:val="false"/>
          <w:color w:val="000000"/>
          <w:sz w:val="20"/>
        </w:rPr>
        <w:t xml:space="preserve">, the provisions of ASU 2024-03 are effective for annual reporting periods beginning after December 15, 2026, and interim periods within annual reporting periods beginning after December 15, 2027. Early adoption is permitted. The Company is currently evaluating the effects this guidance will have on its consolidated financial statements.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Interim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Interim Reporting (Topic 270): Narrow-Scope Improvements, which clarifies the applicability of the interim reporting guidance, the types of interim reporting, and the form and content of interim financial statements in accordance with U.S. GAAP. Per the FASB, the amendment does not intend to change the fundamental nature of interim reporting or expand or reduce current interim disclosure requirements but rather provide clarity and improve navigability of the existing interim reporting requirements. The update will be effective for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reporting periods within annual reporting periods beginning after December 15, 2027. The Company is assessing the effect of this update on its condensed consolidated financial statements and related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expect that any other recently issued accounting guidance will have a significant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Revenue Recognition</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Under ASC 606, -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revenue is recognized when a customer obtains control of promised goods or services, in an amount that reflects the consideration which the entity expects to receive in exchange for those goods or services. To determine revenue recognition,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Capitation Revenue and Accounts Receivable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capitation revenue relates to contracts with participants in which the Company's performance obligation is to provide healthcare services to the participants. Revenues are recorded during the period the Company's obligations to provide healthcare services are satisfied as noted below within each service type. The Company contracts directly with Medicare and Medicaid on a per member, per month (“PMPM”) basis. The Company receives 100% of the pooled capitated payment to directly provide or manage the healthcare needs of its participants.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over time as the Company provides comprehensive care to its participants.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revenues are based on the estimated PMPM amounts the Company expects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on the Company's condensed consolidated balance sheets. These costs are amortized over a three-year period which corresponds to the average time a participant is enrolled in the PACE program. As of March 31, 2026 and June 30, 2025, contract assets included within prepaid expenses and deposits and other were $2.1 million and $2.2 million, respectively.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disaggregates capitation revenue from the following sources for the nine months ended:</w:t>
      </w:r>
    </w:p>
    <w:tbl>
      <w:tblPr>
        <w:tblW w:w="3691" w:type="dxa"/>
        <w:jc w:val="left"/>
        <w:tblInd w:w="0" w:type="dxa"/>
        <w:tblLayout w:type="fixed"/>
        <w:tblCellMar>
          <w:top w:w="28" w:type="dxa"/>
          <w:left w:w="28" w:type="dxa"/>
          <w:bottom w:w="28" w:type="dxa"/>
          <w:right w:w="28" w:type="dxa"/>
        </w:tblCellMar>
      </w:tblPr>
      <w:tblGrid>
        <w:gridCol w:w="667"/>
        <w:gridCol w:w="588"/>
        <w:gridCol w:w="590"/>
        <w:gridCol w:w="232"/>
        <w:gridCol w:w="234"/>
        <w:gridCol w:w="271"/>
        <w:gridCol w:w="109"/>
        <w:gridCol w:w="109"/>
        <w:gridCol w:w="109"/>
        <w:gridCol w:w="232"/>
        <w:gridCol w:w="234"/>
        <w:gridCol w:w="316"/>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pay and other</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*Less than 1%</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transaction price for these contracts is the amount the Company expects to be entitled to, which is the most likely amount. For certain capitation payments, the Company is subject to retroactive premium risk adjustment payments according to the Centers for Medicare and Medicaid Services ("CMS") risk adjustment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timeline. Specifically, there is a midyear true up payment based on updated risk score calculations and a final true up payment to allow for complete diagnosis submission. The Company estimates the amount of the adjustment and records it monthly on a straight-line basis. These adjustments are not expected to be material.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capitation revenues are recognized based on the estimated PMPM transaction price to transfer the service for a distinct increment of the series (i.e. month). The Company recognizes revenue over time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12% and 14% of capitation revenues for each of the three months ended March 31, 2026 and 2025. Medicare Part D comprised 13% and 14% of capitation revenues for each of the nine months ended March 31, 2026 and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comprehensive healthcare services to participants on the basis of capitated or fixed fees per participant that are paid monthly by Medicare, Medicaid, the VA and private pay sources. The Company's accounts receivable as of March 31, 2026 and June 30, 2025 were primarily from capitation revenue arrangements. The concentration of receivables from participants and third-party payers was as follows: </w:t>
      </w:r>
    </w:p>
    <w:tbl>
      <w:tblPr>
        <w:tblW w:w="4033" w:type="dxa"/>
        <w:jc w:val="left"/>
        <w:tblInd w:w="0" w:type="dxa"/>
        <w:tblLayout w:type="fixed"/>
        <w:tblCellMar>
          <w:top w:w="28" w:type="dxa"/>
          <w:left w:w="28" w:type="dxa"/>
          <w:bottom w:w="28" w:type="dxa"/>
          <w:right w:w="28" w:type="dxa"/>
        </w:tblCellMar>
      </w:tblPr>
      <w:tblGrid>
        <w:gridCol w:w="667"/>
        <w:gridCol w:w="588"/>
        <w:gridCol w:w="590"/>
        <w:gridCol w:w="243"/>
        <w:gridCol w:w="223"/>
        <w:gridCol w:w="476"/>
        <w:gridCol w:w="109"/>
        <w:gridCol w:w="109"/>
        <w:gridCol w:w="109"/>
        <w:gridCol w:w="232"/>
        <w:gridCol w:w="234"/>
        <w:gridCol w:w="453"/>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pay and 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accounts receivable at net realizable value based upon the estimated amounts the Company expects to be entitled to receive from Medicare, Medicaid, the VA and private pay sources. Estimated reimbursement amounts are adjusted in future periods as final settlements are determined.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 Service Revenue and Accounts Receivable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service revenue primarily consists of revenues derived from state food grants and rent revenues. Accounts receivable related to other service revenue were not significant as of March 31, 2026 and June 30,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Investments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Consolidated Entities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Controlling Interest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InnovAge Florida PACE – Orlando</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2024, the Company entered into a joint venture agreement with Orlando Health (“OHI”) to develop and manage PACE centers to serve communities in Orlando, Florida. In connection with the joint venture, the Company contributed an aggregate of $26.1 million for its controlling membership interest of 90%. OHI contributed $2.9 million in cash for its 10% interest. As a result, the joint venture’s results are consolidated in the Company’s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InnovAge Florida PACE II – Tampa</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15, 2025, the Company entered into a joint venture agreement with Tampa General Hospital to develop the Company’s PACE center serving the communities in Tampa, Florida. In connection with the joint venture, the Company contributed an aggregate of $28.8 million for its controlling interest of 90%. Tampa General Hospital contributed $3.2 million in cash for its 10% interest. As a result, this joint venture’s results are consolidated in the Company’s consolidated financial statements from the date of this joint venture agreement and forward.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Noncontrolling Interest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Senior Housing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operations included a 0.01% partnership interest in InnovAge Senior Housing Thornton, LLC (“SH1”), which was organized to develop, construct, own, maintain, and operate certain apartment complexes intended for rental to low-income elderly individuals aged 62 or older.</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SH1 is a Variable Interest Entity. The Company was the primary beneficiary of SH1 and consolidated SH1 as it had the power to direct the activities that were most significant to SH1 and had an obligation to absorb losses or the right to receive benefits from SH1. The most significant activity of SH1 was the operation of the senior housing facility. The Company provided a subordinated loan to SH1 and provided a guarantee for a convertible term loan held by SH1.</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30, 2025, the Company entered into an agreement to sell the Company’s managing member interest in SH1 and vacant land adjacent to SH1 senior housing property. As a result, the Company reported the associated assets and liabilities as Assets held for sale and Liabilities held for sale in the Company’s consolidated balance sheets as of June 30, 2025. The Company recorded the Assets held for sale, net of Liabilities held for sale at the fair value, less cost to sell, and as a result recorded a $4.5 million loss on assets held for sale for the year ended June 30,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11, 2025, the Company closed on the sale of the Company’s managing member interest in SH1 and the adjacent vacant land and recorded an additional loss on assets held for sale of $0.1 million for the three months ended September 30,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Redeemable Noncontrolling Interest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InnovAge Sacramento</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Adventist contributed $5.8 million in cash and Eskaton contributed $3.0 million in cash for membership interests of 26.4% and 13.7%, respectively. In fiscal year 2021, the Company made an additional contribution of $0.1 million and obtained an additional 0.1% membership interest in the joint venture, which resulted in the Company obtaining control and consolidating InnovAge Sacramento as of January 1, 2021.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of March 31, 2026, none of the conditions specified in the JV Agreement had been met. Accordingly, these put rights held by the noncontrolling interests of the joint venture are required to be presented as temporary equity and are recorded as redeemable noncontrolling interests on the Company's condensed consolidated balance sheets. As of March 31, 2026 and June 30, 2025, the Company's redeemable noncontrolling interest was recorded at a fair value of $26.1 million and $25.0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Fair Value Measurements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from selling an asset or paid to transfer a liability (an exit price) in the principal or most advantageous market for the asset or liability in an orderly transaction between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three levels of inputs that may be used to measure fair value are:</w:t>
      </w:r>
    </w:p>
    <w:p>
      <w:pPr>
        <w:pStyle w:val="TextBody"/>
        <w:bidi w:val="0"/>
        <w:spacing w:lineRule="auto" w:line="288" w:before="240" w:after="283"/>
        <w:ind w:left="0" w:right="0" w:hanging="900"/>
        <w:jc w:val="both"/>
        <w:rPr/>
      </w:pPr>
      <w:r>
        <w:rPr>
          <w:rFonts w:ascii="Times New Roman;serif" w:hAnsi="Times New Roman;serif"/>
          <w:b/>
          <w:color w:val="000000"/>
          <w:sz w:val="20"/>
        </w:rPr>
        <w:t>Level 1</w:t>
      </w:r>
      <w:r>
        <w:rPr>
          <w:rFonts w:ascii="Times New Roman;serif" w:hAnsi="Times New Roman;serif"/>
          <w:b w:val="false"/>
          <w:color w:val="000000"/>
          <w:sz w:val="20"/>
        </w:rPr>
        <w:t>Unadjusted quoted prices in active markets for identical assets or liabilities that the entity has the ability to access at the measurement date</w:t>
      </w:r>
    </w:p>
    <w:p>
      <w:pPr>
        <w:pStyle w:val="TextBody"/>
        <w:bidi w:val="0"/>
        <w:spacing w:lineRule="auto" w:line="288" w:before="240" w:after="283"/>
        <w:ind w:left="0" w:right="0" w:hanging="900"/>
        <w:jc w:val="both"/>
        <w:rPr/>
      </w:pPr>
      <w:r>
        <w:rPr>
          <w:rFonts w:ascii="Times New Roman;serif" w:hAnsi="Times New Roman;serif"/>
          <w:b/>
          <w:color w:val="000000"/>
          <w:sz w:val="20"/>
        </w:rPr>
        <w:t>Level 2</w:t>
      </w:r>
      <w:r>
        <w:rPr>
          <w:rFonts w:ascii="Times New Roman;serif" w:hAnsi="Times New Roman;serif"/>
          <w:b w:val="false"/>
          <w:color w:val="000000"/>
          <w:sz w:val="20"/>
        </w:rPr>
        <w:t>Quoted prices in markets that are not active or inputs that are observable, either directly or indirectly, for substantially the full term of the assets or liabilities</w:t>
      </w:r>
    </w:p>
    <w:p>
      <w:pPr>
        <w:pStyle w:val="TextBody"/>
        <w:bidi w:val="0"/>
        <w:spacing w:lineRule="auto" w:line="288" w:before="240" w:after="283"/>
        <w:ind w:left="0" w:right="0" w:hanging="900"/>
        <w:jc w:val="both"/>
        <w:rPr/>
      </w:pPr>
      <w:r>
        <w:rPr>
          <w:rFonts w:ascii="Times New Roman;serif" w:hAnsi="Times New Roman;serif"/>
          <w:b/>
          <w:color w:val="000000"/>
          <w:sz w:val="20"/>
        </w:rPr>
        <w:t>Level 3</w:t>
      </w:r>
      <w:r>
        <w:rPr>
          <w:rFonts w:ascii="Times New Roman;serif" w:hAnsi="Times New Roman;serif"/>
          <w:b w:val="false"/>
          <w:color w:val="000000"/>
          <w:sz w:val="20"/>
        </w:rPr>
        <w:t>Unobservable inputs to the valuation techniques that are significant to the fair value measurements of the assets or liabilities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Recurring Measurements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Company’s short-term investments that are measured and accounted for at fair value on a recurring basis as of March 31, 2026 and June 30, 2025:</w:t>
      </w:r>
    </w:p>
    <w:tbl>
      <w:tblPr>
        <w:tblW w:w="5473" w:type="dxa"/>
        <w:jc w:val="left"/>
        <w:tblInd w:w="0" w:type="dxa"/>
        <w:tblLayout w:type="fixed"/>
        <w:tblCellMar>
          <w:top w:w="28" w:type="dxa"/>
          <w:left w:w="28" w:type="dxa"/>
          <w:bottom w:w="28" w:type="dxa"/>
          <w:right w:w="28" w:type="dxa"/>
        </w:tblCellMar>
      </w:tblPr>
      <w:tblGrid>
        <w:gridCol w:w="440"/>
        <w:gridCol w:w="387"/>
        <w:gridCol w:w="38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w:t>
              <w:br/>
              <w:t>term</w:t>
              <w:b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w:t>
              <w:br/>
              <w:t>term</w:t>
              <w:b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March 31, 2026 and June 30, 2025, the Company’s redeemable noncontrolling interest was recorded at fair value of $26.1 million and $25.0 million, respectively.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transfers in and out of Level 3 during the nine months ended March 31, 2026 and 2025. The Company’s policy is to recognize transfers as of the actual date of the event or change in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Goodwill and Intangible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cost over the fair value of net assets acquired. The Company had goodwill of $142.0 million as of March 31, 2026 and June 30, 2025. Goodwill is not amortized.</w:t>
      </w:r>
    </w:p>
    <w:p>
      <w:pPr>
        <w:pStyle w:val="TextBody"/>
        <w:bidi w:val="0"/>
        <w:spacing w:lineRule="auto" w:line="288" w:before="240" w:after="283"/>
        <w:ind w:left="0" w:right="0" w:firstLine="360"/>
        <w:jc w:val="both"/>
        <w:rPr/>
      </w:pPr>
      <w:r>
        <w:rPr>
          <w:rFonts w:ascii="Times New Roman;serif" w:hAnsi="Times New Roman;serif"/>
          <w:b w:val="false"/>
          <w:color w:val="000000"/>
          <w:sz w:val="20"/>
        </w:rPr>
        <w:t>Pursuant to ASC 350, “</w:t>
      </w:r>
      <w:r>
        <w:rPr>
          <w:rFonts w:ascii="Times New Roman;serif" w:hAnsi="Times New Roman;serif"/>
          <w:b w:val="false"/>
          <w:i/>
          <w:color w:val="000000"/>
          <w:sz w:val="20"/>
        </w:rPr>
        <w:t>Intangibles – Goodwill and Other</w:t>
      </w:r>
      <w:r>
        <w:rPr>
          <w:rFonts w:ascii="Times New Roman;serif" w:hAnsi="Times New Roman;serif"/>
          <w:b w:val="false"/>
          <w:color w:val="000000"/>
          <w:sz w:val="20"/>
        </w:rPr>
        <w:t xml:space="preserve">,” the Company reviews the recoverability of goodwill annually as of April 1 or whenever significant events or changes occur which might impair the recovery of recorded amounts. For purposes of the annual goodwill impairment assessment, the Company identified two reporting units, East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and West. There were no indicators of impairment identified and no goodwill impairment recorded during the nine months ended March 31, 2026 and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w:t>
      </w:r>
    </w:p>
    <w:tbl>
      <w:tblPr>
        <w:tblW w:w="5033" w:type="dxa"/>
        <w:jc w:val="left"/>
        <w:tblInd w:w="0" w:type="dxa"/>
        <w:tblLayout w:type="fixed"/>
        <w:tblCellMar>
          <w:top w:w="28" w:type="dxa"/>
          <w:left w:w="28" w:type="dxa"/>
          <w:bottom w:w="28" w:type="dxa"/>
          <w:right w:w="28" w:type="dxa"/>
        </w:tblCellMar>
      </w:tblPr>
      <w:tblGrid>
        <w:gridCol w:w="1009"/>
        <w:gridCol w:w="887"/>
        <w:gridCol w:w="893"/>
        <w:gridCol w:w="211"/>
        <w:gridCol w:w="616"/>
        <w:gridCol w:w="109"/>
        <w:gridCol w:w="109"/>
        <w:gridCol w:w="109"/>
        <w:gridCol w:w="109"/>
        <w:gridCol w:w="211"/>
        <w:gridCol w:w="616"/>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Intangible assets consist primarily of customer relationships acquired through business acquisitions. The Company recorded amortization expense of $0.2 million for each of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ended March 31, 2026 and 2025. The Company recorded amortization expense of $0.5 million for each of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months ended March 31, 2026 and 2025.</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The Company reviews the recoverability of other intangible assets in conjunction with long-lived assets whenever events or changes in circumstances indicate the carrying amount of such assets may not be recoverable. There were no intangible asset impairments recorded during the nine months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Leases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2026 through 2039. The Company determines if an arrangement is a lease upon commencement of the contract. If an arrangement is determined to be a long-term lease (greater than 12 months), the Company recognizes an ROU asset and lease liability based on the present value of the future minimum lease payments over the lease term at the commencement date. As most of the Company's leases do not provide an implicit rate, the Company uses its incremental borrowing rate based on the information available at commencement date in determining the present value of future payments. The Company's lease terms may also include options to extend or terminate the lease when it is reasonably certain that the Company will exercise those options. Lease expense for minimum lease payments is recognized on a straight-line basis over the lease term.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apply the short-term lease exception for contracts that have a lease term of twelve months or less and do not include an option to purchase the underlying asset. Therefore, the Company does not recognize a ROU asset or lease liability for such contracts. The Company recognizes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ROU assets and their classification in the Company's condensed consolidated balance sheets as of:</w:t>
      </w:r>
    </w:p>
    <w:tbl>
      <w:tblPr>
        <w:tblW w:w="7509" w:type="dxa"/>
        <w:jc w:val="left"/>
        <w:tblInd w:w="0" w:type="dxa"/>
        <w:tblLayout w:type="fixed"/>
        <w:tblCellMar>
          <w:top w:w="28" w:type="dxa"/>
          <w:left w:w="28" w:type="dxa"/>
          <w:bottom w:w="28" w:type="dxa"/>
          <w:right w:w="28" w:type="dxa"/>
        </w:tblCellMar>
      </w:tblPr>
      <w:tblGrid>
        <w:gridCol w:w="962"/>
        <w:gridCol w:w="845"/>
        <w:gridCol w:w="848"/>
        <w:gridCol w:w="799"/>
        <w:gridCol w:w="799"/>
        <w:gridCol w:w="802"/>
        <w:gridCol w:w="211"/>
        <w:gridCol w:w="721"/>
        <w:gridCol w:w="109"/>
        <w:gridCol w:w="109"/>
        <w:gridCol w:w="109"/>
        <w:gridCol w:w="109"/>
        <w:gridCol w:w="211"/>
        <w:gridCol w:w="72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 of Lease Balances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Line Items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June 30, </w:t>
              <w:br/>
              <w:t>2025</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leased assets</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lease cost and the classification of such costs in the Company's condensed consolidated statements of operations for the three and nine months ended March 31:</w:t>
      </w:r>
    </w:p>
    <w:tbl>
      <w:tblPr>
        <w:tblW w:w="10205" w:type="dxa"/>
        <w:jc w:val="left"/>
        <w:tblInd w:w="0" w:type="dxa"/>
        <w:tblLayout w:type="fixed"/>
        <w:tblCellMar>
          <w:top w:w="28" w:type="dxa"/>
          <w:left w:w="28" w:type="dxa"/>
          <w:bottom w:w="28" w:type="dxa"/>
          <w:right w:w="28" w:type="dxa"/>
        </w:tblCellMar>
      </w:tblPr>
      <w:tblGrid>
        <w:gridCol w:w="638"/>
        <w:gridCol w:w="501"/>
        <w:gridCol w:w="502"/>
        <w:gridCol w:w="1284"/>
        <w:gridCol w:w="1137"/>
        <w:gridCol w:w="1140"/>
        <w:gridCol w:w="223"/>
        <w:gridCol w:w="653"/>
        <w:gridCol w:w="115"/>
        <w:gridCol w:w="115"/>
        <w:gridCol w:w="115"/>
        <w:gridCol w:w="115"/>
        <w:gridCol w:w="223"/>
        <w:gridCol w:w="653"/>
        <w:gridCol w:w="115"/>
        <w:gridCol w:w="109"/>
        <w:gridCol w:w="109"/>
        <w:gridCol w:w="109"/>
        <w:gridCol w:w="220"/>
        <w:gridCol w:w="643"/>
        <w:gridCol w:w="113"/>
        <w:gridCol w:w="113"/>
        <w:gridCol w:w="113"/>
        <w:gridCol w:w="113"/>
        <w:gridCol w:w="220"/>
        <w:gridCol w:w="643"/>
        <w:gridCol w:w="171"/>
      </w:tblGrid>
      <w:tr>
        <w:trPr/>
        <w:tc>
          <w:tcPr>
            <w:tcW w:w="63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March 31,</w:t>
            </w:r>
          </w:p>
        </w:tc>
      </w:tr>
      <w:tr>
        <w:trPr/>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 of Lease Cost</w:t>
            </w:r>
          </w:p>
        </w:tc>
        <w:tc>
          <w:tcPr>
            <w:tcW w:w="3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Statements of Operations Line Items </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 and Corporate, general and administrative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3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3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 and Corporate, general and administrative</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 and Corporate, general and administrative</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3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the weighted-average lease terms and discount rates for operating and finance leases as of March 31:</w:t>
      </w:r>
    </w:p>
    <w:tbl>
      <w:tblPr>
        <w:tblW w:w="5710" w:type="dxa"/>
        <w:jc w:val="left"/>
        <w:tblInd w:w="0" w:type="dxa"/>
        <w:tblLayout w:type="fixed"/>
        <w:tblCellMar>
          <w:top w:w="28" w:type="dxa"/>
          <w:left w:w="28" w:type="dxa"/>
          <w:bottom w:w="28" w:type="dxa"/>
          <w:right w:w="28" w:type="dxa"/>
        </w:tblCellMar>
      </w:tblPr>
      <w:tblGrid>
        <w:gridCol w:w="1292"/>
        <w:gridCol w:w="1135"/>
        <w:gridCol w:w="1143"/>
        <w:gridCol w:w="294"/>
        <w:gridCol w:w="294"/>
        <w:gridCol w:w="296"/>
        <w:gridCol w:w="109"/>
        <w:gridCol w:w="109"/>
        <w:gridCol w:w="109"/>
        <w:gridCol w:w="271"/>
        <w:gridCol w:w="271"/>
        <w:gridCol w:w="387"/>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years</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years</w:t>
            </w:r>
          </w:p>
        </w:tc>
      </w:tr>
    </w:tbl>
    <w:tbl>
      <w:tblPr>
        <w:tblW w:w="5258" w:type="dxa"/>
        <w:jc w:val="left"/>
        <w:tblInd w:w="0" w:type="dxa"/>
        <w:tblLayout w:type="fixed"/>
        <w:tblCellMar>
          <w:top w:w="28" w:type="dxa"/>
          <w:left w:w="28" w:type="dxa"/>
          <w:bottom w:w="28" w:type="dxa"/>
          <w:right w:w="28" w:type="dxa"/>
        </w:tblCellMar>
      </w:tblPr>
      <w:tblGrid>
        <w:gridCol w:w="1037"/>
        <w:gridCol w:w="911"/>
        <w:gridCol w:w="917"/>
        <w:gridCol w:w="255"/>
        <w:gridCol w:w="256"/>
        <w:gridCol w:w="491"/>
        <w:gridCol w:w="109"/>
        <w:gridCol w:w="109"/>
        <w:gridCol w:w="109"/>
        <w:gridCol w:w="255"/>
        <w:gridCol w:w="256"/>
        <w:gridCol w:w="553"/>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includes the future maturities of lease payments for operating leases and finance leases for periods subsequent to March 31, 2026: </w:t>
      </w:r>
    </w:p>
    <w:tbl>
      <w:tblPr>
        <w:tblW w:w="7166" w:type="dxa"/>
        <w:jc w:val="left"/>
        <w:tblInd w:w="0" w:type="dxa"/>
        <w:tblLayout w:type="fixed"/>
        <w:tblCellMar>
          <w:top w:w="28" w:type="dxa"/>
          <w:left w:w="28" w:type="dxa"/>
          <w:bottom w:w="28" w:type="dxa"/>
          <w:right w:w="28" w:type="dxa"/>
        </w:tblCellMar>
      </w:tblPr>
      <w:tblGrid>
        <w:gridCol w:w="1250"/>
        <w:gridCol w:w="1098"/>
        <w:gridCol w:w="1101"/>
        <w:gridCol w:w="211"/>
        <w:gridCol w:w="721"/>
        <w:gridCol w:w="109"/>
        <w:gridCol w:w="109"/>
        <w:gridCol w:w="109"/>
        <w:gridCol w:w="109"/>
        <w:gridCol w:w="211"/>
        <w:gridCol w:w="616"/>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w:t>
              <w:b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remaining in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liability accretion /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Note</w:t>
      </w:r>
      <w:r>
        <w:rPr>
          <w:color w:val="000000"/>
        </w:rPr>
        <w:t xml:space="preserve"> </w:t>
      </w:r>
      <w:r>
        <w:rPr>
          <w:rFonts w:ascii="Times New Roman;serif" w:hAnsi="Times New Roman;serif"/>
          <w:b/>
          <w:color w:val="000000"/>
          <w:sz w:val="20"/>
        </w:rPr>
        <w:t>8. Long-Term Debt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at March 31, 2026 and June 30, 2025:</w:t>
      </w:r>
    </w:p>
    <w:tbl>
      <w:tblPr>
        <w:tblW w:w="5648" w:type="dxa"/>
        <w:jc w:val="left"/>
        <w:tblInd w:w="0" w:type="dxa"/>
        <w:tblLayout w:type="fixed"/>
        <w:tblCellMar>
          <w:top w:w="28" w:type="dxa"/>
          <w:left w:w="28" w:type="dxa"/>
          <w:bottom w:w="28" w:type="dxa"/>
          <w:right w:w="28" w:type="dxa"/>
        </w:tblCellMar>
      </w:tblPr>
      <w:tblGrid>
        <w:gridCol w:w="1156"/>
        <w:gridCol w:w="1017"/>
        <w:gridCol w:w="1021"/>
        <w:gridCol w:w="211"/>
        <w:gridCol w:w="721"/>
        <w:gridCol w:w="109"/>
        <w:gridCol w:w="109"/>
        <w:gridCol w:w="109"/>
        <w:gridCol w:w="109"/>
        <w:gridCol w:w="211"/>
        <w:gridCol w:w="721"/>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borrowings: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Credit Agreement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8, 2021, the Company entered into a credit agreement (as amended, the “Credit Agreement”) that replaced its prior credit agreement. The Credit Agreement consisted of a senior secured term loan (the “Term Loan Facility”) of $75.0 million principal amount and a revolving credit facility (the “Revolving Credit Facility”) of $100.0 million maximum borrowing capacity.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Amendment No. 2</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8, 2025, the Company entered into Amendment No. 2 to the Credit Agreement. Amendment No. 2 refinanced the Term Loan Facility with a $50.7 million term loan (the "Term Loan A Facility"), renewed the commitments with respect to the Revolving Credit Facility and extended the maturity date of both the Term Loan A Facility and the Revolving Credit Facility to August 8, 2028 from March 8, 2026.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Terms of the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 capacity under the Revolving Credit Facility is subject to (i) any issued amounts under the Company's letters of credit, which as of March 31, 2026 was $6.2 million, and (ii) applicable covenant compliance restrictions and any other conditions precedent to borrowing. Loans under the Credit Agreement are secured by substantially all of the Company’s assets. Principal on the Term Loan A Facility is paid each calendar quarter in an amount equal to 1.25% of the initial term loan on closing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principal amounts under the Credit Agreement accrue interest at a variable interest rate. As of March 31, 2026, the interest rate on the Term Loan Facility was 6.17%. Under the terms of the Credit Agreement, the Revolving Credit Facility fee accrues at 0.50% of the average daily unused amount and is paid quarterly. As of March 31, 2026, the Company had $9.4 million borrowings outstanding, $6.2 million of letters of credit issued, and $84.4 million of remaining capacity under the Revolving Credit Facility.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Credit Agreement. The Credit Agreement also provides certain restrictions on dividend payments and other equity transactions and requires the Company to make prepayments under specified circumstances. As of March 31, 2026, the Company was in compliance with the covenants of the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financing costs are amortized over the term of the underlying debt and unamortized amounts related to the Term Loan A Facility have been partially offset against long-term debt and unamortized amounts related to the Revolving Credit Facility are recorded in deposits and other in the condensed consolidated balance sheets. Total amortization of deferred financing costs was $0.1 million and $0.1 million for the three months ended March 31, 2026 and 2025, respectively, and $0.5 million and $0.3 million for the nine months ended March 31, 2026 and 2025, respectively.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Convertible Term Loan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29, 2015, SH1 entered into a convertible term loan. Principal and interest payments of $0.02 million were due monthly. The loan bore interest at an annual rate of 6.68%, with the remaining principal balance due upon maturity at August 20, 2030. The loan was secured by a deed of trust to Public Trustee, assignment of leases and rents, security agreements, and SH1’s fixture filing. On September 11, 2025, the Company closed on the sale of the Company’s managing member interest in SH1 and no longer consolidates the convertible term loan. The convertible loan is no longer an obligation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9: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Professional Liability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legal proceedings and subject to claims. The Company regularly evaluates the status of claims and legal proceedings in which it is involved in order to assess whether a loss is probable or there is a reasonable possibility that a loss may have been incurred, and to determine whether accruals are appropriate. The Company expenses legal costs as such costs are incurred.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Civil Investigative Demands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2021, the Company received a civil investigative demand from the Attorney General for the State of Colorado under the Colorado Medicaid False Claims Act. The demand requested information and documents regarding Medicaid billing, patient services and referrals in connection with the Company’s PACE program in Colorado.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the Company received a civil investigative demand from the Department of Justice (“DOJ”) under the Federal False Claims Act on similar subject matter. The demand requested information and documents regarding audits, billing, orders tracking, and quality and timeliness of patient services in connection with the Company’s PACE programs in the states where the Company operated as of 2022 (California, Colorado, New Mexico, Pennsylvania, and Virginia). In December 2022 and December 2025, the Company received supplemental civil investigative demands requesting supplemental information on the same matters.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received a civil investigative demand from the DOJ under the Federal False Claims Act on a similar subject matter. The demand requested information and documents regarding the Company's relationship as a PACE provider with residential care facilities in California, Colorado, Virginia and New Mexico, related housing costs, and enrollment practices.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the DOJ are discussing potential resolutions regarding these matters, and the discussions remain subject to ongoing governmental consideration. During the third quarter of fiscal 2026, the Company recorded an estimated liability related to these matters. At this time, the Company is unable to provide assurance regarding the amount of any potential loss in excess of the estimated amount or to guarantee the outcome of the discussions with the DOJ.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Stockholder Lawsuit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20, 2022, the Board received a books and records demand pursuant to Section 220 of the Delaware General Corporation Law from a purported stockholder of the Company, Brian Hall.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May 4, 2026, the parties entered into a settlement agreement to resolve the action. The settlement agreement provides for, among other things, a monetary payment to the Company and an award of plaintiff's attorneys' fees, which will be fully funded by insurance proceeds, as well as the adoption by the Company of certain corporate governance enhancements. The agreement is subject to court approval. The Company cannot predict when or whether the court will approve the agreement. </w:t>
      </w:r>
    </w:p>
    <w:p>
      <w:pPr>
        <w:pStyle w:val="TextBody"/>
        <w:bidi w:val="0"/>
        <w:spacing w:before="0" w:after="0"/>
        <w:ind w:left="0" w:right="0" w:firstLine="36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On June 17, 2025, Grane Supply, Inc, d/b/a Grane Rx (“Grane Rx”), the Company’s former pharmacy services vendor, filed an amended demand for arbitration before the American Arbitration Association asserting claims for breach of contract and breach of confidentiality in connection with the Company’s non-renewal and termination of its services agreements with Grane Rx resulting from a discrete Company operational initiative. Grane Rx’s demand sought various forms of relief, including compensatory damages and injunctive relief. In December 2025, Grane Rx withdrew the breach of confidentiality claim from the arbitration forum. On December 9, 2025, Grane Rx filed a separate case in the Delaware Court of Chancery alleging that the Company breached certain confidentiality obligations and asserting claims for misappropriation of trade secrets. Grane Rx's demand sought various forms of relief, including compensatory damages, disgorgement of certain payments, and payment of a royalty to Grane Rx. On March 11, 2026, the parties entered into a settlement agreement wherein the Company agreed to pay $16.3 million to Grane Rx and received releases and dismissals with prejudice of all claims in the arbitration and the Delaware Court of Chancery case, and the cases are closed.</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 Accrual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accrual for all litigation matters was approximately $34.4 million and is included in accounts payable and accrued expenses in the Company's condensed consolidated balance sheet.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legal proceedings and claims are inherently unpredictable and uncertain and their actual outcome could differ materially from amounts accrued.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Stock-based Compensation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Company's aggregate stock-based compensation expense is set forth below. Stock-based compensation expense is included in corporate, general and administrative expenses on the Company's condensed consolidated statements of operations.</w:t>
      </w:r>
    </w:p>
    <w:tbl>
      <w:tblPr>
        <w:tblW w:w="8761" w:type="dxa"/>
        <w:jc w:val="left"/>
        <w:tblInd w:w="0" w:type="dxa"/>
        <w:tblLayout w:type="fixed"/>
        <w:tblCellMar>
          <w:top w:w="28" w:type="dxa"/>
          <w:left w:w="28" w:type="dxa"/>
          <w:bottom w:w="28" w:type="dxa"/>
          <w:right w:w="28" w:type="dxa"/>
        </w:tblCellMar>
      </w:tblPr>
      <w:tblGrid>
        <w:gridCol w:w="1248"/>
        <w:gridCol w:w="1097"/>
        <w:gridCol w:w="1104"/>
        <w:gridCol w:w="241"/>
        <w:gridCol w:w="706"/>
        <w:gridCol w:w="124"/>
        <w:gridCol w:w="124"/>
        <w:gridCol w:w="124"/>
        <w:gridCol w:w="124"/>
        <w:gridCol w:w="241"/>
        <w:gridCol w:w="706"/>
        <w:gridCol w:w="124"/>
        <w:gridCol w:w="109"/>
        <w:gridCol w:w="109"/>
        <w:gridCol w:w="109"/>
        <w:gridCol w:w="232"/>
        <w:gridCol w:w="679"/>
        <w:gridCol w:w="120"/>
        <w:gridCol w:w="120"/>
        <w:gridCol w:w="120"/>
        <w:gridCol w:w="120"/>
        <w:gridCol w:w="232"/>
        <w:gridCol w:w="679"/>
        <w:gridCol w:w="169"/>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March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interests units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2020 Equity Incentive Plan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Profits Interests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TCO Group Holdings, L.P. (the “LP”), the Company’s largest stockholder and prior to the IPO, the Company’s parent, maintains the TCO Group Holdings, L.P. Equity Incentive Plan (the "2020 Equity Incentive Plan") pursuant to which interests in the LP in the form of Class B Units (profits interests) may be granted to employees, directors, consultants, advisers, and other services providers (including partners) of the LP or any of its affiliates, including the Company. A maximum number of 16,162,177 Class B Units are authorized for grant under the 2020 Equity Incentive Plan. Both performance-based and time-based units have been issued under the plan. As of March 31, 2026, a total of 22,681,284 profits interests units had been granted under the 2020 Equity Incentive Plan, some of which have been forfeited over the course of time.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used the Monte Carlo option model to determine the fair value of the granted profits interests units at the time of the grant. Expected stock price volatility is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 A total of 6,808,447 and 650,000 Class B Units were awarded during the nine months ended March 31, 2026 and March 31, 2025, respectively. The assumptions under the Monte Carlo model related to profit interests units, presented on a weighted-average basis, are provided below: </w:t>
      </w:r>
    </w:p>
    <w:tbl>
      <w:tblPr>
        <w:tblW w:w="6251" w:type="dxa"/>
        <w:jc w:val="left"/>
        <w:tblInd w:w="0" w:type="dxa"/>
        <w:tblLayout w:type="fixed"/>
        <w:tblCellMar>
          <w:top w:w="28" w:type="dxa"/>
          <w:left w:w="28" w:type="dxa"/>
          <w:bottom w:w="28" w:type="dxa"/>
          <w:right w:w="28" w:type="dxa"/>
        </w:tblCellMar>
      </w:tblPr>
      <w:tblGrid>
        <w:gridCol w:w="1229"/>
        <w:gridCol w:w="1078"/>
        <w:gridCol w:w="1082"/>
        <w:gridCol w:w="109"/>
        <w:gridCol w:w="109"/>
        <w:gridCol w:w="109"/>
        <w:gridCol w:w="395"/>
        <w:gridCol w:w="395"/>
        <w:gridCol w:w="395"/>
        <w:gridCol w:w="395"/>
        <w:gridCol w:w="395"/>
        <w:gridCol w:w="560"/>
      </w:tblGrid>
      <w:tr>
        <w:trPr/>
        <w:tc>
          <w:tcPr>
            <w:tcW w:w="122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March 31,</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 - time 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underlying stock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profits interests activity for the nine months ended March 31, 2026 is as follows:</w:t>
      </w:r>
    </w:p>
    <w:tbl>
      <w:tblPr>
        <w:tblW w:w="6488" w:type="dxa"/>
        <w:jc w:val="left"/>
        <w:tblInd w:w="0" w:type="dxa"/>
        <w:tblLayout w:type="fixed"/>
        <w:tblCellMar>
          <w:top w:w="28" w:type="dxa"/>
          <w:left w:w="28" w:type="dxa"/>
          <w:bottom w:w="28" w:type="dxa"/>
          <w:right w:w="28" w:type="dxa"/>
        </w:tblCellMar>
      </w:tblPr>
      <w:tblGrid>
        <w:gridCol w:w="1153"/>
        <w:gridCol w:w="1012"/>
        <w:gridCol w:w="1015"/>
        <w:gridCol w:w="109"/>
        <w:gridCol w:w="109"/>
        <w:gridCol w:w="109"/>
        <w:gridCol w:w="314"/>
        <w:gridCol w:w="314"/>
        <w:gridCol w:w="316"/>
        <w:gridCol w:w="109"/>
        <w:gridCol w:w="109"/>
        <w:gridCol w:w="109"/>
        <w:gridCol w:w="411"/>
        <w:gridCol w:w="996"/>
        <w:gridCol w:w="303"/>
      </w:tblGrid>
      <w:tr>
        <w:trPr/>
        <w:tc>
          <w:tcPr>
            <w:tcW w:w="11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Time-based 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grant date fair value</w:t>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488" w:type="dxa"/>
        <w:jc w:val="left"/>
        <w:tblInd w:w="0" w:type="dxa"/>
        <w:tblLayout w:type="fixed"/>
        <w:tblCellMar>
          <w:top w:w="28" w:type="dxa"/>
          <w:left w:w="28" w:type="dxa"/>
          <w:bottom w:w="28" w:type="dxa"/>
          <w:right w:w="28" w:type="dxa"/>
        </w:tblCellMar>
      </w:tblPr>
      <w:tblGrid>
        <w:gridCol w:w="1152"/>
        <w:gridCol w:w="1012"/>
        <w:gridCol w:w="1016"/>
        <w:gridCol w:w="109"/>
        <w:gridCol w:w="109"/>
        <w:gridCol w:w="109"/>
        <w:gridCol w:w="314"/>
        <w:gridCol w:w="314"/>
        <w:gridCol w:w="316"/>
        <w:gridCol w:w="109"/>
        <w:gridCol w:w="109"/>
        <w:gridCol w:w="109"/>
        <w:gridCol w:w="411"/>
        <w:gridCol w:w="996"/>
        <w:gridCol w:w="303"/>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Performance-based 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grant date fair value</w:t>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unrecognized compensation cost related to profits interests units outstanding as of March 31, 2026 was $9.4 million, comprised of (i) $3.6 million related to time-based unit awards expected to be recognized over a weighted-average period of 2.5 years and (ii) $5.8 million related to performance-based unit awards, which will be recorded when it is probable that the performance-based criteria will be met.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2021 Omnibus Incentive Plan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2021, the Compensation Committee of the Board of Directors approved the InnovAge Holding Corp. 2021 Omnibus Incentive Plan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over a three-year period with one-third vesting on each anniversary of the date of grant. Certain other vesting periods have also been used. The grant date fair value of restricted stock units with time-based vesting is based on the closing market price of the Company's common stock on the date of grant. Certain other awards under this plan, including units and stock options, vest upon achieving specific share price performance criteria and are determined to have performance-based vesting conditions. The Company has also issued stock options under this plan to its Chief Executive Officer which are subject to time-based and performance-based vesting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time-based vesting restricted stock units activity for the nine months ended March 31, 2026 is as follows: </w:t>
      </w:r>
    </w:p>
    <w:tbl>
      <w:tblPr>
        <w:tblW w:w="6097" w:type="dxa"/>
        <w:jc w:val="left"/>
        <w:tblInd w:w="0" w:type="dxa"/>
        <w:tblLayout w:type="fixed"/>
        <w:tblCellMar>
          <w:top w:w="28" w:type="dxa"/>
          <w:left w:w="28" w:type="dxa"/>
          <w:bottom w:w="28" w:type="dxa"/>
          <w:right w:w="28" w:type="dxa"/>
        </w:tblCellMar>
      </w:tblPr>
      <w:tblGrid>
        <w:gridCol w:w="1150"/>
        <w:gridCol w:w="1013"/>
        <w:gridCol w:w="1016"/>
        <w:gridCol w:w="109"/>
        <w:gridCol w:w="109"/>
        <w:gridCol w:w="109"/>
        <w:gridCol w:w="314"/>
        <w:gridCol w:w="314"/>
        <w:gridCol w:w="316"/>
        <w:gridCol w:w="109"/>
        <w:gridCol w:w="109"/>
        <w:gridCol w:w="109"/>
        <w:gridCol w:w="284"/>
        <w:gridCol w:w="829"/>
        <w:gridCol w:w="207"/>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Restricted stock units - time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grant-date fair</w:t>
              <w:br/>
              <w:t>value per share</w:t>
            </w:r>
          </w:p>
        </w:tc>
      </w:tr>
      <w:tr>
        <w:trPr/>
        <w:tc>
          <w:tcPr>
            <w:tcW w:w="3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unrecognized compensation cost related to time based restricted stock units outstanding as of March 31, 2026 was $10.4 million and is expected to be recognized over a weighted-average period of 1.7 years.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performance based vesting restricted stock units activity for the nine months ended March 31, 2026 is as follows: </w:t>
      </w:r>
    </w:p>
    <w:tbl>
      <w:tblPr>
        <w:tblW w:w="6322" w:type="dxa"/>
        <w:jc w:val="left"/>
        <w:tblInd w:w="0" w:type="dxa"/>
        <w:tblLayout w:type="fixed"/>
        <w:tblCellMar>
          <w:top w:w="28" w:type="dxa"/>
          <w:left w:w="28" w:type="dxa"/>
          <w:bottom w:w="28" w:type="dxa"/>
          <w:right w:w="28" w:type="dxa"/>
        </w:tblCellMar>
      </w:tblPr>
      <w:tblGrid>
        <w:gridCol w:w="1233"/>
        <w:gridCol w:w="1083"/>
        <w:gridCol w:w="1089"/>
        <w:gridCol w:w="109"/>
        <w:gridCol w:w="109"/>
        <w:gridCol w:w="109"/>
        <w:gridCol w:w="314"/>
        <w:gridCol w:w="314"/>
        <w:gridCol w:w="316"/>
        <w:gridCol w:w="109"/>
        <w:gridCol w:w="109"/>
        <w:gridCol w:w="109"/>
        <w:gridCol w:w="317"/>
        <w:gridCol w:w="769"/>
        <w:gridCol w:w="233"/>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Restricted stock units - performance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grant-date fair</w:t>
              <w:br/>
              <w:t>value per share</w:t>
            </w:r>
          </w:p>
        </w:tc>
      </w:tr>
      <w:tr>
        <w:trPr/>
        <w:tc>
          <w:tcPr>
            <w:tcW w:w="3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unrecognized compensation cost related to performance based vesting restricted stock units outstanding as of March 31, 2026 was $0.05 million and is expected to be recognized over a weighted-average period of 0.8 years.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Nonqualified Stock Options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time-based vesting stock option activity for the nine months ended March 31, 2026 is as follows:</w:t>
      </w:r>
    </w:p>
    <w:tbl>
      <w:tblPr>
        <w:tblW w:w="6097" w:type="dxa"/>
        <w:jc w:val="left"/>
        <w:tblInd w:w="0" w:type="dxa"/>
        <w:tblLayout w:type="fixed"/>
        <w:tblCellMar>
          <w:top w:w="28" w:type="dxa"/>
          <w:left w:w="28" w:type="dxa"/>
          <w:bottom w:w="28" w:type="dxa"/>
          <w:right w:w="28" w:type="dxa"/>
        </w:tblCellMar>
      </w:tblPr>
      <w:tblGrid>
        <w:gridCol w:w="1150"/>
        <w:gridCol w:w="1013"/>
        <w:gridCol w:w="1017"/>
        <w:gridCol w:w="109"/>
        <w:gridCol w:w="109"/>
        <w:gridCol w:w="109"/>
        <w:gridCol w:w="314"/>
        <w:gridCol w:w="314"/>
        <w:gridCol w:w="316"/>
        <w:gridCol w:w="109"/>
        <w:gridCol w:w="109"/>
        <w:gridCol w:w="109"/>
        <w:gridCol w:w="317"/>
        <w:gridCol w:w="769"/>
        <w:gridCol w:w="233"/>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options - time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grant-date fair</w:t>
              <w:br/>
              <w:t>value per share</w:t>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no unrecognized compensation costs related to time-based vesting stock options outstanding as of March 31,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performance-based vesting stock option activity for the nine months ended March 31, 2026 is as follows: </w:t>
      </w:r>
    </w:p>
    <w:tbl>
      <w:tblPr>
        <w:tblW w:w="6097" w:type="dxa"/>
        <w:jc w:val="left"/>
        <w:tblInd w:w="0" w:type="dxa"/>
        <w:tblLayout w:type="fixed"/>
        <w:tblCellMar>
          <w:top w:w="28" w:type="dxa"/>
          <w:left w:w="28" w:type="dxa"/>
          <w:bottom w:w="28" w:type="dxa"/>
          <w:right w:w="28" w:type="dxa"/>
        </w:tblCellMar>
      </w:tblPr>
      <w:tblGrid>
        <w:gridCol w:w="1152"/>
        <w:gridCol w:w="1011"/>
        <w:gridCol w:w="1017"/>
        <w:gridCol w:w="109"/>
        <w:gridCol w:w="109"/>
        <w:gridCol w:w="109"/>
        <w:gridCol w:w="314"/>
        <w:gridCol w:w="314"/>
        <w:gridCol w:w="316"/>
        <w:gridCol w:w="109"/>
        <w:gridCol w:w="109"/>
        <w:gridCol w:w="109"/>
        <w:gridCol w:w="317"/>
        <w:gridCol w:w="769"/>
        <w:gridCol w:w="233"/>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options - performance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grant-date fair</w:t>
              <w:br/>
              <w:t>value per share</w:t>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unrecognized compensation cost related to performance-based vesting stock options outstanding as of March 31, 2026 was $0.1 million and is expected to be recognized over a weighted-average period of 0.8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11: Acquisitions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TRHC</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 2025, the Company completed the acquisition of certain pharmacy assets from Tabula Rasa HealthCare Group, Inc. ("TRHC"), a leading pharmacy care management company, for a total purchase price of $4.8 million. The acquisition was funded through cash on hand.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acquisition of certain TRHC assets was accounted for using the purchase method of accounting. The purchase price has been allocated to the assets acquired and liabilities assumed based on their estimated fair values at the date of acquisition. Goodwill represents the excess of the purchase price over the fair value of net assets acquired and the estimated future economic benefits arising from expected growth opportunities for the Company and is not deductible for income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the finalized allocation of the purchase price to the assets acquired and liabilities assumed as of the acquisition date, measurement period adjustments and the allocation as of March 31, 2026: </w:t>
      </w:r>
    </w:p>
    <w:tbl>
      <w:tblPr>
        <w:tblW w:w="9507" w:type="dxa"/>
        <w:jc w:val="left"/>
        <w:tblInd w:w="0" w:type="dxa"/>
        <w:tblLayout w:type="fixed"/>
        <w:tblCellMar>
          <w:top w:w="28" w:type="dxa"/>
          <w:left w:w="28" w:type="dxa"/>
          <w:bottom w:w="28" w:type="dxa"/>
          <w:right w:w="28" w:type="dxa"/>
        </w:tblCellMar>
      </w:tblPr>
      <w:tblGrid>
        <w:gridCol w:w="1471"/>
        <w:gridCol w:w="1295"/>
        <w:gridCol w:w="1299"/>
        <w:gridCol w:w="109"/>
        <w:gridCol w:w="109"/>
        <w:gridCol w:w="109"/>
        <w:gridCol w:w="270"/>
        <w:gridCol w:w="789"/>
        <w:gridCol w:w="141"/>
        <w:gridCol w:w="844"/>
        <w:gridCol w:w="1627"/>
        <w:gridCol w:w="438"/>
        <w:gridCol w:w="216"/>
        <w:gridCol w:w="631"/>
        <w:gridCol w:w="159"/>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Preliminary </w:t>
              <w:br/>
              <w:t>allocation</w:t>
            </w:r>
          </w:p>
        </w:tc>
        <w:tc>
          <w:tcPr>
            <w:tcW w:w="2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Measurement period adjustments</w:t>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Adjusted </w:t>
              <w:br/>
              <w:t>allocation</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measurement period has closed, and the Company did not recognize any measurement period adjustments.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an income tax expense of $0.2 million and $0.1 million for the three months ended March 31, 2026 and 2025, respectively. This represents an effective tax rate of (0.6)% and (0.7)% for the three months ended March 31, 2026 and 2025, respectively. The Company recorded an income tax expense of $1.1 million and $0.5 million for the nine months ended March 31, 2026 and 2025, respectively. This represents an effective tax rate of (11.3)% and (1.7)% for the nine months ended March 31, 2026 and 2025,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rate for the three and nine months ended March 31, 2026 was different from the federal statutory rate primarily due to the Company’s book income offset partially by disallowed officers’ compensation under Section 162(m) of the Internal Revenue Code (“IRC”), disallowed stock options related to the profit interest units, exclusion of income and losses from entities not subject to tax, lobbying expenses, the impact of the One Big Beautiful Bill Act ("OBBBA"), and the decrease in the Company's valuation allowance against net operating losses which occurred during the three and nine month periods ended March 31,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March 31, 2026, the Company determined that it is not “more likely than not” that the deferred tax assets associated with certain state net operating losses will be realized and as such continues to maintain a valuation allowance against these state deferred tax assets. The Company also determined it is not "more likely than not" that the deferred tax assets associated with certain federal net operating losses will be realized and as such has included a valuation allowance against these federal deferred tax assets. The Company has provided $22.8 million at March 31, 2026 and $23.0 million at June 30, 2025, as a valuation allowance against its deferred tax assets for federal and state net operating losses and state 163(j) interest expense limitations where there is not sufficient positive evidence to substantiate that these deferred tax assets will be realized at a more-likely-than-not level of assurance.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Note 13: Earnings per Share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(“EPS”) is computed using the weighted-average number of common shares outstanding during the period. Diluted EPS is computed using the weighted-average number of common shares outstanding during the period, plus the dilutive effect of outstanding options and other equity awards,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EPS. When net income from continuing operations exists, performance-based units are omitted from the calculation of diluted EPS until it is determined that the performance criteria has been met at the end of the reporting period. For the three months ended March 31, 2026 and 2025, there were 1,472,256 and 222,469, respectively, shares excluded from the calculation of diluted EPS as they would have an anti-dilutive effect. For the nine months ended March 31, 2026 and 2025, there were 1,692,764 and 389,531, respectively, shares excluded from the calculation of diluted EPS as they would have an anti-dilutive effect.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common share:</w:t>
      </w:r>
    </w:p>
    <w:tbl>
      <w:tblPr>
        <w:tblW w:w="10205" w:type="dxa"/>
        <w:jc w:val="left"/>
        <w:tblInd w:w="0" w:type="dxa"/>
        <w:tblLayout w:type="fixed"/>
        <w:tblCellMar>
          <w:top w:w="28" w:type="dxa"/>
          <w:left w:w="28" w:type="dxa"/>
          <w:bottom w:w="28" w:type="dxa"/>
          <w:right w:w="28" w:type="dxa"/>
        </w:tblCellMar>
      </w:tblPr>
      <w:tblGrid>
        <w:gridCol w:w="1668"/>
        <w:gridCol w:w="1464"/>
        <w:gridCol w:w="1474"/>
        <w:gridCol w:w="227"/>
        <w:gridCol w:w="795"/>
        <w:gridCol w:w="119"/>
        <w:gridCol w:w="109"/>
        <w:gridCol w:w="109"/>
        <w:gridCol w:w="109"/>
        <w:gridCol w:w="227"/>
        <w:gridCol w:w="795"/>
        <w:gridCol w:w="119"/>
        <w:gridCol w:w="109"/>
        <w:gridCol w:w="109"/>
        <w:gridCol w:w="109"/>
        <w:gridCol w:w="227"/>
        <w:gridCol w:w="795"/>
        <w:gridCol w:w="119"/>
        <w:gridCol w:w="109"/>
        <w:gridCol w:w="109"/>
        <w:gridCol w:w="109"/>
        <w:gridCol w:w="227"/>
        <w:gridCol w:w="795"/>
        <w:gridCol w:w="173"/>
      </w:tblGrid>
      <w:tr>
        <w:trPr/>
        <w:tc>
          <w:tcPr>
            <w:tcW w:w="166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r>
      <w:tr>
        <w:trPr/>
        <w:tc>
          <w:tcPr>
            <w:tcW w:w="4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values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InnovAge Holding Corp.</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(29,528)</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135,704,645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135,200,314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135,660,769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135,471,907</w:t>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(basic)</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135,704,645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135,200,314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135,660,769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135,471,907</w:t>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(diluted)</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(0.22)</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Segment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two operating segments, both of which are related to the Company’s PACE offering. The operating segments are based on two geographic divisions, which are East and West. Due to the similar economic characteristics, nature of services, and customers, the Company has aggregated its East and West operating segments into one reportable segment for PACE. Previously, the Company had three operating segments, with the Company’s third remaining operating segment primarily relating to Senior Housing, which was an immaterial operating segment, and shown below as "Other" along with certain corporate unallocated expenses. As of September 2025, the Company no longer operates Senior Housing as the remaining Senior Housing assets were sold. See Note 4, "Investments - consolidated entities - Noncontrolling interest."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chief executive officer. The CODM uses Center-Level Contribution Margin as the measure for assessing performance of its operating segments and allocating resources, predominantly in the annual budget and forecasting process. The Company evaluates performance and allocates capital resources to each segment based on an operating model that is designed to maximize the quality of care provided and profitability. The CODM considers forecast-to-actual Center-Level Contribution Margin variances on a monthly basis when making decisions about allocating capital and personnel to the segments. Center-Level Contribution Margin is defined as total segment revenues less external provider costs and cost of care (excluding depreciation and amortization).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review assets by segment and therefore assets by segment are not disclosed below. For the periods presented, all of the Company’s long-lived assets were located in the United States and all revenue was earned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operating results regularly provided to the CODM by segment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975"/>
        <w:gridCol w:w="619"/>
        <w:gridCol w:w="582"/>
        <w:gridCol w:w="216"/>
        <w:gridCol w:w="846"/>
        <w:gridCol w:w="111"/>
        <w:gridCol w:w="111"/>
        <w:gridCol w:w="111"/>
        <w:gridCol w:w="111"/>
        <w:gridCol w:w="227"/>
        <w:gridCol w:w="437"/>
        <w:gridCol w:w="117"/>
        <w:gridCol w:w="111"/>
        <w:gridCol w:w="111"/>
        <w:gridCol w:w="111"/>
        <w:gridCol w:w="216"/>
        <w:gridCol w:w="846"/>
        <w:gridCol w:w="111"/>
        <w:gridCol w:w="111"/>
        <w:gridCol w:w="111"/>
        <w:gridCol w:w="111"/>
        <w:gridCol w:w="216"/>
        <w:gridCol w:w="846"/>
        <w:gridCol w:w="111"/>
        <w:gridCol w:w="111"/>
        <w:gridCol w:w="111"/>
        <w:gridCol w:w="111"/>
        <w:gridCol w:w="221"/>
        <w:gridCol w:w="490"/>
        <w:gridCol w:w="114"/>
        <w:gridCol w:w="111"/>
        <w:gridCol w:w="111"/>
        <w:gridCol w:w="111"/>
        <w:gridCol w:w="216"/>
        <w:gridCol w:w="846"/>
        <w:gridCol w:w="177"/>
      </w:tblGrid>
      <w:tr>
        <w:trPr/>
        <w:tc>
          <w:tcPr>
            <w:tcW w:w="97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(a)</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(a)</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217,819 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218,142 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Center-Level Contribution Margin</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operating results regularly provided to the CODM by reportable segment for the nine months ended March 31, 2026 and 2025: </w:t>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 2026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 2025</w:t>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(a)</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(a)</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631,293 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632,282 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Center-Level Contribution Margin</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165,078 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112,352 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(27,611)</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(29,825)</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(a)Center-level Contribution Margin from a segment below the quantitative thresholds was attributable to the Senior Housing operating segment of the Company. This segment never met any of the quantitative thresholds for determining reportable segments. </w:t>
      </w:r>
      <w:r>
        <w:rPr>
          <w:rFonts w:ascii="Times New Roman;serif" w:hAnsi="Times New Roman;serif"/>
          <w:b w:val="false"/>
          <w:color w:val="000000"/>
          <w:sz w:val="20"/>
        </w:rPr>
        <w:t>As of September 2025, the Company no longer operates Senior Housing as the remaining Senior Housing assets were sold and since then the Company has one reporting segment. See Note 4, "Investments - Consolidated entities - Noncontrolling interest."</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Subsequent Events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May 8, 2026, the date on which the condensed consolidated financial statements were issued and noted there were none, except as disclosed in Note 9, "Commitments and Contingencies."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our Annual Report on Form 10-K for the fiscal year ended June 30, 2025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InnovAge Holding Corp. (“InnovAge”) became a public company in March 2021. As of March 31, 2026, the Company served approximately 8,050 PACE participants, and operated 20 PACE centers across California, Colorado, Florida, New Mexico, Pennsylvania, and Virginia.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Trends and Uncertainties Affecting the Company</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Increased cost of care and external provider costs. </w:t>
      </w:r>
      <w:r>
        <w:rPr>
          <w:rFonts w:ascii="Times New Roman;serif" w:hAnsi="Times New Roman;serif"/>
          <w:b w:val="false"/>
          <w:color w:val="000000"/>
          <w:sz w:val="20"/>
        </w:rPr>
        <w:t>We anticipate increased cost of care from our third-party service providers in an effort to offset their heightened expenses resulting, in part, from budget pressures due to the OBBBA, budget cuts to providers from state Medicaid programs, and possible increases in cost of medical and other supplies used in order to provide healthcare services. While we did not experience a material increase to our cost of care through the third quarter of fiscal year 2026, we continue to monitor the situation. We believe that our clinical value initiatives and operational value initiatives, which continue to be executed, may assist us in offsetting any increased cost of care anticipated for the last quarter of fiscal year 2026.</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Labor market and access to supportive housing facilities</w:t>
      </w:r>
      <w:r>
        <w:rPr>
          <w:rFonts w:ascii="Times New Roman;serif" w:hAnsi="Times New Roman;serif"/>
          <w:b w:val="false"/>
          <w:color w:val="000000"/>
          <w:sz w:val="20"/>
        </w:rPr>
        <w:t>. The healthcare sector continues to experience workforce shortages, particularly in geriatrics, primary care and direct care roles, as well as a complex set of challenges in hiring additional professionals, which continued through the third quarter of fiscal year 2026. Competition from health systems and home health providers for nurses, drivers and caregivers, in addition to the systemic challenges related to workforce training and the pipeline of qualified professionals, has remained challenging for the Company’s ability to recruit and retain staff. These labor market pressures have increased wage and benefit costs, and have also affected our staffing ability which could impact our enrollment capacity and services. To mitigate these challenges, we continue to review and implement targeted compensation in line with the markets in which we operate and focused retention programs for critical roles, along with operational measures to help improve productivity and continue reducing reliance on agency staffing. Partially as a result of increased competition and other market trends, there was an increase in the cost of care for the third quarter of fiscal year 2026 compared to the comparable period for fiscal year 2025, as discussed in "Results of Operations" below.</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 shortage of clinicians combined with an aging population creates increased demand on the limited number of existing residential facilities. As a result, the access of our participants to such facilities is uncertain, as such facilities may prioritize private payors or may be unable to accept participants at pre-determined rates. If we are unable to access residential facilities, we could be unable to continue providing PACE services to participants who require such facilities.</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Census and capitation revenue.</w:t>
      </w:r>
      <w:r>
        <w:rPr>
          <w:color w:val="000000"/>
        </w:rPr>
        <w:t xml:space="preserve"> </w:t>
      </w:r>
      <w:r>
        <w:rPr>
          <w:rFonts w:ascii="Times New Roman;serif" w:hAnsi="Times New Roman;serif"/>
          <w:b w:val="false"/>
          <w:color w:val="000000"/>
          <w:sz w:val="20"/>
        </w:rPr>
        <w:t>The delays and increased gaps in eligibility both for new enrollments and Medicaid redetermination applications that we experienced during fiscal years 2025 and 2024 due to processing delays and other enrollment and redetermination procedures that vary by State and county continued into the third quarter of fiscal year 2026, though to a lesser degree than experienced at the end of fiscal year 2025. While processing delays generally reduced in measure during the first three quarters of fiscal year 2026, it is possible that these delays could persist or be exacerbated due to potential future impacts of the OBBBA. This has not had a material effect on the Company’s financial statements or operations; however, we continue to monitor the situation.</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Medicaid Spending and Rates. </w:t>
      </w:r>
      <w:r>
        <w:rPr>
          <w:rFonts w:ascii="Times New Roman;serif" w:hAnsi="Times New Roman;serif"/>
          <w:b w:val="false"/>
          <w:color w:val="000000"/>
          <w:sz w:val="20"/>
        </w:rPr>
        <w:t xml:space="preserve">Among other things, the OBBBA has constrained states' use of provider taxes to finance Medicaid programs and some states have mandated changes in order to reduce Medicaid spending. Consequent state budgetary pressures may lead to (i) reductions in state workforce which may include those responsible for overseeing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PACE, possibly causing delays in eligibility determinations and discharge of other state responsibilities; (ii) reduction or removal of optional Medicaid services from the PACE benefit package; and (iii) pressure on Medicaid capitation rates. In Colorado, where we serve the largest cohort of our PACE census, we anticipate reduced Medicaid premium rate increases for the fiscal year beginning July 1, 2026. We also expect to face Medicaid reimbursement wage pressures from other states, such as California, which release rates effective January 1, 2027, and which could impact the latter half of our fiscal year. While we continue to monitor the full effects of the OBBBA on the Company we expect the rate pressures to impact the Company's margins in fiscal 2027.</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California Moratorium. </w:t>
      </w:r>
      <w:r>
        <w:rPr>
          <w:rFonts w:ascii="Times New Roman;serif" w:hAnsi="Times New Roman;serif"/>
          <w:b w:val="false"/>
          <w:color w:val="000000"/>
          <w:sz w:val="20"/>
        </w:rPr>
        <w:t>Effective November 20, 2025, the California Department of Health Care Services (DHCS) paused PACE applications for all PACE organizations for a minimum of two years, or until otherwise notified. The pause does not apply to the Downey and Bakersfield center applications, which are considered to be in the review process. The pause, however, would impact the opening and/or acquisition of other de novo centers in the state of California.</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on the various risks posed by macroeconomic events, regulation, and employee matters, please see the section entitled “Risk Factors” included in Part I, Item 1A of our 2025 10-K.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Key Factors Affecting Our Performance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historical financial performance has been, and we expect our financial performance in the future to be, driven by the following factors: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Our participants.</w:t>
      </w:r>
      <w:r>
        <w:rPr>
          <w:color w:val="000000"/>
        </w:rPr>
        <w:t xml:space="preserve"> </w:t>
      </w:r>
      <w:r>
        <w:rPr>
          <w:rFonts w:ascii="Times New Roman;serif" w:hAnsi="Times New Roman;serif"/>
          <w:b w:val="false"/>
          <w:color w:val="000000"/>
          <w:sz w:val="20"/>
        </w:rPr>
        <w:t>We focus on providing all-inclusive care to frail, high-cost, dual-eligible seniors. We 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believe we manage a higher acuity population, with an average risk adjustment factor (“RAF”) score of 2.52 based on InnovAge data as of March 31, 2026; and (ii) we have Medicaid spend in addition to Medicare. Our participants are managed on a capitated, or at-risk basis, where InnovAge is financially responsible for all participant medical costs. Our comprehensive care model and globally capitated payments are designed to cover participants from enrollment until the end of life, including coverage for participants requiring hospice and palliative care. For dual-eligible participants, we receive PMPM payments directly from Medicare and Medicaid, which provides recurring revenue streams and significant visibility into our revenue. The Medicare portion of our capitated payment is risk-based on the underlying medical conditions and frailty of each participant. We continue to strengthen our encounter data submission process so that our revenue more accurately reflects the acuity of the populations we serve.</w:t>
      </w:r>
      <w:r>
        <w:rPr>
          <w:color w:val="000000"/>
        </w:rPr>
        <w:t xml:space="preserv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Our ability to grow enrollment and capacity within existing centers. </w:t>
      </w:r>
      <w:r>
        <w:rPr>
          <w:rFonts w:ascii="Times New Roman;serif" w:hAnsi="Times New Roman;serif"/>
          <w:b w:val="false"/>
          <w:color w:val="000000"/>
          <w:sz w:val="20"/>
        </w:rPr>
        <w:t xml:space="preserve">We believe all seniors should have access to the type of all-inclusive care offered by the PACE model. Several factors can affect our ability to grow enrollment and capacity within existing centers, including competition, costs and sanctions issued by regulators or suspensions of State attestations required to open new de novo centers.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Our ability to maintain high participant satisfaction and retention. </w:t>
      </w:r>
      <w:r>
        <w:rPr>
          <w:rFonts w:ascii="Times New Roman;serif" w:hAnsi="Times New Roman;serif"/>
          <w:b w:val="false"/>
          <w:color w:val="000000"/>
          <w:sz w:val="20"/>
        </w:rPr>
        <w:t xml:space="preserve">Our comprehensive individualized care model and frequency of interaction with participants generate high levels of participant satisfaction. Our average participant tenure was 3.2 years as of March 31, 2026, measured as tenure from enrollment to disenrollment, among our centers that have been operated by us for at least five years. Furthermore, we experience low levels of voluntary disenrollment, averaging 7.0% annually over the last three fiscal years.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Effectively managing the cost of care for our participants</w:t>
      </w:r>
      <w:r>
        <w:rPr>
          <w:rFonts w:ascii="Times New Roman;serif" w:hAnsi="Times New Roman;serif"/>
          <w:b w:val="false"/>
          <w:color w:val="000000"/>
          <w:sz w:val="20"/>
        </w:rPr>
        <w:t xml:space="preserve">. We receive capitated payments to manage the totality of a participant’s medical care across all settings. The risk pool of our population is highly acute. Various factors, including increased salaries, wages and benefits, increased staffing, annual increases in assisted living and nursing facility unit cost and general medical inflation have affected our external provider costs and cost of care, excluding depreciation and amortization, which represented approximately 77% of our revenue in the nine months ended March 31, 2026.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Center-level Contribution Margin</w:t>
      </w:r>
      <w:r>
        <w:rPr>
          <w:rFonts w:ascii="Times New Roman;serif" w:hAnsi="Times New Roman;serif"/>
          <w:b w:val="false"/>
          <w:color w:val="000000"/>
          <w:sz w:val="20"/>
        </w:rPr>
        <w:t xml:space="preserve">. The Company's management uses Center-level Contribution Margin as the measure for assessing performance of its operating segments. As we serve more participants in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centers, we anticipate being able to leverage our fixed cost base at those centers and increase the value of a center to our business over time.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Our ability to expand via de novo centers within existing and new markets. </w:t>
      </w:r>
      <w:r>
        <w:rPr>
          <w:rFonts w:ascii="Times New Roman;serif" w:hAnsi="Times New Roman;serif"/>
          <w:b w:val="false"/>
          <w:color w:val="000000"/>
          <w:sz w:val="20"/>
        </w:rPr>
        <w:t xml:space="preserve">Several factors can affect our ability to open de novo centers, including actions by local and state regulators, such as the moratorium issued in California by DHCS and any sanctions issued, legal, community or other obstacles in the construction or opening of such centers.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response to an audit to our Sacramento center and a medical review of our San Bernardino center, which have been previously disclosed, DHCS suspended its attestations in support of the planned de novo centers in Downey and Bakersfield, California. CMS has closed its process and DHCS's process is ongoing. On December 23, 2025, we received a formal Corrective Action Plan (CAP) from DHCS to remediate findings resulting from the San Bernardino medical review. We are working closely with the State to fulfill the obligations of the CAP. While the planned California de novo centers are precluded from opening at this time, DHCS notified us that it would consider restoring the State Attestations upon our successful remediation of the deficiencies raised in our Sacramento center and its completion of the medical review, including the resultant remediation, in our San Bernardino center.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Execute tuck-in acquisitions, strategic transactions and partnerships.</w:t>
      </w:r>
      <w:r>
        <w:rPr>
          <w:color w:val="000000"/>
        </w:rPr>
        <w:t xml:space="preserve"> </w:t>
      </w:r>
      <w:r>
        <w:rPr>
          <w:rFonts w:ascii="Times New Roman;serif" w:hAnsi="Times New Roman;serif"/>
          <w:b w:val="false"/>
          <w:color w:val="000000"/>
          <w:sz w:val="20"/>
        </w:rPr>
        <w:t xml:space="preserve">Since fiscal year 2019, we have acquired and integrated four PACE organizations for a total of eight operational centers (excluding the PACE center in Bakersfield, California, which is not yet operational). These acquisitions represent expansion of our InnovAge Platform into one new state and five new markets. By bringing acquired organizations under the InnovAge Platform, we anticipate increased revenue growth and operational efficiency and care delivery post-integration. We also have pursued and intend to continue pursuing additional relationships with key stakeholders, existing organizations and other care providers in order to form partnerships in target geographies, such as the joint ventures with Orlando Health and Tampa General Hospital relating to our Orlando PACE center and our Tampa PACE center, respectively. In fiscal year 2025, we acquired certain pharmacy assets from Tabula Rasa HealthCare Group, Inc. (“TRHC”), with the goal of supporting our growth and improving pharmacy cost-management.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Our ability to maintain high quality of regulatory compliance</w:t>
      </w:r>
      <w:r>
        <w:rPr>
          <w:rFonts w:ascii="Times New Roman;serif" w:hAnsi="Times New Roman;serif"/>
          <w:b w:val="false"/>
          <w:color w:val="000000"/>
          <w:sz w:val="20"/>
        </w:rPr>
        <w:t xml:space="preserve">. The Company's priority is to continue to maintain high quality of regulatory compliance in all its centers.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Contracting with government payors</w:t>
      </w:r>
      <w:r>
        <w:rPr>
          <w:rFonts w:ascii="Times New Roman;serif" w:hAnsi="Times New Roman;serif"/>
          <w:b w:val="false"/>
          <w:color w:val="000000"/>
          <w:sz w:val="20"/>
        </w:rPr>
        <w:t>. Our economic model relies on our capitated arrangements with government payors, namely Medicare and Medicaid. We view the government not only as a payor but also as a key partner in our efforts to expand into new geographies and access more participants in our existing markets. Maintaining, supporting and growing these relationships, in existing markets as well as new geographies, is critical to our long-term success.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Investing to support growth</w:t>
      </w:r>
      <w:r>
        <w:rPr>
          <w:rFonts w:ascii="Times New Roman;serif" w:hAnsi="Times New Roman;serif"/>
          <w:b w:val="false"/>
          <w:color w:val="000000"/>
          <w:sz w:val="20"/>
        </w:rPr>
        <w:t>. We intend to continue investing in our centers, value-based care model, and sales and marketing organization to support long-term growth. We expect our expenses to increase in absolute dollars for the foreseeable future to support our growth and as the result of current and potential legal and regulatory proceedings. We plan to invest in future growth judiciously and maintain focus on managing our results of operations. Beginning in fiscal year 2024, we have made and continue to make investments to increase our sophistication as a payor to drive clinical value, improve outcomes, and manage cost trends. Accordingly, in the short term, these activities increase our expenses as a percentage of revenue, but in the longer term, we anticipate that these investments will positively impact our business and results of operations.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Seasonality of our business</w:t>
      </w:r>
      <w:r>
        <w:rPr>
          <w:rFonts w:ascii="Times New Roman;serif" w:hAnsi="Times New Roman;serif"/>
          <w:b w:val="false"/>
          <w:color w:val="000000"/>
          <w:sz w:val="20"/>
        </w:rPr>
        <w:t xml:space="preserve">. Our operational and financial results, including medical costs and per-participant revenue true-ups, experience some variability depending upon the time of year in which they are measured. Medical costs vary most significantly as a result of (i) the weather, with certain illnesses, such as the influenza and COVID-19 viruses,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from CMS, which is based on CMS’s determination of a participant’s RAF score as measured twice per year and is based on the evolving acuity of a participant. Where there is a difference between our estimate and the final determination from CMS, we may record either an increase or decrease in true-up revenue. Historically,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true-up payments typically occur between May and August, but the timing of these payments is determined by CMS, and we have neither visibility into nor control over the timing of such payments. The variability of participant enrollments and voluntary disenrollments has also been impacted by additional offerings by MA and other competitors including PACE organizations in select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Components of Results of Operations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Capitation Revenue</w:t>
      </w:r>
      <w:r>
        <w:rPr>
          <w:rFonts w:ascii="Times New Roman;serif" w:hAnsi="Times New Roman;serif"/>
          <w:b w:val="false"/>
          <w:color w:val="000000"/>
          <w:sz w:val="20"/>
          <w:shd w:fill="FFFFFF" w:val="clear"/>
        </w:rPr>
        <w:t xml:space="preserve">. In order to provide comprehensive services to manage the totality of a participant’s medical care across all settings, we receive fixed or capitated fees per participant that are paid monthly by Medicare, Medicaid, Veterans Affairs (“VA”) and private pay sources. </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Medicaid and Medicare capitation revenues are based on PMPM capitation rates under the PACE program. The PACE state contracts between us and the respective state Medicaid administering agency are renewed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serif" w:hAnsi="Times New Roman;serif"/>
          <w:b w:val="false"/>
          <w:i/>
          <w:color w:val="000000"/>
          <w:sz w:val="20"/>
          <w:shd w:fill="FFFFFF" w:val="clear"/>
        </w:rPr>
        <w:t>Critical Accounting Estimates</w:t>
      </w:r>
      <w:r>
        <w:rPr>
          <w:color w:val="000000"/>
          <w:shd w:fill="FFFFFF" w:val="clear"/>
        </w:rPr>
        <w:t xml:space="preserve"> </w:t>
      </w:r>
      <w:r>
        <w:rPr>
          <w:rFonts w:ascii="Times New Roman;serif" w:hAnsi="Times New Roman;serif"/>
          <w:b w:val="false"/>
          <w:color w:val="000000"/>
          <w:sz w:val="20"/>
          <w:shd w:fill="FFFFFF" w:val="clear"/>
        </w:rPr>
        <w:t xml:space="preserve">below and Note 2 “Summary of Significant Accounting Policies” to our consolidated financial statements included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10-K.</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Other Service Revenue.</w:t>
      </w:r>
      <w:r>
        <w:rPr>
          <w:color w:val="000000"/>
          <w:shd w:fill="FFFFFF" w:val="clear"/>
        </w:rPr>
        <w:t xml:space="preserve"> </w:t>
      </w:r>
      <w:r>
        <w:rPr>
          <w:rFonts w:ascii="Times New Roman;serif" w:hAnsi="Times New Roman;serif"/>
          <w:b w:val="false"/>
          <w:color w:val="000000"/>
          <w:sz w:val="20"/>
          <w:shd w:fill="FFFFFF" w:val="clear"/>
        </w:rPr>
        <w:t xml:space="preserve">Other service revenue primarily consists of revenues derived from state food grants and rent revenues. For a discussion of our revenue recognition policies, please see </w:t>
      </w:r>
      <w:r>
        <w:rPr>
          <w:rFonts w:ascii="Times New Roman;serif" w:hAnsi="Times New Roman;serif"/>
          <w:b w:val="false"/>
          <w:i/>
          <w:color w:val="000000"/>
          <w:sz w:val="20"/>
          <w:shd w:fill="FFFFFF" w:val="clear"/>
        </w:rPr>
        <w:t>Critical Accounting Estimates</w:t>
      </w:r>
      <w:r>
        <w:rPr>
          <w:color w:val="000000"/>
          <w:shd w:fill="FFFFFF" w:val="clear"/>
        </w:rPr>
        <w:t xml:space="preserve"> </w:t>
      </w:r>
      <w:r>
        <w:rPr>
          <w:rFonts w:ascii="Times New Roman;serif" w:hAnsi="Times New Roman;serif"/>
          <w:b w:val="false"/>
          <w:color w:val="000000"/>
          <w:sz w:val="20"/>
          <w:shd w:fill="FFFFFF" w:val="clear"/>
        </w:rPr>
        <w:t xml:space="preserve">below and Note 2, “Summary of Significant Accounting Policies” to our consolidated financial statements included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10-K.</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Expenses</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External Provider Costs.</w:t>
      </w:r>
      <w:r>
        <w:rPr>
          <w:color w:val="000000"/>
          <w:shd w:fill="FFFFFF" w:val="clear"/>
        </w:rPr>
        <w:t xml:space="preserve"> </w:t>
      </w:r>
      <w:r>
        <w:rPr>
          <w:rFonts w:ascii="Times New Roman;serif" w:hAnsi="Times New Roman;serif"/>
          <w:b w:val="false"/>
          <w:color w:val="000000"/>
          <w:sz w:val="20"/>
          <w:shd w:fill="FFFFFF" w:val="clear"/>
        </w:rPr>
        <w:t>External provider costs consist primarily of the costs for medical care provided by non-InnovAge providers. We separate external provider costs into four categories: inpatient (e.g., hospital), housing (e.g., assisted living and skilled nursing facility), outpatient and pharmacy. In aggregate, external provider costs represent the largest portion of our expenses.</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Cost of Care, Excluding Depreciation and Amortization.</w:t>
      </w:r>
      <w:r>
        <w:rPr>
          <w:color w:val="000000"/>
          <w:shd w:fill="FFFFFF" w:val="clear"/>
        </w:rPr>
        <w:t xml:space="preserve"> </w:t>
      </w:r>
      <w:r>
        <w:rPr>
          <w:rFonts w:ascii="Times New Roman;serif" w:hAnsi="Times New Roman;serif"/>
          <w:b w:val="false"/>
          <w:color w:val="000000"/>
          <w:sz w:val="20"/>
          <w:shd w:fill="FFFFFF" w:val="clear"/>
        </w:rPr>
        <w:t>Cost of care, excluding depreciation and amortization, includes the costs we incur to operate our 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Sales and Marketing.</w:t>
      </w:r>
      <w:r>
        <w:rPr>
          <w:color w:val="000000"/>
          <w:shd w:fill="FFFFFF" w:val="clear"/>
        </w:rPr>
        <w:t xml:space="preserve"> </w:t>
      </w:r>
      <w:r>
        <w:rPr>
          <w:rFonts w:ascii="Times New Roman;serif" w:hAnsi="Times New Roman;serif"/>
          <w:b w:val="false"/>
          <w:color w:val="000000"/>
          <w:sz w:val="20"/>
          <w:shd w:fill="FFFFFF" w:val="clear"/>
        </w:rPr>
        <w:t>Sales and marketing expenses consist of employee-related expenses, including salaries, commissions, and employee benefits costs, for all employees engaged in marketing, sales, community outreach and sales support as well as financial eligibility support for both prospective and existing participants.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Corporate, General and Administrative Expenses.</w:t>
      </w:r>
      <w:r>
        <w:rPr>
          <w:color w:val="000000"/>
          <w:shd w:fill="FFFFFF" w:val="clear"/>
        </w:rPr>
        <w:t xml:space="preserve"> </w:t>
      </w:r>
      <w:r>
        <w:rPr>
          <w:rFonts w:ascii="Times New Roman;serif" w:hAnsi="Times New Roman;serif"/>
          <w:b w:val="false"/>
          <w:color w:val="000000"/>
          <w:sz w:val="20"/>
          <w:shd w:fill="FFFFFF" w:val="clear"/>
        </w:rPr>
        <w:t xml:space="preserve">Corporate, general and administrative expenses include employee-related expenses, including salaries and related costs. In addition, general and administrative expenses include all corporate technology and occupancy costs associated with our corporate office. We expect our general and administrative expenses to increase in absolute dollars due to the additional legal, accounting, insurance, investor relations and other costs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incur as a public company, as well as other costs associated with compliance and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 xml:space="preserve">Depreciation and Amortization. </w:t>
      </w:r>
      <w:r>
        <w:rPr>
          <w:rFonts w:ascii="Times New Roman;serif" w:hAnsi="Times New Roman;serif"/>
          <w:b w:val="false"/>
          <w:color w:val="000000"/>
          <w:sz w:val="20"/>
          <w:shd w:fill="FFFFFF" w:val="clear"/>
        </w:rPr>
        <w:t>Depreciation and amortization expenses are primarily attributable to our buildings and leasehold improvements and our equipment and vehicles. Depreciation and amortization are recorded using the straight-line method over the shorter of estimated useful life or lease terms, to the extent the assets are being leased.</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For more information relating to the components of our results of operations, see </w:t>
      </w:r>
      <w:r>
        <w:rPr>
          <w:rFonts w:ascii="Times New Roman;serif" w:hAnsi="Times New Roman;serif"/>
          <w:b w:val="false"/>
          <w:i/>
          <w:color w:val="000000"/>
          <w:sz w:val="20"/>
          <w:shd w:fill="FFFFFF" w:val="clear"/>
        </w:rPr>
        <w:t xml:space="preserve">Results of Operations </w:t>
      </w:r>
      <w:r>
        <w:rPr>
          <w:rFonts w:ascii="Times New Roman;serif" w:hAnsi="Times New Roman;serif"/>
          <w:b w:val="false"/>
          <w:color w:val="000000"/>
          <w:sz w:val="20"/>
          <w:shd w:fill="FFFFFF" w:val="clear"/>
        </w:rPr>
        <w:t xml:space="preserve">below and Note 2 “Summary of Significant Accounting Policies” to our consolidated financial statements included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828"/>
        <w:gridCol w:w="1588"/>
        <w:gridCol w:w="159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82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r>
      <w:tr>
        <w:trPr/>
        <w:tc>
          <w:tcPr>
            <w:tcW w:w="50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Capitation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631,293 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632,282 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provider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care, excluding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and loss on assets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659,893 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equity method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Provision for Income Taxes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Attributable to InnovAge Holding Corp.</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(29,528)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tbl>
      <w:tblPr>
        <w:tblW w:w="10292" w:type="dxa"/>
        <w:jc w:val="left"/>
        <w:tblInd w:w="0" w:type="dxa"/>
        <w:tblLayout w:type="fixed"/>
        <w:tblCellMar>
          <w:top w:w="28" w:type="dxa"/>
          <w:left w:w="28" w:type="dxa"/>
          <w:bottom w:w="28" w:type="dxa"/>
          <w:right w:w="28" w:type="dxa"/>
        </w:tblCellMar>
      </w:tblPr>
      <w:tblGrid>
        <w:gridCol w:w="314"/>
        <w:gridCol w:w="263"/>
        <w:gridCol w:w="264"/>
        <w:gridCol w:w="248"/>
        <w:gridCol w:w="345"/>
        <w:gridCol w:w="346"/>
        <w:gridCol w:w="109"/>
        <w:gridCol w:w="109"/>
        <w:gridCol w:w="109"/>
        <w:gridCol w:w="248"/>
        <w:gridCol w:w="345"/>
        <w:gridCol w:w="346"/>
        <w:gridCol w:w="109"/>
        <w:gridCol w:w="109"/>
        <w:gridCol w:w="109"/>
        <w:gridCol w:w="196"/>
        <w:gridCol w:w="646"/>
        <w:gridCol w:w="109"/>
        <w:gridCol w:w="109"/>
        <w:gridCol w:w="109"/>
        <w:gridCol w:w="109"/>
        <w:gridCol w:w="233"/>
        <w:gridCol w:w="233"/>
        <w:gridCol w:w="256"/>
        <w:gridCol w:w="109"/>
        <w:gridCol w:w="109"/>
        <w:gridCol w:w="109"/>
        <w:gridCol w:w="248"/>
        <w:gridCol w:w="345"/>
        <w:gridCol w:w="346"/>
        <w:gridCol w:w="109"/>
        <w:gridCol w:w="109"/>
        <w:gridCol w:w="109"/>
        <w:gridCol w:w="248"/>
        <w:gridCol w:w="345"/>
        <w:gridCol w:w="346"/>
        <w:gridCol w:w="109"/>
        <w:gridCol w:w="109"/>
        <w:gridCol w:w="109"/>
        <w:gridCol w:w="196"/>
        <w:gridCol w:w="646"/>
        <w:gridCol w:w="109"/>
        <w:gridCol w:w="109"/>
        <w:gridCol w:w="109"/>
        <w:gridCol w:w="109"/>
        <w:gridCol w:w="240"/>
        <w:gridCol w:w="241"/>
        <w:gridCol w:w="301"/>
      </w:tblGrid>
      <w:tr>
        <w:trPr/>
        <w:tc>
          <w:tcPr>
            <w:tcW w:w="3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Capitation revenue</w:t>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726,873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631,293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727,756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632,282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Capitation revenue. </w:t>
      </w:r>
      <w:r>
        <w:rPr>
          <w:rFonts w:ascii="Times New Roman;serif" w:hAnsi="Times New Roman;serif"/>
          <w:b w:val="false"/>
          <w:color w:val="000000"/>
          <w:sz w:val="20"/>
        </w:rPr>
        <w:t xml:space="preserve">Capitation revenue was $251.5 million for the three months ended March 31, 2026, an increase of $33.7 million, or 15.5%, compared to $217.8 million for the three months ended March 31, 2025. This increase was driven by a $19.0 million, or 8.2%, increase in capitation rates coupled with a $14.7 million, or 6.7%, increase in member months for the three months ended March 31, 2026 as compared to the three months ended March 31, 2025. The increase in capitation rates for the three months ended March 31, 2026 was primarily driven by (i) a 7.8% annual increase in Medicaid capitation rates as determined by the States coupled with lower revenue reserve and (ii) a 5.0% increase in Medicare capitation rates. The increase in member months was primarily due to growth in our California, Florida, and Colorado centers.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Capitation revenue was $726.9 million for the nine months ended March 31, 2026, an increase of $95.6 million, or 15.1%, compared to $631.3 million for the nine months ended March 31, 2025. This increase was driven by a $44.0 million, or 6.4%, increase in capitation rates coupled with a $51.5 million, or 8.2%, increase in member months for the nine months ended March 31, 2026 as compared to the nine months ended March 31, 2025. The increase in capitation rates includes a 7.9% increase in Medicaid rates and a 4.3% increase in Medicare rates. The increase in member months was primarily due to growth in our California, Florida, and Colorado centers.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tbl>
      <w:tblPr>
        <w:tblW w:w="10344" w:type="dxa"/>
        <w:jc w:val="left"/>
        <w:tblInd w:w="0" w:type="dxa"/>
        <w:tblLayout w:type="fixed"/>
        <w:tblCellMar>
          <w:top w:w="28" w:type="dxa"/>
          <w:left w:w="28" w:type="dxa"/>
          <w:bottom w:w="28" w:type="dxa"/>
          <w:right w:w="28" w:type="dxa"/>
        </w:tblCellMar>
      </w:tblPr>
      <w:tblGrid>
        <w:gridCol w:w="584"/>
        <w:gridCol w:w="263"/>
        <w:gridCol w:w="264"/>
        <w:gridCol w:w="248"/>
        <w:gridCol w:w="345"/>
        <w:gridCol w:w="346"/>
        <w:gridCol w:w="109"/>
        <w:gridCol w:w="109"/>
        <w:gridCol w:w="109"/>
        <w:gridCol w:w="248"/>
        <w:gridCol w:w="345"/>
        <w:gridCol w:w="346"/>
        <w:gridCol w:w="109"/>
        <w:gridCol w:w="109"/>
        <w:gridCol w:w="109"/>
        <w:gridCol w:w="241"/>
        <w:gridCol w:w="331"/>
        <w:gridCol w:w="270"/>
        <w:gridCol w:w="109"/>
        <w:gridCol w:w="109"/>
        <w:gridCol w:w="109"/>
        <w:gridCol w:w="233"/>
        <w:gridCol w:w="233"/>
        <w:gridCol w:w="256"/>
        <w:gridCol w:w="109"/>
        <w:gridCol w:w="109"/>
        <w:gridCol w:w="109"/>
        <w:gridCol w:w="248"/>
        <w:gridCol w:w="345"/>
        <w:gridCol w:w="346"/>
        <w:gridCol w:w="109"/>
        <w:gridCol w:w="109"/>
        <w:gridCol w:w="109"/>
        <w:gridCol w:w="248"/>
        <w:gridCol w:w="345"/>
        <w:gridCol w:w="346"/>
        <w:gridCol w:w="109"/>
        <w:gridCol w:w="109"/>
        <w:gridCol w:w="109"/>
        <w:gridCol w:w="219"/>
        <w:gridCol w:w="337"/>
        <w:gridCol w:w="301"/>
        <w:gridCol w:w="109"/>
        <w:gridCol w:w="109"/>
        <w:gridCol w:w="109"/>
        <w:gridCol w:w="233"/>
        <w:gridCol w:w="233"/>
        <w:gridCol w:w="301"/>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provider costs</w:t>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334,106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322,983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care (excluding depreciation and amortization) </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Sales and marketing </w:t>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3,311 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general, and administrative </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amortization </w:t>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and loss on assets held for sale</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(98.8)%</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expenses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735,284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659,893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External provider costs. </w:t>
      </w:r>
      <w:r>
        <w:rPr>
          <w:rFonts w:ascii="Times New Roman;serif" w:hAnsi="Times New Roman;serif"/>
          <w:b w:val="false"/>
          <w:color w:val="000000"/>
          <w:sz w:val="20"/>
        </w:rPr>
        <w:t>External provider costs were $113.2 million for the three months ended March 31, 2026, an increase of $5.4 million, or 5.0%, compared to $107.9 million for the three months ended March 31, 2025. The increase was driven by an increase of $7.3 million, or 6.7%, in member months partially offset by a decrease of $1.9 million, or 1.7%, in cost per participant for the three months ended March 31, 2026 as compared to the three months ended March 31, 2025. The decrease in cost per participant for the three months ended March 31, 2026 was primarily driven by a decrease in permanent nursing facility utilization and a decrease in pharmacy expense associated with the transition to in-house pharmacy services. The decrease in cost per participant was partially offset by an annual increase in assisted living and permanent nursing facility unit cost, and an increase in assisted living utilization.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External provider costs were $334.1 million for the nine months ended March 31, 2026, an increase of $11.1 million, or 3.4%, compared to $323.0 million for the nine months ended March 31, 2025. This increase was driven by an increase of $26.4 million, or 8.2%, in member months partially offset by a decrease of $15.2 million, or 4.4%, in cost per participant for the nine months ended March 31, 2026 as compared to the nine months ended March 31, 2025. The decrease in cost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participant was primarily driven by a decrease in permanent nursing facility utilization and a decrease in pharmacy expense associated with the transition to in-house pharmacy services. The decrease in cost per participant was partially offset by an annual increase in assisted living and permanent nursing facility unit cost, and an increase in assisted living utilization.</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Cost of care (excluding depreciation and amortization). </w:t>
      </w:r>
      <w:r>
        <w:rPr>
          <w:rFonts w:ascii="Times New Roman;serif" w:hAnsi="Times New Roman;serif"/>
          <w:b w:val="false"/>
          <w:color w:val="000000"/>
          <w:sz w:val="20"/>
        </w:rPr>
        <w:t>Cost of care (excluding depreciation and amortization) expense was $77.7 million for the three months ended March 31, 2026, an increase of $8.2 million, or 11.8%, compared to $69.5 million for the three months ended March 31, 2025. This increase was driven by an increase of $3.5 million, or 4.7%, in cost per participant coupled with an increase of $4.7 million, or 6.7%, in member months. The overall increase of cost of care (excluding depreciation and amortization) expense for the three months ended March 31, 2026 as compared to the three months ended March 31, 2025 was primarily driven by (i) a $1.8 million net increase in salaries, wages and benefits due to higher wage rates partially offset by a reduction in headcount, (ii) $3.4 million in third party fees and shipping costs associated with in-house pharmacy services, (iii) $2.0 million in contract services, and (iv) $0.7 million in fleet costs including contract transportation.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 expense was $228.4 million for the nine months ended March 31, 2026, an increase of $31.5 million, or 16.0%, compared to $196.9 million for the nine months ended March 31, 2025. This increase was driven by an increase of $15.4 million, or 7.2%, in cost per participant coupled with an increase of $16.1 million, or 8.2%, in member months. The overall increase of cost of care (excluding depreciation and amortization) expense for the nine months ended March 31, 2026 as compared to the nine months ended March 31, 2025 was primarily driven by (i) an $8.2 million increase in salaries, wages, and benefits associated with higher wage rates, (ii) $13.1 million in third party fees and shipping costs associated with in-house pharmacy services, (iii) $2.7 million in contract services, and (iv) $6.0 million in fleet costs including contract transportation.</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expenses were $8.7 million for the three months ended March 31, 2026, an increase of $1.8 million, or 26.3%, compared to $6.9 million for the three months ended March 31, 2025, primarily due to higher wage rates and increased marketing spend to support growth.</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were $24.4 million for the nine months ended March 31, 2026, an increase of $3.3 million, or 15.7%, compared to $21.1 million for the nine months ended March 31, 2025 primarily due to increased headcount, wage rates, and marketing spend to support growth.</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Corporate, general and administrative. </w:t>
      </w:r>
      <w:r>
        <w:rPr>
          <w:rFonts w:ascii="Times New Roman;serif" w:hAnsi="Times New Roman;serif"/>
          <w:b w:val="false"/>
          <w:color w:val="000000"/>
          <w:sz w:val="20"/>
        </w:rPr>
        <w:t xml:space="preserve">Corporate, general and administrative expenses were $76.5 million for the three months ended March 31, 2026, an increase of $37.9 million, or 98.3%, compared to $38.6 million for the three months ended March 31, 2025. This increase for the three months ended March 31, 2026 as compared to the three months ended March 31, 2025 was primarily due to an increase in our litigation expenses related to the accrual for the various legal matters disclosed in Note 9, "Commitments and Contingencies" of this Form 10-Q.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general and administrative expenses were $133.4 million for the nine months ended March 31, 2026, an increase of $39.2 million, or 41.6%, compared to $94.2 million for the nine months ended March 31, 2025. This increase for the nine months ended March 31, 2026 as compared to the nine months ended March 31, 2025 was primarily due to (i) $1.5 million net increase in employee compensation and benefits as the result of organizational restructure and executive severance and an increase in headcount and wage rates, partially offset by lower variable compensation associated with the restructure (ii) $0.5 million increase in contract services, (iii) $1.0 million increase in software license fees, and (iv) a $35.5 million net increase in our litigation expenses related to the accrual for the various legal matters disclosed in Note 9, "Commitments and Contingencies" of this Form 10-Q.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Impairments and loss on assets held for sale. </w:t>
      </w:r>
      <w:r>
        <w:rPr>
          <w:rFonts w:ascii="Times New Roman;serif" w:hAnsi="Times New Roman;serif"/>
          <w:b w:val="false"/>
          <w:color w:val="000000"/>
          <w:sz w:val="20"/>
        </w:rPr>
        <w:t>On September 11, 2025, the Company closed on the sale of SH1 and the adjacent vacant land and recorded an additional loss on assets held for sale of $0.1 million for the nine months ended March 31, 2026. Impairment of ROU asset and construction in progress were $8.5 million for the nine months ended March 31, 2025. This increase was due to the Company recording a $1.4 million impairment of operating lease ROU assets and a $7.1 million impairment of construction in progress during the nine months ended March 31, 2025, related to halting developments to a previously planned de novo center in Louisville, Kentucky that the Company is no longer pursuing.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w:t>
      </w:r>
    </w:p>
    <w:tbl>
      <w:tblPr>
        <w:tblW w:w="10205" w:type="dxa"/>
        <w:jc w:val="left"/>
        <w:tblInd w:w="0" w:type="dxa"/>
        <w:tblLayout w:type="fixed"/>
        <w:tblCellMar>
          <w:top w:w="28" w:type="dxa"/>
          <w:left w:w="28" w:type="dxa"/>
          <w:bottom w:w="28" w:type="dxa"/>
          <w:right w:w="28" w:type="dxa"/>
        </w:tblCellMar>
      </w:tblPr>
      <w:tblGrid>
        <w:gridCol w:w="649"/>
        <w:gridCol w:w="545"/>
        <w:gridCol w:w="547"/>
        <w:gridCol w:w="212"/>
        <w:gridCol w:w="508"/>
        <w:gridCol w:w="117"/>
        <w:gridCol w:w="117"/>
        <w:gridCol w:w="117"/>
        <w:gridCol w:w="117"/>
        <w:gridCol w:w="212"/>
        <w:gridCol w:w="654"/>
        <w:gridCol w:w="117"/>
        <w:gridCol w:w="109"/>
        <w:gridCol w:w="109"/>
        <w:gridCol w:w="109"/>
        <w:gridCol w:w="196"/>
        <w:gridCol w:w="188"/>
        <w:gridCol w:w="188"/>
        <w:gridCol w:w="109"/>
        <w:gridCol w:w="109"/>
        <w:gridCol w:w="109"/>
        <w:gridCol w:w="195"/>
        <w:gridCol w:w="195"/>
        <w:gridCol w:w="197"/>
        <w:gridCol w:w="109"/>
        <w:gridCol w:w="109"/>
        <w:gridCol w:w="109"/>
        <w:gridCol w:w="200"/>
        <w:gridCol w:w="618"/>
        <w:gridCol w:w="111"/>
        <w:gridCol w:w="111"/>
        <w:gridCol w:w="111"/>
        <w:gridCol w:w="111"/>
        <w:gridCol w:w="200"/>
        <w:gridCol w:w="618"/>
        <w:gridCol w:w="111"/>
        <w:gridCol w:w="109"/>
        <w:gridCol w:w="109"/>
        <w:gridCol w:w="109"/>
        <w:gridCol w:w="196"/>
        <w:gridCol w:w="188"/>
        <w:gridCol w:w="188"/>
        <w:gridCol w:w="109"/>
        <w:gridCol w:w="109"/>
        <w:gridCol w:w="109"/>
        <w:gridCol w:w="214"/>
        <w:gridCol w:w="214"/>
        <w:gridCol w:w="308"/>
      </w:tblGrid>
      <w:tr>
        <w:trPr/>
        <w:tc>
          <w:tcPr>
            <w:tcW w:w="64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7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equity method investment</w:t>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(1,873)</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(2,214)</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Interest expense, net. </w:t>
      </w:r>
      <w:r>
        <w:rPr>
          <w:rFonts w:ascii="Times New Roman;serif" w:hAnsi="Times New Roman;serif"/>
          <w:b w:val="false"/>
          <w:color w:val="000000"/>
          <w:sz w:val="20"/>
        </w:rPr>
        <w:t xml:space="preserve">Interest expense, net, consists primarily of interest payments on our outstanding borrowings, net of interest income earned on our cash and cash equivalents and restricted cash.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Other income (expense).</w:t>
      </w:r>
      <w:r>
        <w:rPr>
          <w:color w:val="000000"/>
        </w:rPr>
        <w:t xml:space="preserve"> </w:t>
      </w:r>
      <w:r>
        <w:rPr>
          <w:rFonts w:ascii="Times New Roman;serif" w:hAnsi="Times New Roman;serif"/>
          <w:b w:val="false"/>
          <w:color w:val="000000"/>
          <w:sz w:val="20"/>
        </w:rPr>
        <w:t>Other income (expense)</w:t>
      </w:r>
      <w:r>
        <w:rPr>
          <w:color w:val="000000"/>
        </w:rPr>
        <w:t xml:space="preserve"> </w:t>
      </w:r>
      <w:r>
        <w:rPr>
          <w:rFonts w:ascii="Times New Roman;serif" w:hAnsi="Times New Roman;serif"/>
          <w:b w:val="false"/>
          <w:color w:val="000000"/>
          <w:sz w:val="20"/>
        </w:rPr>
        <w:t xml:space="preserve">consists primarily of the net proceeds received from the sale of or disposal of property and equipment and unrealized gains and losses related to short-term investments. </w:t>
      </w:r>
    </w:p>
    <w:p>
      <w:pPr>
        <w:pStyle w:val="TextBody"/>
        <w:bidi w:val="0"/>
        <w:spacing w:lineRule="auto" w:line="288" w:before="240" w:after="283"/>
        <w:jc w:val="both"/>
        <w:rPr/>
      </w:pPr>
      <w:r>
        <w:rPr>
          <w:rFonts w:ascii="Times New Roman;serif" w:hAnsi="Times New Roman;serif"/>
          <w:b/>
          <w:i/>
          <w:color w:val="000000"/>
          <w:sz w:val="20"/>
        </w:rPr>
        <w:t>Provision for Income Taxes</w:t>
      </w:r>
      <w:r>
        <w:rPr>
          <w:color w:val="000000"/>
        </w:rPr>
        <w:t xml:space="preserv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InnovAge Sacramento, InnovAge Orlando, and InnovAge Tampa had or have, as applicable, elected to be taxed as partnerships, and no provision (benefit) for income taxes for InnovAge Sacramento, InnovAge Orlando, or InnovAge Tampa is included in the condensed consolidated financial statements. In addition, no provision (benefit) for income taxes for SH1 is included in the condensed consolidated financial statements through the date of the Company's sale of its partnership interest in SH1 on September 11,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(benefit) for income taxes.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During the three months ended March 31, 2026 and 2025, we reported an income tax expense of $0.2 million and $0.1 million, respectively.</w:t>
      </w:r>
      <w:r>
        <w:rPr>
          <w:color w:val="000000"/>
        </w:rPr>
        <w:t xml:space="preserve"> </w:t>
      </w:r>
      <w:r>
        <w:rPr>
          <w:rFonts w:ascii="Times New Roman;serif" w:hAnsi="Times New Roman;serif"/>
          <w:b w:val="false"/>
          <w:color w:val="000000"/>
          <w:sz w:val="20"/>
        </w:rPr>
        <w:t>The increase of $0.1 million for the three months ended March 31, 2026 compared to the three months ended March 31, 2025, was primarily due to (i) our pretax book loss recognized during the three months ended March 31, 2026, as compared to pretax book loss recognized during the three months ended March 31, 2025, (ii) a discrete item to account for the impact of the OBBBA, and (iii) the change in our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Business Metrics and Non-GAAP Measures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substitute for, and should be read in conjunction with, the GAAP financial information presented herein. These measures may not be comparable to similarly-titled performance indicators used by other companies.</w:t>
      </w:r>
    </w:p>
    <w:tbl>
      <w:tblPr>
        <w:tblW w:w="7473" w:type="dxa"/>
        <w:jc w:val="left"/>
        <w:tblInd w:w="0" w:type="dxa"/>
        <w:tblLayout w:type="fixed"/>
        <w:tblCellMar>
          <w:top w:w="28" w:type="dxa"/>
          <w:left w:w="28" w:type="dxa"/>
          <w:bottom w:w="28" w:type="dxa"/>
          <w:right w:w="28" w:type="dxa"/>
        </w:tblCellMar>
      </w:tblPr>
      <w:tblGrid>
        <w:gridCol w:w="1621"/>
        <w:gridCol w:w="1428"/>
        <w:gridCol w:w="1436"/>
        <w:gridCol w:w="211"/>
        <w:gridCol w:w="826"/>
        <w:gridCol w:w="271"/>
        <w:gridCol w:w="109"/>
        <w:gridCol w:w="109"/>
        <w:gridCol w:w="109"/>
        <w:gridCol w:w="211"/>
        <w:gridCol w:w="826"/>
        <w:gridCol w:w="316"/>
      </w:tblGrid>
      <w:tr>
        <w:trPr/>
        <w:tc>
          <w:tcPr>
            <w:tcW w:w="16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March 31,</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 Business Metrics:</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Centers</w:t>
            </w:r>
            <w:r>
              <w:rPr>
                <w:rFonts w:ascii="Times New Roman;serif" w:hAnsi="Times New Roman;serif"/>
                <w:b w:val="false"/>
                <w:color w:val="000000"/>
                <w:sz w:val="13"/>
              </w:rPr>
              <w:t>(a)</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Census</w:t>
            </w:r>
            <w:r>
              <w:rPr>
                <w:rFonts w:ascii="Times New Roman;serif" w:hAnsi="Times New Roman;serif"/>
                <w:b w:val="false"/>
                <w:color w:val="000000"/>
                <w:sz w:val="13"/>
              </w:rPr>
              <w:t>(a)(b)</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Member Months</w:t>
            </w:r>
            <w:r>
              <w:rPr>
                <w:rFonts w:ascii="Times New Roman;serif" w:hAnsi="Times New Roman;serif"/>
                <w:b w:val="false"/>
                <w:color w:val="000000"/>
                <w:sz w:val="13"/>
              </w:rPr>
              <w:t>(a)(b)</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66,130</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Center-level Contribution Margin</w:t>
            </w:r>
            <w:r>
              <w:rPr>
                <w:rFonts w:ascii="Times New Roman;serif" w:hAnsi="Times New Roman;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112,352 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Center-level Contribution Margin as a % of revenue</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Measures: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Measures: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2"/>
        </w:rPr>
        <w:t>(a)</w:t>
      </w:r>
      <w:r>
        <w:rPr>
          <w:rFonts w:ascii="Times New Roman;serif" w:hAnsi="Times New Roman;serif"/>
          <w:b w:val="false"/>
          <w:color w:val="000000"/>
          <w:sz w:val="18"/>
        </w:rPr>
        <w:t>Includes InnovAge Sacramento, InnovAge Orlando and, as of August 15, 2025, InnovAge Tampa, which the Company owns and controls through joint ventures and are consolidated in our financial statements.</w:t>
      </w:r>
    </w:p>
    <w:p>
      <w:pPr>
        <w:pStyle w:val="TextBody"/>
        <w:bidi w:val="0"/>
        <w:spacing w:lineRule="auto" w:line="288" w:before="0" w:after="0"/>
        <w:ind w:left="0" w:right="0" w:hanging="360"/>
        <w:jc w:val="both"/>
        <w:rPr/>
      </w:pPr>
      <w:r>
        <w:rPr>
          <w:rFonts w:ascii="Times New Roman;serif" w:hAnsi="Times New Roman;serif"/>
          <w:b w:val="false"/>
          <w:color w:val="000000"/>
          <w:sz w:val="12"/>
        </w:rPr>
        <w:t>(b)</w:t>
      </w:r>
      <w:r>
        <w:rPr>
          <w:rFonts w:ascii="Times New Roman;serif" w:hAnsi="Times New Roman;serif"/>
          <w:b w:val="false"/>
          <w:color w:val="000000"/>
          <w:sz w:val="18"/>
        </w:rPr>
        <w:t>Amounts are approximate.</w:t>
      </w:r>
    </w:p>
    <w:p>
      <w:pPr>
        <w:pStyle w:val="TextBody"/>
        <w:bidi w:val="0"/>
        <w:spacing w:lineRule="auto" w:line="288" w:before="0" w:after="0"/>
        <w:ind w:left="0" w:right="0" w:hanging="360"/>
        <w:jc w:val="both"/>
        <w:rPr/>
      </w:pPr>
      <w:r>
        <w:rPr>
          <w:rFonts w:ascii="Times New Roman;serif" w:hAnsi="Times New Roman;serif"/>
          <w:b w:val="false"/>
          <w:color w:val="000000"/>
          <w:sz w:val="12"/>
        </w:rPr>
        <w:t>(c)</w:t>
      </w:r>
      <w:r>
        <w:rPr>
          <w:rFonts w:ascii="Times New Roman;serif" w:hAnsi="Times New Roman;serif"/>
          <w:b w:val="false"/>
          <w:color w:val="000000"/>
          <w:sz w:val="18"/>
        </w:rPr>
        <w:t>Center-level Contribution Margin, Center-level Contribution Margin as a percentage of revenue, Adjusted EBITDA and Adjusted EBITDA margin are non-GAAP measures. For a definition and reconciliation of these non-GAAP measures to the most closely comparable GAAP measures for the period indicated, see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Centers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our centers as those centers open for business and attending to participants at the end of a particular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Census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census is comprised of our capitated participants for whom we are financially responsible for their total healthcare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Total Member Months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Center-level Contribution Margin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uses Center-level Contribution Margin as the measure for assessing performance of its operating segments.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expenses or corporate, general and administrative expenses across our centers. Center-level Contribution Margin was $165.2 million and $112.4 million for the nine months ended March 31, 2026 and 2025, respectively. The increase in Center-level Contribution Margin for the nine months ended March 31, 2026 compared to the nine months ended March 31, 2025 was primarily due to a 15.1% increase in total revenue, offset by a 8.2% increase in external provider costs and cost of 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excluding depreciation and amortization, during the same period. For more information relating to Center-level Contribution Margin, see Note 14 “Segment Reporting” to our condensed consolidated financial statements. A reconciliation of Center-level Contribution Margin to loss before income taxes, the most directly comparable GAAP measure, for each of the periods is as follows:</w:t>
      </w:r>
    </w:p>
    <w:tbl>
      <w:tblPr>
        <w:tblW w:w="10205" w:type="dxa"/>
        <w:jc w:val="left"/>
        <w:tblInd w:w="0" w:type="dxa"/>
        <w:tblLayout w:type="fixed"/>
        <w:tblCellMar>
          <w:top w:w="28" w:type="dxa"/>
          <w:left w:w="28" w:type="dxa"/>
          <w:bottom w:w="28" w:type="dxa"/>
          <w:right w:w="28" w:type="dxa"/>
        </w:tblCellMar>
      </w:tblPr>
      <w:tblGrid>
        <w:gridCol w:w="933"/>
        <w:gridCol w:w="578"/>
        <w:gridCol w:w="540"/>
        <w:gridCol w:w="211"/>
        <w:gridCol w:w="826"/>
        <w:gridCol w:w="109"/>
        <w:gridCol w:w="109"/>
        <w:gridCol w:w="109"/>
        <w:gridCol w:w="109"/>
        <w:gridCol w:w="220"/>
        <w:gridCol w:w="424"/>
        <w:gridCol w:w="113"/>
        <w:gridCol w:w="109"/>
        <w:gridCol w:w="109"/>
        <w:gridCol w:w="109"/>
        <w:gridCol w:w="211"/>
        <w:gridCol w:w="826"/>
        <w:gridCol w:w="271"/>
        <w:gridCol w:w="109"/>
        <w:gridCol w:w="109"/>
        <w:gridCol w:w="109"/>
        <w:gridCol w:w="211"/>
        <w:gridCol w:w="826"/>
        <w:gridCol w:w="109"/>
        <w:gridCol w:w="109"/>
        <w:gridCol w:w="109"/>
        <w:gridCol w:w="109"/>
        <w:gridCol w:w="215"/>
        <w:gridCol w:w="477"/>
        <w:gridCol w:w="111"/>
        <w:gridCol w:w="109"/>
        <w:gridCol w:w="109"/>
        <w:gridCol w:w="109"/>
        <w:gridCol w:w="211"/>
        <w:gridCol w:w="826"/>
        <w:gridCol w:w="322"/>
      </w:tblGrid>
      <w:tr>
        <w:trPr/>
        <w:tc>
          <w:tcPr>
            <w:tcW w:w="9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0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5924" w:type="dxa"/>
            <w:gridSpan w:val="24"/>
            <w:tcBorders/>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631,293 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632,282 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322,983 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196,947 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Center-Level Contribution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112,352 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94,235 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(27,611)</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(29,825)</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Before Income Taxes as a %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 Level Contribution Margin as a %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before="0" w:after="0"/>
        <w:jc w:val="both"/>
        <w:rPr/>
      </w:pPr>
      <w:r>
        <w:rPr/>
      </w:r>
    </w:p>
    <w:p>
      <w:pPr>
        <w:pStyle w:val="TextBody"/>
        <w:bidi w:val="0"/>
        <w:spacing w:lineRule="auto" w:line="276"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(a)Center-level Contribution Margin from a segment below the quantitative thresholds were primarily attributable to the Senior Housing operating segment of the Company. This segment never met any of the quantitative thresholds for determining reportable segments. As of September 11, 2025, the Company no longer operates Senior Housing as the remaining Senior Housing assets were sold.</w:t>
      </w:r>
    </w:p>
    <w:p>
      <w:pPr>
        <w:pStyle w:val="TextBody"/>
        <w:bidi w:val="0"/>
        <w:spacing w:before="0" w:after="0"/>
        <w:jc w:val="both"/>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(loss) adjusted for interest expense, net, other investment income, depreciation and amortization, and provision (benefit) for income tax as well as addbacks for non-recurring expenses or exceptional items, including charges relating to management equity compensation, litigation costs and settlements, M&amp;A diligence, transaction and integration, business optimization, impairments and loss on assets held for sale, and gain on sale of assets. Adjusted EBITDA margin is Adjusted EBITDA expressed as a percentage of our total revenue. For the nine months ended March 31, 2026 and 2025, net loss was $10.5 million and $30.3 million, respectively, representing a year-over-year increase of 65.5%. For the nine months ended March 31, 2026, net loss margin was 1.4%, as compared to net loss margin of 4.8% for the nine months ended March 31, 2025. The increase in Adjusted EBITDA and Adjusted EBITDA margin was primarily due to (i) increased census and (ii) increased capitation rates.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and Adjusted EBITDA margin are supplemental measures of operating performance monitored by management that are not defined under GAAP and that do not represent, and should not be considered as, an alternative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 Effective for the year ended June 30, 2024 and going forward, the Company revised its calculation of Adjusted EBITDA to no longer exclude de novo center development costs and to reflect the impact of other investment income. The presentation for the nine months ended March 31, 2025 has been recast to conform to the current presentation.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net loss to Adjusted EBITDA, the most directly comparable GAAP measure, for each of the periods is as follows:</w:t>
      </w:r>
    </w:p>
    <w:tbl>
      <w:tblPr>
        <w:tblW w:w="9315" w:type="dxa"/>
        <w:jc w:val="left"/>
        <w:tblInd w:w="0" w:type="dxa"/>
        <w:tblLayout w:type="fixed"/>
        <w:tblCellMar>
          <w:top w:w="28" w:type="dxa"/>
          <w:left w:w="28" w:type="dxa"/>
          <w:bottom w:w="28" w:type="dxa"/>
          <w:right w:w="28" w:type="dxa"/>
        </w:tblCellMar>
      </w:tblPr>
      <w:tblGrid>
        <w:gridCol w:w="1385"/>
        <w:gridCol w:w="1208"/>
        <w:gridCol w:w="1232"/>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March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income</w:t>
            </w:r>
            <w:r>
              <w:rPr>
                <w:rFonts w:ascii="Times New Roman;serif" w:hAnsi="Times New Roman;serif"/>
                <w:b w:val="false"/>
                <w:color w:val="000000"/>
                <w:sz w:val="13"/>
              </w:rPr>
              <w:t>(a)</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costs and settlement</w:t>
            </w:r>
            <w:r>
              <w:rPr>
                <w:rFonts w:ascii="Times New Roman;serif" w:hAnsi="Times New Roman;serif"/>
                <w:b w:val="false"/>
                <w:color w:val="000000"/>
                <w:sz w:val="13"/>
              </w:rPr>
              <w:t>(b)</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M&amp;A diligence, transaction and integration</w:t>
            </w:r>
            <w:r>
              <w:rPr>
                <w:rFonts w:ascii="Times New Roman;serif" w:hAnsi="Times New Roman;serif"/>
                <w:b w:val="false"/>
                <w:color w:val="000000"/>
                <w:sz w:val="13"/>
              </w:rPr>
              <w:t>(c)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Business optimization</w:t>
            </w:r>
            <w:r>
              <w:rPr>
                <w:rFonts w:ascii="Times New Roman;serif" w:hAnsi="Times New Roman;serif"/>
                <w:b w:val="false"/>
                <w:color w:val="000000"/>
                <w:sz w:val="13"/>
              </w:rPr>
              <w:t>(d)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Impairments and loss on assets held for sale</w:t>
            </w:r>
            <w:r>
              <w:rPr>
                <w:rFonts w:ascii="Times New Roman;serif" w:hAnsi="Times New Roman;serif"/>
                <w:b w:val="false"/>
                <w:color w:val="000000"/>
                <w:sz w:val="13"/>
              </w:rPr>
              <w: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sale of assets</w:t>
            </w:r>
            <w:r>
              <w:rPr>
                <w:rFonts w:ascii="Times New Roman;serif" w:hAnsi="Times New Roman;serif"/>
                <w:b w:val="false"/>
                <w:color w:val="000000"/>
                <w:sz w:val="13"/>
              </w:rPr>
              <w:t>(f)</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23,136 </w:t>
            </w:r>
          </w:p>
        </w:tc>
        <w:tc>
          <w:tcPr>
            <w:tcW w:w="154" w:type="dxa"/>
            <w:tcBorders>
              <w:top w:val="single" w:sz="8" w:space="0" w:color="000000"/>
              <w:bottom w:val="double" w:sz="8"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(a)Reflects investment income related to short-term investments included in our consolidated statement of operations. </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(b)Reflects charges/(credits) related to litigation by stockholders, civil investigative demands, and settlement with our former pharmacy provider. Refer to Note 9, "Commitments and Contingencies" to our condensed consolidated financial statements for more information regarding these proceedings.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(c)Reflects charges related to M&amp;A diligence, transactions and integrations.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(d)Reflects charges related to business optimization initiatives. Such charges relate to one-time investments in projects designed to enhance our technology and compliance systems and improve and support the efficiency and effectiveness of our operations. For the three months ended March 31, 2026, this consists of costs related to organizational restructure. For the nine months ended March 31, 2026, this consists of costs related to organizational restructure and executive severance. For the three months ended March 31, 2025, this primarily includes costs related to other non-recurring projects aimed at reducing costs and improving efficiencies. For the nine months ended March 31, 2025, this includes (i) $0.4 million of costs associated with organizational restructure and (ii) $0.4 million related to other non-recurring projects aimed at reducing costs and improving efficiencies.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(e)For the three months ended March 31, 2025, reflects loss on sale of center equipment that was originally purchased for the previously planned de novo center in Louisville, Kentucky that the Company is no longer pursuing. For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March 31, 2026, reflects additional loss related to the Company's sale of its managing member interest in SH1 and the adjacent vacant land. For the nine months ended March 31, 2025, reflects (i) impairment charges related to ROU asset and construction in progress related to halting developments to the Kentucky center and (ii) loss on sale of center equipment that was originally purchased for the Kentucky center.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(f)For the nine months ended March 31, 2026, reflects gain on sale of center equipment that was originally purchased for the Kentucky center.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financed our operations principally through cash flows from operations and through borrowings under our credit facilities. As of March 31, 2026, we had cash and cash equivalents of $95.5 million, an increase of $31.4 million from June 30, 2025, and short-term investments of $43.1 million, an increase of $1.3 million from June 30, 2025. The increase in cash and cash equivalents and short-term investments was primarily due to timing of cash receipts for services provided. Our cash and cash equivalents primarily consist of highly liquid investments in demand deposit accounts and cash. Our short-term investments primarily consist of investments in mutual funds.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capital resources are generally used to fund (i) debt service requirements, the majority of which relate to the quarterly principal payments of the Term Loan A Facility (as defined below) due 2028, (ii) finance and operating lease obligations, which are generally paid on a monthly basis and expire on various terms from calendar year 2026 through 2039, (iii) the operations of our business, (iv) income tax payments, which are generally due on a quarterly and annual basis, (v) capital additions, which include acquisitions and de novo centers, and (vi) share repurchases authorized under the Board approved program, if any. We also will continue investing in resources and initiatives to provide necessary and quality services to our participants. Collectively, these obligations are expected to represent a significant liquidity requirement of our Company on both a short-term (next 12 months) and long-term (beyond 12 months) basis.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8, 2021, the Company entered into a credit agreement (as amended, the "Credit Agreement") that consisted of a senior secured term loan (the “Term Loan Facility”) of $75.0 million principal amount and a revolving credit facility (the “Revolving Credit Facility”) of $100.0 million maximum borrowing capacity. On August 8, 2025, the Company entered into Amendment No. 2 to the Credit Agreement. Following entry into Amendment No. 2 to the Credit Agreement, the Term Loan Facility was replaced by a $50.7 million term loan (the "Term Loan A Facility"), the commitments with respect to the Revolving Credit Facility were renewed, and the maturity dates for both the Term Loan A Facility and the Revolving Credit Facility were extended. As of March 31, 2026, we had $58.8 million of debt outstanding, which includes $49.4 million under our Term Loan A Facility and $9.4 million draw on our Revolving Credit Facility, each of which matures on August 8, 2028.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future minimum operating lease payments under non-cancellable leases through the year 2039 of $31.7 million. We also had non-cancellable finance lease agreements with third parties through the year 2030 with future minimum payments of $12.3 million. For additional information, see Note 7, “Leases”, Note 8, “Long-Term Debt”, and Note 9, “Commitments and Contingencies” to our condensed consolidated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and our cash flows from operations, available funds, and access to financing sources, including our Revolving Credit Facility,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 businesses, services and technologies.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borrowing capacity under the Revolving Credit Facility is subject (i) any issued amounts under our letters of credit and (ii) applicable covenant compliance restrictions and any other conditions precedent to borrowing. Principal on the Term Loan A Facility is paid each calendar quarter in an amount equal to 1.25% of the initial term loan on closing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Outstanding principal amounts under the Credit Agreement accrue interest at a variable interest rate. As of March 31, 2026, the interest rate on the Term Loan A Facility was 6.17%. Under the terms of the Credit Agreement, the Revolving Credit Facility fee accrues at 0.50% of the average daily unused amount and is paid quarterly. As of March 31, 2026, we had $9.4 million of borrowings outstanding, $6.2 million of letters of credit issued, and $84.4 million of remaining borrowing capacity under the Revolving Credit Facility.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more information about our debt, see Note 8 “Long-Term Debt” to our condensed consolidated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substantially all available funds and any future earnings to fund the development and growth of our business and to repay indebtedness, and do not anticipate paying any cash dividends in the foreseeable future.</w:t>
      </w:r>
    </w:p>
    <w:p>
      <w:pPr>
        <w:pStyle w:val="TextBody"/>
        <w:bidi w:val="0"/>
        <w:spacing w:lineRule="auto" w:line="288" w:before="24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Condensed Consolidated Statements of 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statements of cash flows for the nine months ended March 31, 2026 and 2025 are summarized as follows:</w:t>
      </w:r>
    </w:p>
    <w:tbl>
      <w:tblPr>
        <w:tblW w:w="8470" w:type="dxa"/>
        <w:jc w:val="left"/>
        <w:tblInd w:w="0" w:type="dxa"/>
        <w:tblLayout w:type="fixed"/>
        <w:tblCellMar>
          <w:top w:w="28" w:type="dxa"/>
          <w:left w:w="28" w:type="dxa"/>
          <w:bottom w:w="28" w:type="dxa"/>
          <w:right w:w="28" w:type="dxa"/>
        </w:tblCellMar>
      </w:tblPr>
      <w:tblGrid>
        <w:gridCol w:w="1679"/>
        <w:gridCol w:w="1473"/>
        <w:gridCol w:w="1482"/>
        <w:gridCol w:w="212"/>
        <w:gridCol w:w="727"/>
        <w:gridCol w:w="109"/>
        <w:gridCol w:w="109"/>
        <w:gridCol w:w="109"/>
        <w:gridCol w:w="109"/>
        <w:gridCol w:w="212"/>
        <w:gridCol w:w="727"/>
        <w:gridCol w:w="109"/>
        <w:gridCol w:w="109"/>
        <w:gridCol w:w="109"/>
        <w:gridCol w:w="109"/>
        <w:gridCol w:w="211"/>
        <w:gridCol w:w="721"/>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Operating Activities. </w:t>
      </w:r>
      <w:r>
        <w:rPr>
          <w:rFonts w:ascii="Times New Roman;serif" w:hAnsi="Times New Roman;serif"/>
          <w:b w:val="false"/>
          <w:color w:val="000000"/>
          <w:sz w:val="20"/>
        </w:rPr>
        <w:t xml:space="preserve">The change in net cash provided by operating activities for the nine months ended March 31, 2026 compared to the nine months ended March 31, 2025 was driven primarily by $9.1 million increase in net loss, net of non-cash adjustments, and a $10.5 million change in operating assets and liabilities driven by a change in accounts payable and accrued expenses.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Investing Activities. </w:t>
      </w:r>
      <w:r>
        <w:rPr>
          <w:rFonts w:ascii="Times New Roman;serif" w:hAnsi="Times New Roman;serif"/>
          <w:b w:val="false"/>
          <w:color w:val="000000"/>
          <w:sz w:val="20"/>
        </w:rPr>
        <w:t>The change in net cash used in investing activities for the nine months ended March 31, 2026 compared to the nine months ended March 31, 2025 was primarily due to a $3.6 million increase in purchases of property and equipment to support growth. In addition, the prior year included $6.3 million in proceeds from the sale of short-term investments that did not reoccur in the current year, partially offset by $3.7 million in proceeds from assets held for sale that occurred in the current year.</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Financing activities. </w:t>
      </w:r>
      <w:r>
        <w:rPr>
          <w:rFonts w:ascii="Times New Roman;serif" w:hAnsi="Times New Roman;serif"/>
          <w:b w:val="false"/>
          <w:color w:val="000000"/>
          <w:sz w:val="20"/>
        </w:rPr>
        <w:t xml:space="preserve">The increase in net cash used in financing activities for the nine months ended March 31, 2026 compared to the nine months ended March 31, 2025 was primarily due to the $3.2 million contribution from the InnovAge Tampa JV partner and $5.9 million of share repurchases that occurred in the prior year and did not reoccur in the current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qualify as an “emerging growth company” through the end of this fiscal year 2026 pursuant to the provisions of the Jumpstart Our Business Startups (“JOBS”) Act and as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 description of our estimates regarding our critical accounting estimates, see “Critical Accounting Estimates” in the 2025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quantitative and qualitative disclosures about market risk during the nine months ended March 31, 2026. See Part II, Item 7A of our 2025 Form 10-K for a detailed discussion of our market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212529"/>
          <w:sz w:val="20"/>
        </w:rPr>
      </w:pPr>
      <w:r>
        <w:rPr>
          <w:rFonts w:ascii="Times New Roman;serif" w:hAnsi="Times New Roman;serif"/>
          <w:b/>
          <w:color w:val="212529"/>
          <w:sz w:val="20"/>
        </w:rPr>
        <w:t xml:space="preserve">Evaluation of Disclosure Controls and Procedures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our disclosure controls and procedures were effective as of March 31, 2026.</w:t>
      </w:r>
    </w:p>
    <w:p>
      <w:pPr>
        <w:pStyle w:val="TextBody"/>
        <w:bidi w:val="0"/>
        <w:spacing w:lineRule="auto" w:line="288" w:before="240" w:after="283"/>
        <w:jc w:val="both"/>
        <w:rPr>
          <w:rFonts w:ascii="Times New Roman;serif" w:hAnsi="Times New Roman;serif"/>
          <w:b/>
          <w:color w:val="212529"/>
          <w:sz w:val="20"/>
        </w:rPr>
      </w:pPr>
      <w:r>
        <w:rPr>
          <w:rFonts w:ascii="Times New Roman;serif" w:hAnsi="Times New Roman;serif"/>
          <w:b/>
          <w:color w:val="212529"/>
          <w:sz w:val="20"/>
        </w:rPr>
        <w:t xml:space="preserve">Changes in Internal Control Over Financial Reporting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internal control over financial reporting during the quarter ended March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information regarding our material pending legal proceedings, refer to Note 9 “Commitments and Contingencies” to our Condensed Consolidated Financial Statements located in Item 1 of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Information regarding our risk factors is disclosed in Item 1A of our</w:t>
      </w:r>
      <w:r>
        <w:rPr>
          <w:color w:val="212529"/>
        </w:rPr>
        <w:t xml:space="preserve"> </w:t>
      </w:r>
      <w:r>
        <w:rPr>
          <w:rFonts w:ascii="Times New Roman;serif" w:hAnsi="Times New Roman;serif"/>
          <w:b w:val="false"/>
          <w:color w:val="000000"/>
          <w:sz w:val="20"/>
        </w:rPr>
        <w:t>2025</w:t>
      </w:r>
      <w:r>
        <w:rPr>
          <w:color w:val="212529"/>
        </w:rPr>
        <w:t xml:space="preserve"> </w:t>
      </w:r>
      <w:r>
        <w:rPr>
          <w:rFonts w:ascii="Times New Roman;serif" w:hAnsi="Times New Roman;serif"/>
          <w:b w:val="false"/>
          <w:color w:val="212529"/>
          <w:sz w:val="20"/>
        </w:rPr>
        <w:t>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list of all exhibits filed or furnished as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91"/>
        <w:gridCol w:w="2654"/>
        <w:gridCol w:w="378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Second Amended and Restated Certificate of Incorporation of InnovAge Holding Corp., filed March 3, 2021 (incorporated by reference to Exhibit 3.1 to the Company’s Current Report on Form 8-K filed with the SEC on March 8, 2021).</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 xml:space="preserve">Certificate of Amendment to the Second Amended and Restated Certificate of Incorporation of InnovAge Holding Corp. (incorporated by reference to Exhibit 3.2 to the Company's Quarterly Report on Form 10-Q filed with the SEC on February 2, 2025).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Bylaws of InnovAge Holding Corp., effective March 3, 2021 (incorporated by reference to Exhibit 3.2 to the Company’s Current Report on Form 8-K filed with the SEC on March 8, 2021).</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nnv-2026331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nnv-2026331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nv-2026331x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nv-2026331x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InnovAge Holding Corp's Quarterly Report on Form 10-Q for the quarter ended March 31, 2026 formatted in Inline XBRL (Extensible Business Reporting Language) includes: (i) the Condensed Consolidated Balance Sheets (unaudited), (ii) the Condensed Consolidated Statements of Operations (unaudited), (iii) the Condensed Consolidated Statements of Stockholders' Equity (unaudited), (iv) the Condensed Consolidated Statements of Cash Flows (unaudited), and (v) Notes to the Condensed Consolidated Financial Statements (unaudited).</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fd36335ab2c4296905c542326d5c874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duly authorized.</w:t>
      </w:r>
    </w:p>
    <w:tbl>
      <w:tblPr>
        <w:tblW w:w="10205" w:type="dxa"/>
        <w:jc w:val="left"/>
        <w:tblInd w:w="0" w:type="dxa"/>
        <w:tblLayout w:type="fixed"/>
        <w:tblCellMar>
          <w:top w:w="28" w:type="dxa"/>
          <w:left w:w="28" w:type="dxa"/>
          <w:bottom w:w="28" w:type="dxa"/>
          <w:right w:w="28" w:type="dxa"/>
        </w:tblCellMar>
      </w:tblPr>
      <w:tblGrid>
        <w:gridCol w:w="556"/>
        <w:gridCol w:w="490"/>
        <w:gridCol w:w="492"/>
        <w:gridCol w:w="415"/>
        <w:gridCol w:w="414"/>
        <w:gridCol w:w="414"/>
        <w:gridCol w:w="2189"/>
        <w:gridCol w:w="2161"/>
        <w:gridCol w:w="3074"/>
      </w:tblGrid>
      <w:tr>
        <w:trPr/>
        <w:tc>
          <w:tcPr>
            <w:tcW w:w="5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INNOVAGE HOLDING CORP.</w:t>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12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C. Adams</w:t>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4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42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(Duly Authorized Officer and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Patrick Blair,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InnovAge Holding Corp.;</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18" w:type="dxa"/>
        <w:jc w:val="left"/>
        <w:tblInd w:w="0" w:type="dxa"/>
        <w:tblLayout w:type="fixed"/>
        <w:tblCellMar>
          <w:top w:w="28" w:type="dxa"/>
          <w:left w:w="28" w:type="dxa"/>
          <w:bottom w:w="28" w:type="dxa"/>
          <w:right w:w="28" w:type="dxa"/>
        </w:tblCellMar>
      </w:tblPr>
      <w:tblGrid>
        <w:gridCol w:w="591"/>
        <w:gridCol w:w="520"/>
        <w:gridCol w:w="523"/>
        <w:gridCol w:w="208"/>
        <w:gridCol w:w="208"/>
        <w:gridCol w:w="213"/>
        <w:gridCol w:w="599"/>
        <w:gridCol w:w="599"/>
        <w:gridCol w:w="85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Blair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Patrick Blair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5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Benjamin C. Adams,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InnovAge Holding Corp.;</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33" w:type="dxa"/>
        <w:jc w:val="left"/>
        <w:tblInd w:w="0" w:type="dxa"/>
        <w:tblLayout w:type="fixed"/>
        <w:tblCellMar>
          <w:top w:w="28" w:type="dxa"/>
          <w:left w:w="28" w:type="dxa"/>
          <w:bottom w:w="28" w:type="dxa"/>
          <w:right w:w="28" w:type="dxa"/>
        </w:tblCellMar>
      </w:tblPr>
      <w:tblGrid>
        <w:gridCol w:w="591"/>
        <w:gridCol w:w="520"/>
        <w:gridCol w:w="523"/>
        <w:gridCol w:w="208"/>
        <w:gridCol w:w="208"/>
        <w:gridCol w:w="213"/>
        <w:gridCol w:w="604"/>
        <w:gridCol w:w="604"/>
        <w:gridCol w:w="86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C. Adams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Rule 18 U.S.C. Section 1350</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InnovAge Holding Corp. (the “Company”) for the fiscal quarter ended March 31, 2026 as filed with the U.S. Securities and Exchange Commission (the “Report”), I, Patrick Blair, Chief Executive Officer of the Company, hereby certify, pursuant to 18 U.S.C. Section 1350, as adopted pursuant to Section 906 of the Sarbanes-Oxley Act of 2002, that, to my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318" w:type="dxa"/>
        <w:jc w:val="left"/>
        <w:tblInd w:w="0" w:type="dxa"/>
        <w:tblLayout w:type="fixed"/>
        <w:tblCellMar>
          <w:top w:w="28" w:type="dxa"/>
          <w:left w:w="28" w:type="dxa"/>
          <w:bottom w:w="28" w:type="dxa"/>
          <w:right w:w="28" w:type="dxa"/>
        </w:tblCellMar>
      </w:tblPr>
      <w:tblGrid>
        <w:gridCol w:w="591"/>
        <w:gridCol w:w="520"/>
        <w:gridCol w:w="523"/>
        <w:gridCol w:w="208"/>
        <w:gridCol w:w="208"/>
        <w:gridCol w:w="213"/>
        <w:gridCol w:w="599"/>
        <w:gridCol w:w="599"/>
        <w:gridCol w:w="85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Blair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Patrick Blair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5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Rule 18 U.S.C. Section 1350</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InnovAge Holding Corp. (the “Company”) for the fiscal quarter ended March 31, 2026 as filed with the U.S. Securities and Exchange Commission (the “Report”), I, Benjamin C. Adams, Chief Financial Officer of the Company, hereby certify, pursuant to 18 U.S.C. Section 1350, as adopted pursuant to Section 906 of the Sarbanes-Oxley Act of 2002, that, to my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240" w:after="283"/>
        <w:jc w:val="left"/>
        <w:rPr/>
      </w:pPr>
      <w:r>
        <w:rPr/>
      </w:r>
    </w:p>
    <w:tbl>
      <w:tblPr>
        <w:tblW w:w="4333" w:type="dxa"/>
        <w:jc w:val="left"/>
        <w:tblInd w:w="0" w:type="dxa"/>
        <w:tblLayout w:type="fixed"/>
        <w:tblCellMar>
          <w:top w:w="28" w:type="dxa"/>
          <w:left w:w="28" w:type="dxa"/>
          <w:bottom w:w="28" w:type="dxa"/>
          <w:right w:w="28" w:type="dxa"/>
        </w:tblCellMar>
      </w:tblPr>
      <w:tblGrid>
        <w:gridCol w:w="591"/>
        <w:gridCol w:w="520"/>
        <w:gridCol w:w="523"/>
        <w:gridCol w:w="208"/>
        <w:gridCol w:w="208"/>
        <w:gridCol w:w="213"/>
        <w:gridCol w:w="604"/>
        <w:gridCol w:w="604"/>
        <w:gridCol w:w="86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C. Adams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4376/000110465921033328/tm2037889d18_ex3-1.htm" TargetMode="External"/><Relationship Id="rId4" Type="http://schemas.openxmlformats.org/officeDocument/2006/relationships/hyperlink" Target="https://www.sec.gov/Archives/edgar/data/1834376/000183437625000003/ex32-innvdeamendment.htm" TargetMode="External"/><Relationship Id="rId5" Type="http://schemas.openxmlformats.org/officeDocument/2006/relationships/hyperlink" Target="https://www.sec.gov/Archives/edgar/data/1834376/000110465921033328/tm2037889d18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22762</Words>
  <Characters>126982</Characters>
  <CharactersWithSpaces>148113</CharactersWithSpaces>
  <Paragraphs>2847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